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DEE17" w14:textId="77777777" w:rsidR="00E949DB" w:rsidRPr="009D01FD" w:rsidRDefault="00E949DB" w:rsidP="00121B37">
      <w:pPr>
        <w:spacing w:after="0" w:line="240" w:lineRule="auto"/>
        <w:jc w:val="center"/>
        <w:rPr>
          <w:b/>
          <w:lang w:val="fr-FR"/>
        </w:rPr>
      </w:pPr>
      <w:r w:rsidRPr="009D01FD">
        <w:rPr>
          <w:b/>
          <w:lang w:val="fr-FR"/>
        </w:rPr>
        <w:t xml:space="preserve">République </w:t>
      </w:r>
      <w:r w:rsidR="00390637" w:rsidRPr="009D01FD">
        <w:rPr>
          <w:b/>
          <w:lang w:val="fr-FR"/>
        </w:rPr>
        <w:t>démocratique du Congo</w:t>
      </w:r>
    </w:p>
    <w:p w14:paraId="64B0C20B" w14:textId="58B8BE0F" w:rsidR="005C52D7" w:rsidRPr="009D01FD" w:rsidRDefault="00C6187E" w:rsidP="00121B37">
      <w:pPr>
        <w:spacing w:after="0" w:line="240" w:lineRule="auto"/>
        <w:jc w:val="center"/>
        <w:rPr>
          <w:b/>
          <w:lang w:val="fr-FR"/>
        </w:rPr>
      </w:pPr>
      <w:r w:rsidRPr="009D01FD">
        <w:rPr>
          <w:b/>
          <w:lang w:val="fr-FR"/>
        </w:rPr>
        <w:t xml:space="preserve">Mission de soutien à l’exécution du </w:t>
      </w:r>
    </w:p>
    <w:p w14:paraId="6BD3C9D6" w14:textId="5B04DD75" w:rsidR="00E949DB" w:rsidRPr="009D01FD" w:rsidRDefault="00785292" w:rsidP="00121B37">
      <w:pPr>
        <w:spacing w:after="0" w:line="240" w:lineRule="auto"/>
        <w:jc w:val="center"/>
        <w:rPr>
          <w:b/>
          <w:lang w:val="fr-FR"/>
        </w:rPr>
      </w:pPr>
      <w:r w:rsidRPr="009D01FD">
        <w:rPr>
          <w:b/>
          <w:lang w:val="fr-FR"/>
        </w:rPr>
        <w:t>P</w:t>
      </w:r>
      <w:r w:rsidR="000C3AB8" w:rsidRPr="009D01FD">
        <w:rPr>
          <w:b/>
          <w:lang w:val="fr-FR"/>
        </w:rPr>
        <w:t>rojet de r</w:t>
      </w:r>
      <w:r w:rsidR="00390637" w:rsidRPr="009D01FD">
        <w:rPr>
          <w:b/>
          <w:lang w:val="fr-FR"/>
        </w:rPr>
        <w:t xml:space="preserve">enforcement des </w:t>
      </w:r>
      <w:r w:rsidR="0094258D" w:rsidRPr="009D01FD">
        <w:rPr>
          <w:b/>
          <w:lang w:val="fr-FR"/>
        </w:rPr>
        <w:t>systèmes de développement humain</w:t>
      </w:r>
    </w:p>
    <w:p w14:paraId="36F2FCA5" w14:textId="61CA25E8" w:rsidR="00E949DB" w:rsidRPr="009D01FD" w:rsidRDefault="00C6187E" w:rsidP="00121B37">
      <w:pPr>
        <w:spacing w:after="0" w:line="240" w:lineRule="auto"/>
        <w:jc w:val="center"/>
        <w:rPr>
          <w:b/>
          <w:lang w:val="fr-FR"/>
        </w:rPr>
      </w:pPr>
      <w:r w:rsidRPr="009D01FD">
        <w:rPr>
          <w:b/>
          <w:lang w:val="fr-FR"/>
        </w:rPr>
        <w:t>21 août au 1</w:t>
      </w:r>
      <w:r w:rsidRPr="009D01FD">
        <w:rPr>
          <w:b/>
          <w:vertAlign w:val="superscript"/>
          <w:lang w:val="fr-FR"/>
        </w:rPr>
        <w:t>er</w:t>
      </w:r>
      <w:r w:rsidRPr="009D01FD">
        <w:rPr>
          <w:b/>
          <w:lang w:val="fr-FR"/>
        </w:rPr>
        <w:t xml:space="preserve"> septembre 2017</w:t>
      </w:r>
    </w:p>
    <w:p w14:paraId="7FCE91F5" w14:textId="77777777" w:rsidR="003B31E3" w:rsidRPr="009D01FD" w:rsidRDefault="003B31E3" w:rsidP="003B31E3">
      <w:pPr>
        <w:spacing w:after="0" w:line="240" w:lineRule="auto"/>
        <w:jc w:val="center"/>
        <w:rPr>
          <w:b/>
          <w:lang w:val="fr-FR"/>
        </w:rPr>
      </w:pPr>
      <w:r w:rsidRPr="009D01FD">
        <w:rPr>
          <w:b/>
          <w:lang w:val="fr-FR"/>
        </w:rPr>
        <w:t>AIDE MEMOIRE</w:t>
      </w:r>
    </w:p>
    <w:p w14:paraId="29CE6196" w14:textId="77777777" w:rsidR="003B31E3" w:rsidRPr="009D01FD" w:rsidRDefault="003B31E3" w:rsidP="00121B37">
      <w:pPr>
        <w:spacing w:after="0" w:line="240" w:lineRule="auto"/>
        <w:jc w:val="center"/>
        <w:rPr>
          <w:sz w:val="22"/>
          <w:lang w:val="fr-FR"/>
        </w:rPr>
      </w:pPr>
    </w:p>
    <w:p w14:paraId="18A50B43" w14:textId="77777777" w:rsidR="00E949DB" w:rsidRPr="009D01FD" w:rsidRDefault="00E949DB" w:rsidP="00121B37">
      <w:pPr>
        <w:pStyle w:val="Default"/>
        <w:outlineLvl w:val="0"/>
        <w:rPr>
          <w:b/>
          <w:bCs/>
          <w:sz w:val="22"/>
          <w:szCs w:val="22"/>
          <w:lang w:val="fr-FR"/>
        </w:rPr>
      </w:pPr>
      <w:r w:rsidRPr="009D01FD">
        <w:rPr>
          <w:b/>
          <w:bCs/>
          <w:szCs w:val="22"/>
          <w:lang w:val="fr-FR"/>
        </w:rPr>
        <w:t>I. Introduction</w:t>
      </w:r>
    </w:p>
    <w:p w14:paraId="0EADC729" w14:textId="77777777" w:rsidR="00E949DB" w:rsidRPr="009D01FD" w:rsidRDefault="00E949DB" w:rsidP="00121B37">
      <w:pPr>
        <w:pStyle w:val="Default"/>
        <w:rPr>
          <w:b/>
          <w:bCs/>
          <w:sz w:val="22"/>
          <w:szCs w:val="22"/>
          <w:lang w:val="fr-FR"/>
        </w:rPr>
      </w:pPr>
    </w:p>
    <w:p w14:paraId="2AA59B61" w14:textId="5AAFDCAF" w:rsidR="00B31098" w:rsidRPr="009D01FD" w:rsidRDefault="00E949DB" w:rsidP="00121B37">
      <w:pPr>
        <w:pStyle w:val="ListParagraph"/>
        <w:numPr>
          <w:ilvl w:val="0"/>
          <w:numId w:val="1"/>
        </w:numPr>
        <w:autoSpaceDE w:val="0"/>
        <w:autoSpaceDN w:val="0"/>
        <w:adjustRightInd w:val="0"/>
        <w:spacing w:after="0" w:line="240" w:lineRule="auto"/>
        <w:jc w:val="both"/>
        <w:rPr>
          <w:color w:val="000000"/>
          <w:sz w:val="22"/>
          <w:lang w:val="fr-FR"/>
        </w:rPr>
      </w:pPr>
      <w:r w:rsidRPr="009D01FD">
        <w:rPr>
          <w:color w:val="000000"/>
          <w:sz w:val="22"/>
          <w:lang w:val="fr-FR"/>
        </w:rPr>
        <w:t xml:space="preserve">Une mission de la Banque mondiale a visité la République </w:t>
      </w:r>
      <w:r w:rsidR="00390637" w:rsidRPr="009D01FD">
        <w:rPr>
          <w:color w:val="000000"/>
          <w:sz w:val="22"/>
          <w:lang w:val="fr-FR"/>
        </w:rPr>
        <w:t>démocratique du Congo</w:t>
      </w:r>
      <w:r w:rsidRPr="009D01FD">
        <w:rPr>
          <w:color w:val="000000"/>
          <w:sz w:val="22"/>
          <w:lang w:val="fr-FR"/>
        </w:rPr>
        <w:t xml:space="preserve"> avec pour objectif </w:t>
      </w:r>
      <w:r w:rsidR="00390637" w:rsidRPr="009D01FD">
        <w:rPr>
          <w:sz w:val="22"/>
          <w:lang w:val="fr-FR"/>
        </w:rPr>
        <w:t>de</w:t>
      </w:r>
      <w:r w:rsidR="00207EC7" w:rsidRPr="009D01FD">
        <w:rPr>
          <w:sz w:val="22"/>
          <w:lang w:val="fr-FR"/>
        </w:rPr>
        <w:t xml:space="preserve"> soutenir l’exécution</w:t>
      </w:r>
      <w:r w:rsidR="00390637" w:rsidRPr="009D01FD">
        <w:rPr>
          <w:sz w:val="22"/>
          <w:lang w:val="fr-FR"/>
        </w:rPr>
        <w:t xml:space="preserve"> du Projet de Renforcement des Systèmes pour le Développement humain (PRSDHU)</w:t>
      </w:r>
      <w:r w:rsidR="00207EC7" w:rsidRPr="009D01FD">
        <w:rPr>
          <w:sz w:val="22"/>
          <w:lang w:val="fr-FR"/>
        </w:rPr>
        <w:t>, y compris la mise en vigueur de son financement additionnel</w:t>
      </w:r>
      <w:r w:rsidR="0064219B" w:rsidRPr="009D01FD">
        <w:rPr>
          <w:color w:val="000000"/>
          <w:sz w:val="22"/>
          <w:lang w:val="fr-FR"/>
        </w:rPr>
        <w:t xml:space="preserve">.  </w:t>
      </w:r>
      <w:r w:rsidR="00DE62BA" w:rsidRPr="009D01FD">
        <w:rPr>
          <w:sz w:val="22"/>
          <w:lang w:val="fr-FR"/>
        </w:rPr>
        <w:t xml:space="preserve">Cette mission s’inscrit dans la suite de </w:t>
      </w:r>
      <w:r w:rsidR="00207EC7" w:rsidRPr="009D01FD">
        <w:rPr>
          <w:sz w:val="22"/>
          <w:lang w:val="fr-FR"/>
        </w:rPr>
        <w:t>l’approbation d’un</w:t>
      </w:r>
      <w:r w:rsidR="004709A9" w:rsidRPr="009D01FD">
        <w:rPr>
          <w:sz w:val="22"/>
          <w:lang w:val="fr-FR"/>
        </w:rPr>
        <w:t xml:space="preserve"> financement additionnel d’une valeur de 41,08 millions de dollars américains </w:t>
      </w:r>
      <w:r w:rsidR="00207EC7" w:rsidRPr="009D01FD">
        <w:rPr>
          <w:sz w:val="22"/>
          <w:lang w:val="fr-FR"/>
        </w:rPr>
        <w:t>par le</w:t>
      </w:r>
      <w:r w:rsidR="004709A9" w:rsidRPr="009D01FD">
        <w:rPr>
          <w:sz w:val="22"/>
          <w:lang w:val="fr-FR"/>
        </w:rPr>
        <w:t xml:space="preserve"> Conseil d’Administration de la Banque mondiale le 29 mars 2016.</w:t>
      </w:r>
      <w:r w:rsidR="00207EC7" w:rsidRPr="009D01FD">
        <w:rPr>
          <w:sz w:val="22"/>
          <w:lang w:val="fr-FR"/>
        </w:rPr>
        <w:t xml:space="preserve"> </w:t>
      </w:r>
      <w:r w:rsidR="00495434" w:rsidRPr="009D01FD">
        <w:rPr>
          <w:sz w:val="22"/>
          <w:lang w:val="fr-FR"/>
        </w:rPr>
        <w:t>Ce financement n’</w:t>
      </w:r>
      <w:r w:rsidR="002453E7" w:rsidRPr="009D01FD">
        <w:rPr>
          <w:sz w:val="22"/>
          <w:lang w:val="fr-FR"/>
        </w:rPr>
        <w:t>a</w:t>
      </w:r>
      <w:r w:rsidR="00495434" w:rsidRPr="009D01FD">
        <w:rPr>
          <w:sz w:val="22"/>
          <w:lang w:val="fr-FR"/>
        </w:rPr>
        <w:t xml:space="preserve"> pas encore </w:t>
      </w:r>
      <w:r w:rsidR="00AA4071" w:rsidRPr="009D01FD">
        <w:rPr>
          <w:sz w:val="22"/>
          <w:lang w:val="fr-FR"/>
        </w:rPr>
        <w:t xml:space="preserve">été </w:t>
      </w:r>
      <w:r w:rsidR="002453E7" w:rsidRPr="009D01FD">
        <w:rPr>
          <w:sz w:val="22"/>
          <w:lang w:val="fr-FR"/>
        </w:rPr>
        <w:t xml:space="preserve">mis en vigueur et une </w:t>
      </w:r>
      <w:r w:rsidR="00C6187E" w:rsidRPr="009D01FD">
        <w:rPr>
          <w:sz w:val="22"/>
          <w:lang w:val="fr-FR"/>
        </w:rPr>
        <w:t xml:space="preserve">prorogation </w:t>
      </w:r>
      <w:r w:rsidR="00C2336C" w:rsidRPr="009D01FD">
        <w:rPr>
          <w:sz w:val="22"/>
          <w:lang w:val="fr-FR"/>
        </w:rPr>
        <w:t xml:space="preserve">exceptionnelle </w:t>
      </w:r>
      <w:r w:rsidR="00C6187E" w:rsidRPr="009D01FD">
        <w:rPr>
          <w:sz w:val="22"/>
          <w:lang w:val="fr-FR"/>
        </w:rPr>
        <w:t>a été faite le 28 septembre 2017</w:t>
      </w:r>
      <w:r w:rsidR="003106D1" w:rsidRPr="009D01FD">
        <w:rPr>
          <w:sz w:val="22"/>
          <w:lang w:val="fr-FR"/>
        </w:rPr>
        <w:t xml:space="preserve"> jusqu’au 28 décembre 2017</w:t>
      </w:r>
      <w:r w:rsidR="00495434" w:rsidRPr="009D01FD">
        <w:rPr>
          <w:sz w:val="22"/>
          <w:lang w:val="fr-FR"/>
        </w:rPr>
        <w:t xml:space="preserve">. </w:t>
      </w:r>
      <w:r w:rsidR="00207EC7" w:rsidRPr="009D01FD">
        <w:rPr>
          <w:sz w:val="22"/>
          <w:lang w:val="fr-FR"/>
        </w:rPr>
        <w:t xml:space="preserve">L’aide-mémoire de la mission précédente avait été transmis par le courrier </w:t>
      </w:r>
      <w:r w:rsidR="00930E7B" w:rsidRPr="009D01FD">
        <w:rPr>
          <w:sz w:val="22"/>
          <w:lang w:val="fr-FR"/>
        </w:rPr>
        <w:t>450</w:t>
      </w:r>
      <w:r w:rsidR="00546BAA" w:rsidRPr="009D01FD">
        <w:rPr>
          <w:sz w:val="22"/>
          <w:lang w:val="fr-FR"/>
        </w:rPr>
        <w:t>/BM/RDC/</w:t>
      </w:r>
      <w:r w:rsidR="00930E7B" w:rsidRPr="009D01FD">
        <w:rPr>
          <w:sz w:val="22"/>
          <w:lang w:val="fr-FR"/>
        </w:rPr>
        <w:t>RR</w:t>
      </w:r>
      <w:r w:rsidR="00546BAA" w:rsidRPr="009D01FD">
        <w:rPr>
          <w:sz w:val="22"/>
          <w:lang w:val="fr-FR"/>
        </w:rPr>
        <w:t>/</w:t>
      </w:r>
      <w:r w:rsidR="00930E7B" w:rsidRPr="009D01FD">
        <w:rPr>
          <w:sz w:val="22"/>
          <w:lang w:val="fr-FR"/>
        </w:rPr>
        <w:t>CBH</w:t>
      </w:r>
      <w:r w:rsidR="00546BAA" w:rsidRPr="009D01FD">
        <w:rPr>
          <w:sz w:val="22"/>
          <w:lang w:val="fr-FR"/>
        </w:rPr>
        <w:t>/</w:t>
      </w:r>
      <w:r w:rsidR="00930E7B" w:rsidRPr="009D01FD">
        <w:rPr>
          <w:sz w:val="22"/>
          <w:lang w:val="fr-FR"/>
        </w:rPr>
        <w:t>JB</w:t>
      </w:r>
      <w:r w:rsidR="00546BAA" w:rsidRPr="009D01FD">
        <w:rPr>
          <w:sz w:val="22"/>
          <w:lang w:val="fr-FR"/>
        </w:rPr>
        <w:t>/201</w:t>
      </w:r>
      <w:r w:rsidR="00930E7B" w:rsidRPr="009D01FD">
        <w:rPr>
          <w:sz w:val="22"/>
          <w:lang w:val="fr-FR"/>
        </w:rPr>
        <w:t>7</w:t>
      </w:r>
      <w:r w:rsidR="00207EC7" w:rsidRPr="009D01FD">
        <w:rPr>
          <w:sz w:val="22"/>
          <w:lang w:val="fr-FR"/>
        </w:rPr>
        <w:t xml:space="preserve"> du </w:t>
      </w:r>
      <w:r w:rsidR="00546BAA" w:rsidRPr="009D01FD">
        <w:rPr>
          <w:sz w:val="22"/>
          <w:lang w:val="fr-FR"/>
        </w:rPr>
        <w:t>2</w:t>
      </w:r>
      <w:r w:rsidR="00930E7B" w:rsidRPr="009D01FD">
        <w:rPr>
          <w:sz w:val="22"/>
          <w:lang w:val="fr-FR"/>
        </w:rPr>
        <w:t>6</w:t>
      </w:r>
      <w:r w:rsidR="00546BAA" w:rsidRPr="009D01FD">
        <w:rPr>
          <w:sz w:val="22"/>
          <w:lang w:val="fr-FR"/>
        </w:rPr>
        <w:t xml:space="preserve"> </w:t>
      </w:r>
      <w:r w:rsidR="00C6187E" w:rsidRPr="009D01FD">
        <w:rPr>
          <w:sz w:val="22"/>
          <w:lang w:val="fr-FR"/>
        </w:rPr>
        <w:t>juillet</w:t>
      </w:r>
      <w:r w:rsidR="00546BAA" w:rsidRPr="009D01FD">
        <w:rPr>
          <w:sz w:val="22"/>
          <w:lang w:val="fr-FR"/>
        </w:rPr>
        <w:t xml:space="preserve"> </w:t>
      </w:r>
      <w:r w:rsidR="00C6187E" w:rsidRPr="009D01FD">
        <w:rPr>
          <w:sz w:val="22"/>
          <w:lang w:val="fr-FR"/>
        </w:rPr>
        <w:t>2017</w:t>
      </w:r>
      <w:r w:rsidR="00207EC7" w:rsidRPr="009D01FD">
        <w:rPr>
          <w:sz w:val="22"/>
          <w:lang w:val="fr-FR"/>
        </w:rPr>
        <w:t>.</w:t>
      </w:r>
    </w:p>
    <w:p w14:paraId="642594BF" w14:textId="77777777" w:rsidR="00B31098" w:rsidRPr="009D01FD" w:rsidRDefault="00B31098" w:rsidP="00121B37">
      <w:pPr>
        <w:pStyle w:val="ListParagraph"/>
        <w:autoSpaceDE w:val="0"/>
        <w:autoSpaceDN w:val="0"/>
        <w:adjustRightInd w:val="0"/>
        <w:spacing w:after="0" w:line="240" w:lineRule="auto"/>
        <w:ind w:left="0"/>
        <w:jc w:val="both"/>
        <w:rPr>
          <w:color w:val="000000"/>
          <w:sz w:val="22"/>
          <w:lang w:val="fr-FR"/>
        </w:rPr>
      </w:pPr>
    </w:p>
    <w:p w14:paraId="3BBE1DC0" w14:textId="78D7E074" w:rsidR="00E949DB" w:rsidRPr="009D01FD" w:rsidRDefault="00390637" w:rsidP="00121B37">
      <w:pPr>
        <w:pStyle w:val="ListParagraph"/>
        <w:numPr>
          <w:ilvl w:val="0"/>
          <w:numId w:val="1"/>
        </w:numPr>
        <w:autoSpaceDE w:val="0"/>
        <w:autoSpaceDN w:val="0"/>
        <w:adjustRightInd w:val="0"/>
        <w:spacing w:after="0" w:line="240" w:lineRule="auto"/>
        <w:jc w:val="both"/>
        <w:rPr>
          <w:color w:val="000000"/>
          <w:sz w:val="22"/>
          <w:lang w:val="fr-FR"/>
        </w:rPr>
      </w:pPr>
      <w:r w:rsidRPr="009D01FD">
        <w:rPr>
          <w:sz w:val="22"/>
          <w:lang w:val="fr-FR"/>
        </w:rPr>
        <w:t xml:space="preserve">La mission avait pour objectifs de : </w:t>
      </w:r>
      <w:r w:rsidR="00207EC7" w:rsidRPr="009D01FD">
        <w:rPr>
          <w:sz w:val="22"/>
          <w:lang w:val="fr-FR"/>
        </w:rPr>
        <w:t xml:space="preserve">(i) </w:t>
      </w:r>
      <w:r w:rsidR="00546BAA" w:rsidRPr="009D01FD">
        <w:rPr>
          <w:sz w:val="22"/>
          <w:lang w:val="fr-FR"/>
        </w:rPr>
        <w:t>soutenir la mise en vigueur du financement additionnel du projet</w:t>
      </w:r>
      <w:r w:rsidR="00C6187E" w:rsidRPr="009D01FD">
        <w:rPr>
          <w:sz w:val="22"/>
          <w:lang w:val="fr-FR"/>
        </w:rPr>
        <w:t xml:space="preserve"> et (ii) faire l’état des progrès, défis et occasions</w:t>
      </w:r>
      <w:r w:rsidRPr="009D01FD">
        <w:rPr>
          <w:sz w:val="22"/>
          <w:lang w:val="fr-FR"/>
        </w:rPr>
        <w:t xml:space="preserve">. </w:t>
      </w:r>
      <w:r w:rsidRPr="009D01FD">
        <w:rPr>
          <w:iCs/>
          <w:sz w:val="22"/>
          <w:lang w:val="fr-FR"/>
        </w:rPr>
        <w:t xml:space="preserve"> </w:t>
      </w:r>
      <w:r w:rsidR="00E949DB" w:rsidRPr="009D01FD">
        <w:rPr>
          <w:color w:val="000000"/>
          <w:sz w:val="22"/>
          <w:lang w:val="fr-FR"/>
        </w:rPr>
        <w:t xml:space="preserve">La mission remercie </w:t>
      </w:r>
      <w:r w:rsidR="00B31098" w:rsidRPr="009D01FD">
        <w:rPr>
          <w:color w:val="000000"/>
          <w:sz w:val="22"/>
          <w:lang w:val="fr-FR"/>
        </w:rPr>
        <w:t>la partie nationale</w:t>
      </w:r>
      <w:r w:rsidR="00E949DB" w:rsidRPr="009D01FD">
        <w:rPr>
          <w:color w:val="000000"/>
          <w:sz w:val="22"/>
          <w:lang w:val="fr-FR"/>
        </w:rPr>
        <w:t xml:space="preserve"> pour la </w:t>
      </w:r>
      <w:r w:rsidR="00E949DB" w:rsidRPr="009D01FD">
        <w:rPr>
          <w:sz w:val="22"/>
          <w:lang w:val="fr-FR"/>
        </w:rPr>
        <w:t xml:space="preserve">qualité </w:t>
      </w:r>
      <w:r w:rsidR="00B11142" w:rsidRPr="009D01FD">
        <w:rPr>
          <w:sz w:val="22"/>
          <w:lang w:val="fr-FR"/>
        </w:rPr>
        <w:t xml:space="preserve">et la franchise du </w:t>
      </w:r>
      <w:r w:rsidR="00B31098" w:rsidRPr="009D01FD">
        <w:rPr>
          <w:sz w:val="22"/>
          <w:lang w:val="fr-FR"/>
        </w:rPr>
        <w:t>dialogue</w:t>
      </w:r>
      <w:r w:rsidR="00E949DB" w:rsidRPr="009D01FD">
        <w:rPr>
          <w:color w:val="000000"/>
          <w:sz w:val="22"/>
          <w:lang w:val="fr-FR"/>
        </w:rPr>
        <w:t>.</w:t>
      </w:r>
      <w:r w:rsidR="00D26116" w:rsidRPr="009D01FD">
        <w:rPr>
          <w:rStyle w:val="FootnoteReference"/>
          <w:color w:val="000000"/>
          <w:sz w:val="22"/>
          <w:lang w:val="fr-FR"/>
        </w:rPr>
        <w:footnoteReference w:id="2"/>
      </w:r>
      <w:r w:rsidR="00B31098" w:rsidRPr="009D01FD">
        <w:rPr>
          <w:color w:val="000000"/>
          <w:sz w:val="22"/>
          <w:lang w:val="fr-FR"/>
        </w:rPr>
        <w:t xml:space="preserve"> </w:t>
      </w:r>
    </w:p>
    <w:p w14:paraId="07882EE3" w14:textId="2B9A0A80" w:rsidR="00E949DB" w:rsidRPr="009D01FD" w:rsidRDefault="00E949DB" w:rsidP="00121B37">
      <w:pPr>
        <w:pStyle w:val="ListParagraph"/>
        <w:autoSpaceDE w:val="0"/>
        <w:autoSpaceDN w:val="0"/>
        <w:adjustRightInd w:val="0"/>
        <w:spacing w:after="0" w:line="240" w:lineRule="auto"/>
        <w:ind w:left="0"/>
        <w:jc w:val="both"/>
        <w:rPr>
          <w:color w:val="000000"/>
          <w:sz w:val="22"/>
          <w:lang w:val="fr-FR"/>
        </w:rPr>
      </w:pPr>
    </w:p>
    <w:p w14:paraId="0E7B6FAB" w14:textId="0A463668" w:rsidR="00E949DB" w:rsidRPr="009D01FD" w:rsidRDefault="00E949DB" w:rsidP="00121B37">
      <w:pPr>
        <w:spacing w:after="0" w:line="240" w:lineRule="auto"/>
        <w:outlineLvl w:val="0"/>
        <w:rPr>
          <w:lang w:val="fr-FR"/>
        </w:rPr>
      </w:pPr>
      <w:r w:rsidRPr="009D01FD">
        <w:rPr>
          <w:b/>
          <w:lang w:val="fr-FR"/>
        </w:rPr>
        <w:t>II. Contexte</w:t>
      </w:r>
      <w:r w:rsidR="005A2EDF" w:rsidRPr="009D01FD">
        <w:rPr>
          <w:b/>
          <w:lang w:val="fr-FR"/>
        </w:rPr>
        <w:t xml:space="preserve"> et résultats clés</w:t>
      </w:r>
    </w:p>
    <w:p w14:paraId="3077A540" w14:textId="77777777" w:rsidR="00E949DB" w:rsidRPr="009D01FD" w:rsidRDefault="00E949DB" w:rsidP="00121B37">
      <w:pPr>
        <w:pStyle w:val="ListParagraph"/>
        <w:autoSpaceDE w:val="0"/>
        <w:autoSpaceDN w:val="0"/>
        <w:adjustRightInd w:val="0"/>
        <w:spacing w:after="0" w:line="240" w:lineRule="auto"/>
        <w:ind w:left="0"/>
        <w:contextualSpacing w:val="0"/>
        <w:jc w:val="both"/>
        <w:rPr>
          <w:color w:val="000000"/>
          <w:sz w:val="22"/>
          <w:lang w:val="fr-FR"/>
        </w:rPr>
      </w:pPr>
    </w:p>
    <w:p w14:paraId="4043F572" w14:textId="629E3548" w:rsidR="00C47206" w:rsidRPr="009D01FD" w:rsidRDefault="00084063" w:rsidP="00C47206">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 xml:space="preserve">Risque dû au retard de la mise en vigueur du financement additionnel </w:t>
      </w:r>
      <w:r w:rsidRPr="009D01FD">
        <w:rPr>
          <w:sz w:val="22"/>
          <w:lang w:val="fr-FR"/>
        </w:rPr>
        <w:t xml:space="preserve">: </w:t>
      </w:r>
      <w:r w:rsidR="003106D1" w:rsidRPr="009D01FD">
        <w:rPr>
          <w:sz w:val="22"/>
          <w:lang w:val="fr-FR"/>
        </w:rPr>
        <w:t xml:space="preserve">plus de 18 mois après </w:t>
      </w:r>
      <w:r w:rsidR="00C47206" w:rsidRPr="009D01FD">
        <w:rPr>
          <w:sz w:val="22"/>
          <w:lang w:val="fr-FR"/>
        </w:rPr>
        <w:t xml:space="preserve">son approbation par le Conseil d’Administration de la Banque mondiale, </w:t>
      </w:r>
      <w:r w:rsidR="003106D1" w:rsidRPr="009D01FD">
        <w:rPr>
          <w:sz w:val="22"/>
          <w:lang w:val="fr-FR"/>
        </w:rPr>
        <w:t>le financement additionnel</w:t>
      </w:r>
      <w:r w:rsidR="00C47206" w:rsidRPr="009D01FD">
        <w:rPr>
          <w:sz w:val="22"/>
          <w:lang w:val="fr-FR"/>
        </w:rPr>
        <w:t xml:space="preserve"> n’est toujours pas en vigueur et ce malgré les progrès enregistrés sur un nombre important de projets en juillet 2017. </w:t>
      </w:r>
      <w:r w:rsidR="003106D1" w:rsidRPr="009D01FD">
        <w:rPr>
          <w:sz w:val="22"/>
          <w:lang w:val="fr-FR"/>
        </w:rPr>
        <w:t>Les contrats des consultants qui accompagneront le Ministère de la Santé sur l’utilisation des données ne peuvent être signés et les contrats pour l’état civil ne pourront être signés avant la mise en vigueur L</w:t>
      </w:r>
      <w:r w:rsidR="00C47206" w:rsidRPr="009D01FD">
        <w:rPr>
          <w:sz w:val="22"/>
          <w:lang w:val="fr-FR"/>
        </w:rPr>
        <w:t xml:space="preserve">e Conseil des </w:t>
      </w:r>
      <w:r w:rsidR="003106D1" w:rsidRPr="009D01FD">
        <w:rPr>
          <w:sz w:val="22"/>
          <w:lang w:val="fr-FR"/>
        </w:rPr>
        <w:t>M</w:t>
      </w:r>
      <w:r w:rsidR="00C47206" w:rsidRPr="009D01FD">
        <w:rPr>
          <w:sz w:val="22"/>
          <w:lang w:val="fr-FR"/>
        </w:rPr>
        <w:t xml:space="preserve">inistres </w:t>
      </w:r>
      <w:r w:rsidR="003106D1" w:rsidRPr="009D01FD">
        <w:rPr>
          <w:sz w:val="22"/>
          <w:lang w:val="fr-FR"/>
        </w:rPr>
        <w:t>du</w:t>
      </w:r>
      <w:r w:rsidR="00C47206" w:rsidRPr="009D01FD">
        <w:rPr>
          <w:sz w:val="22"/>
          <w:lang w:val="fr-FR"/>
        </w:rPr>
        <w:t xml:space="preserve"> 29 septembre 2017</w:t>
      </w:r>
      <w:r w:rsidR="003106D1" w:rsidRPr="009D01FD">
        <w:rPr>
          <w:sz w:val="22"/>
          <w:lang w:val="fr-FR"/>
        </w:rPr>
        <w:t xml:space="preserve"> a approuvé </w:t>
      </w:r>
      <w:r w:rsidR="00C47206" w:rsidRPr="009D01FD">
        <w:rPr>
          <w:sz w:val="22"/>
          <w:lang w:val="fr-FR"/>
        </w:rPr>
        <w:t xml:space="preserve">le financement additionnel. </w:t>
      </w:r>
      <w:r w:rsidR="00281675" w:rsidRPr="009D01FD">
        <w:rPr>
          <w:sz w:val="22"/>
          <w:lang w:val="fr-FR"/>
        </w:rPr>
        <w:t>I</w:t>
      </w:r>
      <w:r w:rsidR="00C47206" w:rsidRPr="009D01FD">
        <w:rPr>
          <w:sz w:val="22"/>
          <w:lang w:val="fr-FR"/>
        </w:rPr>
        <w:t xml:space="preserve">l reste la </w:t>
      </w:r>
      <w:r w:rsidR="00281675" w:rsidRPr="009D01FD">
        <w:rPr>
          <w:sz w:val="22"/>
          <w:lang w:val="fr-FR"/>
        </w:rPr>
        <w:t>signature de l’</w:t>
      </w:r>
      <w:r w:rsidR="00C47206" w:rsidRPr="009D01FD">
        <w:rPr>
          <w:sz w:val="22"/>
          <w:lang w:val="fr-FR"/>
        </w:rPr>
        <w:t xml:space="preserve">Ordonnance du Chef de l’Etat, </w:t>
      </w:r>
      <w:r w:rsidR="00281675" w:rsidRPr="009D01FD">
        <w:rPr>
          <w:sz w:val="22"/>
          <w:lang w:val="fr-FR"/>
        </w:rPr>
        <w:t>l’</w:t>
      </w:r>
      <w:r w:rsidR="00C47206" w:rsidRPr="009D01FD">
        <w:rPr>
          <w:sz w:val="22"/>
          <w:lang w:val="fr-FR"/>
        </w:rPr>
        <w:t xml:space="preserve">avis juridique du Procureur Général de la République </w:t>
      </w:r>
      <w:r w:rsidR="003106D1" w:rsidRPr="009D01FD">
        <w:rPr>
          <w:sz w:val="22"/>
          <w:lang w:val="fr-FR"/>
        </w:rPr>
        <w:t xml:space="preserve">pour l’accord de financement IDA et l’accord de financement du GFF </w:t>
      </w:r>
      <w:r w:rsidR="00C47206" w:rsidRPr="009D01FD">
        <w:rPr>
          <w:sz w:val="22"/>
          <w:lang w:val="fr-FR"/>
        </w:rPr>
        <w:t xml:space="preserve">et </w:t>
      </w:r>
      <w:r w:rsidR="00281675" w:rsidRPr="009D01FD">
        <w:rPr>
          <w:sz w:val="22"/>
          <w:lang w:val="fr-FR"/>
        </w:rPr>
        <w:t xml:space="preserve">la </w:t>
      </w:r>
      <w:r w:rsidR="00C47206" w:rsidRPr="009D01FD">
        <w:rPr>
          <w:sz w:val="22"/>
          <w:lang w:val="fr-FR"/>
        </w:rPr>
        <w:t>p</w:t>
      </w:r>
      <w:r w:rsidR="00281675" w:rsidRPr="009D01FD">
        <w:rPr>
          <w:sz w:val="22"/>
          <w:lang w:val="fr-FR"/>
        </w:rPr>
        <w:t>ublication au Journal Officiel.</w:t>
      </w:r>
    </w:p>
    <w:p w14:paraId="7874688A" w14:textId="77777777" w:rsidR="00084063" w:rsidRPr="009D01FD" w:rsidRDefault="00084063" w:rsidP="003106D1">
      <w:pPr>
        <w:pStyle w:val="ListParagraph"/>
        <w:autoSpaceDE w:val="0"/>
        <w:autoSpaceDN w:val="0"/>
        <w:adjustRightInd w:val="0"/>
        <w:spacing w:after="0" w:line="240" w:lineRule="auto"/>
        <w:ind w:left="360"/>
        <w:jc w:val="both"/>
        <w:rPr>
          <w:sz w:val="22"/>
          <w:lang w:val="fr-FR"/>
        </w:rPr>
      </w:pPr>
    </w:p>
    <w:p w14:paraId="62F7B544" w14:textId="4405E2D4" w:rsidR="00152551" w:rsidRPr="009D01FD" w:rsidRDefault="0008166E" w:rsidP="00121B37">
      <w:pPr>
        <w:pStyle w:val="ListParagraph"/>
        <w:numPr>
          <w:ilvl w:val="0"/>
          <w:numId w:val="1"/>
        </w:numPr>
        <w:autoSpaceDE w:val="0"/>
        <w:autoSpaceDN w:val="0"/>
        <w:adjustRightInd w:val="0"/>
        <w:spacing w:after="0" w:line="240" w:lineRule="auto"/>
        <w:jc w:val="both"/>
        <w:rPr>
          <w:sz w:val="22"/>
          <w:lang w:val="fr-FR"/>
        </w:rPr>
      </w:pPr>
      <w:r w:rsidRPr="009D01FD">
        <w:rPr>
          <w:b/>
          <w:sz w:val="22"/>
          <w:lang w:val="fr-FR"/>
        </w:rPr>
        <w:t>Progr</w:t>
      </w:r>
      <w:r w:rsidR="00BD6BAD" w:rsidRPr="009D01FD">
        <w:rPr>
          <w:b/>
          <w:sz w:val="22"/>
          <w:lang w:val="fr-FR"/>
        </w:rPr>
        <w:t>è</w:t>
      </w:r>
      <w:r w:rsidRPr="009D01FD">
        <w:rPr>
          <w:b/>
          <w:sz w:val="22"/>
          <w:lang w:val="fr-FR"/>
        </w:rPr>
        <w:t>s vers l</w:t>
      </w:r>
      <w:r w:rsidR="00D5014A" w:rsidRPr="009D01FD">
        <w:rPr>
          <w:b/>
          <w:sz w:val="22"/>
          <w:lang w:val="fr-FR"/>
        </w:rPr>
        <w:t>’objectif de développement du projet</w:t>
      </w:r>
      <w:r w:rsidRPr="009D01FD">
        <w:rPr>
          <w:b/>
          <w:sz w:val="22"/>
          <w:lang w:val="fr-FR"/>
        </w:rPr>
        <w:t>.</w:t>
      </w:r>
      <w:r w:rsidRPr="009D01FD">
        <w:rPr>
          <w:sz w:val="22"/>
          <w:lang w:val="fr-FR"/>
        </w:rPr>
        <w:t xml:space="preserve"> L’objectif</w:t>
      </w:r>
      <w:r w:rsidR="00D5014A" w:rsidRPr="009D01FD">
        <w:rPr>
          <w:sz w:val="22"/>
          <w:lang w:val="fr-FR"/>
        </w:rPr>
        <w:t xml:space="preserve"> est « de renforcer certains systèmes de gestion pour les services d’éducation et de santé dans des zones géographiques ciblées sur le territoire du Bénéficiaire</w:t>
      </w:r>
      <w:r w:rsidR="00FC7A0A" w:rsidRPr="009D01FD">
        <w:rPr>
          <w:sz w:val="22"/>
          <w:lang w:val="fr-FR"/>
        </w:rPr>
        <w:t xml:space="preserve"> </w:t>
      </w:r>
      <w:r w:rsidR="00D5014A" w:rsidRPr="009D01FD">
        <w:rPr>
          <w:sz w:val="22"/>
          <w:lang w:val="fr-FR"/>
        </w:rPr>
        <w:t>»</w:t>
      </w:r>
      <w:r w:rsidR="00C60B90" w:rsidRPr="009D01FD">
        <w:rPr>
          <w:sz w:val="22"/>
          <w:lang w:val="fr-FR"/>
        </w:rPr>
        <w:t>.</w:t>
      </w:r>
      <w:r w:rsidR="002F0AE2" w:rsidRPr="009D01FD">
        <w:rPr>
          <w:sz w:val="22"/>
          <w:lang w:val="fr-FR"/>
        </w:rPr>
        <w:t xml:space="preserve"> Les indicateurs de développement du projet montrent une progression</w:t>
      </w:r>
      <w:r w:rsidR="00281675" w:rsidRPr="009D01FD">
        <w:rPr>
          <w:sz w:val="22"/>
          <w:lang w:val="fr-FR"/>
        </w:rPr>
        <w:t xml:space="preserve"> lente</w:t>
      </w:r>
      <w:r w:rsidR="002F0AE2" w:rsidRPr="009D01FD">
        <w:rPr>
          <w:sz w:val="22"/>
          <w:lang w:val="fr-FR"/>
        </w:rPr>
        <w:t xml:space="preserve"> vers l’atteinte de l’objectif de développement du projet. </w:t>
      </w:r>
      <w:r w:rsidR="003708B3" w:rsidRPr="009D01FD">
        <w:rPr>
          <w:sz w:val="22"/>
          <w:lang w:val="fr-FR"/>
        </w:rPr>
        <w:t>Le</w:t>
      </w:r>
      <w:r w:rsidR="00C6187E" w:rsidRPr="009D01FD">
        <w:rPr>
          <w:sz w:val="22"/>
          <w:lang w:val="fr-FR"/>
        </w:rPr>
        <w:t xml:space="preserve"> cadre de résultats</w:t>
      </w:r>
      <w:r w:rsidR="003708B3" w:rsidRPr="009D01FD">
        <w:rPr>
          <w:sz w:val="22"/>
          <w:lang w:val="fr-FR"/>
        </w:rPr>
        <w:t xml:space="preserve"> </w:t>
      </w:r>
      <w:r w:rsidR="002F0AE2" w:rsidRPr="009D01FD">
        <w:rPr>
          <w:sz w:val="22"/>
          <w:lang w:val="fr-FR"/>
        </w:rPr>
        <w:t>est à l’</w:t>
      </w:r>
      <w:r w:rsidR="00C6187E" w:rsidRPr="009D01FD">
        <w:rPr>
          <w:sz w:val="22"/>
          <w:lang w:val="fr-FR"/>
        </w:rPr>
        <w:fldChar w:fldCharType="begin"/>
      </w:r>
      <w:r w:rsidR="00C6187E" w:rsidRPr="009D01FD">
        <w:rPr>
          <w:sz w:val="22"/>
          <w:lang w:val="fr-FR"/>
        </w:rPr>
        <w:instrText xml:space="preserve"> REF _Ref469514878 \h  \* MERGEFORMAT </w:instrText>
      </w:r>
      <w:r w:rsidR="00C6187E" w:rsidRPr="009D01FD">
        <w:rPr>
          <w:sz w:val="22"/>
          <w:lang w:val="fr-FR"/>
        </w:rPr>
      </w:r>
      <w:r w:rsidR="00C6187E" w:rsidRPr="009D01FD">
        <w:rPr>
          <w:sz w:val="22"/>
          <w:lang w:val="fr-FR"/>
        </w:rPr>
        <w:fldChar w:fldCharType="separate"/>
      </w:r>
      <w:r w:rsidR="00C6187E" w:rsidRPr="009D01FD">
        <w:rPr>
          <w:sz w:val="22"/>
          <w:lang w:val="fr-FR"/>
        </w:rPr>
        <w:t xml:space="preserve">Annexe </w:t>
      </w:r>
      <w:r w:rsidR="00C6187E" w:rsidRPr="009D01FD">
        <w:rPr>
          <w:noProof/>
          <w:sz w:val="22"/>
          <w:lang w:val="fr-FR"/>
        </w:rPr>
        <w:t>1</w:t>
      </w:r>
      <w:r w:rsidR="00C6187E" w:rsidRPr="009D01FD">
        <w:rPr>
          <w:sz w:val="22"/>
          <w:lang w:val="fr-FR"/>
        </w:rPr>
        <w:fldChar w:fldCharType="end"/>
      </w:r>
      <w:r w:rsidR="00C6187E" w:rsidRPr="009D01FD">
        <w:rPr>
          <w:sz w:val="22"/>
          <w:lang w:val="fr-FR"/>
        </w:rPr>
        <w:t xml:space="preserve">. </w:t>
      </w:r>
    </w:p>
    <w:p w14:paraId="2ED02E75" w14:textId="77777777" w:rsidR="002F0AE2" w:rsidRPr="009D01FD" w:rsidRDefault="002F0AE2" w:rsidP="00121B37">
      <w:pPr>
        <w:pStyle w:val="ListParagraph"/>
        <w:autoSpaceDE w:val="0"/>
        <w:autoSpaceDN w:val="0"/>
        <w:adjustRightInd w:val="0"/>
        <w:spacing w:after="0" w:line="240" w:lineRule="auto"/>
        <w:ind w:left="360"/>
        <w:jc w:val="both"/>
        <w:rPr>
          <w:sz w:val="22"/>
          <w:lang w:val="fr-FR"/>
        </w:rPr>
      </w:pPr>
    </w:p>
    <w:p w14:paraId="596AE9E2" w14:textId="1296B26B" w:rsidR="00931FDF" w:rsidRPr="009D01FD" w:rsidRDefault="006650C8" w:rsidP="00121B37">
      <w:pPr>
        <w:pStyle w:val="ListParagraph"/>
        <w:numPr>
          <w:ilvl w:val="0"/>
          <w:numId w:val="1"/>
        </w:numPr>
        <w:autoSpaceDE w:val="0"/>
        <w:autoSpaceDN w:val="0"/>
        <w:adjustRightInd w:val="0"/>
        <w:spacing w:after="0" w:line="240" w:lineRule="auto"/>
        <w:jc w:val="both"/>
        <w:rPr>
          <w:lang w:val="fr-FR"/>
        </w:rPr>
      </w:pPr>
      <w:r w:rsidRPr="009D01FD">
        <w:rPr>
          <w:b/>
          <w:sz w:val="22"/>
          <w:lang w:val="fr-FR"/>
        </w:rPr>
        <w:t>Les décaissements</w:t>
      </w:r>
      <w:r w:rsidR="00DB5642" w:rsidRPr="009D01FD">
        <w:rPr>
          <w:sz w:val="22"/>
          <w:lang w:val="fr-FR"/>
        </w:rPr>
        <w:t xml:space="preserve"> sont équivalents à </w:t>
      </w:r>
      <w:r w:rsidR="00273A22" w:rsidRPr="009D01FD">
        <w:rPr>
          <w:sz w:val="22"/>
          <w:lang w:val="fr-FR"/>
        </w:rPr>
        <w:t>4</w:t>
      </w:r>
      <w:r w:rsidR="00281675" w:rsidRPr="009D01FD">
        <w:rPr>
          <w:sz w:val="22"/>
          <w:lang w:val="fr-FR"/>
        </w:rPr>
        <w:t>9</w:t>
      </w:r>
      <w:r w:rsidR="00DB5642" w:rsidRPr="009D01FD">
        <w:rPr>
          <w:sz w:val="22"/>
          <w:lang w:val="fr-FR"/>
        </w:rPr>
        <w:t xml:space="preserve"> pourcent des ressources du financement initial au </w:t>
      </w:r>
      <w:r w:rsidR="00FF3891" w:rsidRPr="009D01FD">
        <w:rPr>
          <w:sz w:val="22"/>
          <w:lang w:val="fr-FR"/>
        </w:rPr>
        <w:t>8 août 2017</w:t>
      </w:r>
      <w:r w:rsidR="00DB5642" w:rsidRPr="009D01FD">
        <w:rPr>
          <w:sz w:val="22"/>
          <w:lang w:val="fr-FR"/>
        </w:rPr>
        <w:t xml:space="preserve">. </w:t>
      </w:r>
      <w:r w:rsidR="00931FDF" w:rsidRPr="009D01FD">
        <w:rPr>
          <w:sz w:val="22"/>
          <w:lang w:val="fr-FR"/>
        </w:rPr>
        <w:t xml:space="preserve">Ceci représente seulement </w:t>
      </w:r>
      <w:r w:rsidR="00FF3891" w:rsidRPr="009D01FD">
        <w:rPr>
          <w:sz w:val="22"/>
          <w:lang w:val="fr-FR"/>
        </w:rPr>
        <w:t>15</w:t>
      </w:r>
      <w:r w:rsidR="00931FDF" w:rsidRPr="009D01FD">
        <w:rPr>
          <w:sz w:val="22"/>
          <w:lang w:val="fr-FR"/>
        </w:rPr>
        <w:t xml:space="preserve"> pourcent des </w:t>
      </w:r>
      <w:r w:rsidR="00FF3891" w:rsidRPr="009D01FD">
        <w:rPr>
          <w:sz w:val="22"/>
          <w:lang w:val="fr-FR"/>
        </w:rPr>
        <w:t>45</w:t>
      </w:r>
      <w:r w:rsidR="00931FDF" w:rsidRPr="009D01FD">
        <w:rPr>
          <w:sz w:val="22"/>
          <w:lang w:val="fr-FR"/>
        </w:rPr>
        <w:t xml:space="preserve"> 000 000 </w:t>
      </w:r>
      <w:r w:rsidR="00281675" w:rsidRPr="009D01FD">
        <w:rPr>
          <w:sz w:val="22"/>
          <w:lang w:val="fr-FR"/>
        </w:rPr>
        <w:t>prévu dans le cadre du</w:t>
      </w:r>
      <w:r w:rsidR="00931FDF" w:rsidRPr="009D01FD">
        <w:rPr>
          <w:sz w:val="22"/>
          <w:lang w:val="fr-FR"/>
        </w:rPr>
        <w:t xml:space="preserve"> financement additionnel qui reste à mettre en vigueur</w:t>
      </w:r>
      <w:r w:rsidR="00281675" w:rsidRPr="009D01FD">
        <w:rPr>
          <w:sz w:val="22"/>
          <w:lang w:val="fr-FR"/>
        </w:rPr>
        <w:t>,</w:t>
      </w:r>
      <w:r w:rsidR="00931FDF" w:rsidRPr="009D01FD">
        <w:rPr>
          <w:sz w:val="22"/>
          <w:lang w:val="fr-FR"/>
        </w:rPr>
        <w:t xml:space="preserve"> malgré le fait que la restructuration de janvier 2016 permet l’exécution de ses activités avec les ressources du financement initial.</w:t>
      </w:r>
      <w:r w:rsidR="00EF7C57" w:rsidRPr="009D01FD">
        <w:rPr>
          <w:sz w:val="22"/>
          <w:lang w:val="fr-FR"/>
        </w:rPr>
        <w:t xml:space="preserve"> </w:t>
      </w:r>
      <w:r w:rsidR="00931FDF" w:rsidRPr="009D01FD">
        <w:rPr>
          <w:sz w:val="22"/>
          <w:lang w:val="fr-FR"/>
        </w:rPr>
        <w:t xml:space="preserve"> </w:t>
      </w:r>
      <w:r w:rsidR="00C0465A" w:rsidRPr="009D01FD">
        <w:rPr>
          <w:sz w:val="22"/>
          <w:lang w:val="fr-FR"/>
        </w:rPr>
        <w:t xml:space="preserve">Le taux de décaissement des ressources disponibles au début de l’année </w:t>
      </w:r>
      <w:r w:rsidR="00C6187E" w:rsidRPr="009D01FD">
        <w:rPr>
          <w:sz w:val="22"/>
          <w:lang w:val="fr-FR"/>
        </w:rPr>
        <w:t>fiscale 2017</w:t>
      </w:r>
      <w:r w:rsidR="00C0465A" w:rsidRPr="009D01FD">
        <w:rPr>
          <w:sz w:val="22"/>
          <w:lang w:val="fr-FR"/>
        </w:rPr>
        <w:t xml:space="preserve"> </w:t>
      </w:r>
      <w:r w:rsidR="00C6187E" w:rsidRPr="009D01FD">
        <w:rPr>
          <w:sz w:val="22"/>
          <w:lang w:val="fr-FR"/>
        </w:rPr>
        <w:t xml:space="preserve">(juillet 2016-juin 2017) </w:t>
      </w:r>
      <w:r w:rsidR="00FF3891" w:rsidRPr="009D01FD">
        <w:rPr>
          <w:sz w:val="22"/>
          <w:lang w:val="fr-FR"/>
        </w:rPr>
        <w:t>était</w:t>
      </w:r>
      <w:r w:rsidR="00C0465A" w:rsidRPr="009D01FD">
        <w:rPr>
          <w:sz w:val="22"/>
          <w:lang w:val="fr-FR"/>
        </w:rPr>
        <w:t xml:space="preserve"> de </w:t>
      </w:r>
      <w:r w:rsidR="00C6187E" w:rsidRPr="009D01FD">
        <w:rPr>
          <w:sz w:val="22"/>
          <w:lang w:val="fr-FR"/>
        </w:rPr>
        <w:t>9,5</w:t>
      </w:r>
      <w:r w:rsidR="00C0465A" w:rsidRPr="009D01FD">
        <w:rPr>
          <w:sz w:val="22"/>
          <w:lang w:val="fr-FR"/>
        </w:rPr>
        <w:t xml:space="preserve"> pour-cent</w:t>
      </w:r>
      <w:r w:rsidR="00943322" w:rsidRPr="009D01FD">
        <w:rPr>
          <w:sz w:val="22"/>
          <w:lang w:val="fr-FR"/>
        </w:rPr>
        <w:t>.</w:t>
      </w:r>
    </w:p>
    <w:p w14:paraId="031A8EAB" w14:textId="33E5F8B8" w:rsidR="005A2EDF" w:rsidRPr="009D01FD" w:rsidRDefault="00931FDF" w:rsidP="00121B37">
      <w:pPr>
        <w:autoSpaceDE w:val="0"/>
        <w:autoSpaceDN w:val="0"/>
        <w:adjustRightInd w:val="0"/>
        <w:spacing w:after="0" w:line="240" w:lineRule="auto"/>
        <w:jc w:val="both"/>
        <w:rPr>
          <w:lang w:val="fr-FR"/>
        </w:rPr>
      </w:pPr>
      <w:r w:rsidRPr="009D01FD">
        <w:rPr>
          <w:lang w:val="fr-FR"/>
        </w:rPr>
        <w:t xml:space="preserve"> </w:t>
      </w:r>
    </w:p>
    <w:p w14:paraId="4830B0C1" w14:textId="0106AC93" w:rsidR="00E949DB" w:rsidRPr="009D01FD" w:rsidRDefault="00E949DB" w:rsidP="00121B37">
      <w:pPr>
        <w:keepNext/>
        <w:keepLines/>
        <w:spacing w:after="0" w:line="240" w:lineRule="auto"/>
        <w:outlineLvl w:val="0"/>
        <w:rPr>
          <w:lang w:val="fr-FR"/>
        </w:rPr>
      </w:pPr>
      <w:r w:rsidRPr="009D01FD">
        <w:rPr>
          <w:b/>
          <w:lang w:val="fr-FR"/>
        </w:rPr>
        <w:lastRenderedPageBreak/>
        <w:t>III. Constats</w:t>
      </w:r>
    </w:p>
    <w:p w14:paraId="0EF9B428" w14:textId="3703B731" w:rsidR="00E949DB" w:rsidRPr="009D01FD" w:rsidRDefault="00E949DB" w:rsidP="00121B37">
      <w:pPr>
        <w:keepNext/>
        <w:keepLines/>
        <w:autoSpaceDE w:val="0"/>
        <w:autoSpaceDN w:val="0"/>
        <w:adjustRightInd w:val="0"/>
        <w:spacing w:after="0" w:line="240" w:lineRule="auto"/>
        <w:jc w:val="both"/>
        <w:rPr>
          <w:sz w:val="22"/>
          <w:lang w:val="fr-FR"/>
        </w:rPr>
      </w:pPr>
    </w:p>
    <w:p w14:paraId="2497AB11" w14:textId="331AB0AB" w:rsidR="00750B45" w:rsidRPr="009D01FD" w:rsidRDefault="00750B45" w:rsidP="00121B37">
      <w:pPr>
        <w:keepNext/>
        <w:keepLines/>
        <w:autoSpaceDE w:val="0"/>
        <w:autoSpaceDN w:val="0"/>
        <w:adjustRightInd w:val="0"/>
        <w:spacing w:after="0" w:line="240" w:lineRule="auto"/>
        <w:jc w:val="both"/>
        <w:rPr>
          <w:b/>
          <w:sz w:val="22"/>
          <w:lang w:val="fr-FR"/>
        </w:rPr>
      </w:pPr>
      <w:r w:rsidRPr="009D01FD">
        <w:rPr>
          <w:b/>
          <w:sz w:val="22"/>
          <w:lang w:val="fr-FR"/>
        </w:rPr>
        <w:t>Tableau 1</w:t>
      </w:r>
      <w:r w:rsidR="00913592" w:rsidRPr="009D01FD">
        <w:rPr>
          <w:b/>
          <w:sz w:val="22"/>
          <w:lang w:val="fr-FR"/>
        </w:rPr>
        <w:t xml:space="preserve">. </w:t>
      </w:r>
      <w:r w:rsidRPr="009D01FD">
        <w:rPr>
          <w:b/>
          <w:sz w:val="22"/>
          <w:lang w:val="fr-FR"/>
        </w:rPr>
        <w:t xml:space="preserve"> </w:t>
      </w:r>
      <w:r w:rsidR="00913592" w:rsidRPr="009D01FD">
        <w:rPr>
          <w:b/>
          <w:sz w:val="22"/>
          <w:lang w:val="fr-FR"/>
        </w:rPr>
        <w:t>Résumé</w:t>
      </w:r>
      <w:r w:rsidRPr="009D01FD">
        <w:rPr>
          <w:b/>
          <w:sz w:val="22"/>
          <w:lang w:val="fr-FR"/>
        </w:rPr>
        <w:t xml:space="preserve"> des forces, faiblesses, opportunités et menaces</w:t>
      </w:r>
    </w:p>
    <w:p w14:paraId="2C60324C" w14:textId="77777777" w:rsidR="00750B45" w:rsidRPr="009D01FD" w:rsidRDefault="00750B45" w:rsidP="00121B37">
      <w:pPr>
        <w:keepNext/>
        <w:keepLines/>
        <w:autoSpaceDE w:val="0"/>
        <w:autoSpaceDN w:val="0"/>
        <w:adjustRightInd w:val="0"/>
        <w:spacing w:after="0" w:line="240" w:lineRule="auto"/>
        <w:jc w:val="both"/>
        <w:rPr>
          <w:sz w:val="22"/>
          <w:lang w:val="fr-FR"/>
        </w:rPr>
      </w:pPr>
    </w:p>
    <w:tbl>
      <w:tblPr>
        <w:tblStyle w:val="TableGrid"/>
        <w:tblW w:w="0" w:type="auto"/>
        <w:tblLook w:val="04A0" w:firstRow="1" w:lastRow="0" w:firstColumn="1" w:lastColumn="0" w:noHBand="0" w:noVBand="1"/>
      </w:tblPr>
      <w:tblGrid>
        <w:gridCol w:w="1390"/>
        <w:gridCol w:w="3584"/>
        <w:gridCol w:w="4376"/>
      </w:tblGrid>
      <w:tr w:rsidR="00750B45" w:rsidRPr="009D01FD" w14:paraId="56AE313D" w14:textId="77777777" w:rsidTr="00750B45">
        <w:tc>
          <w:tcPr>
            <w:tcW w:w="1345" w:type="dxa"/>
          </w:tcPr>
          <w:p w14:paraId="6848FB16" w14:textId="77777777" w:rsidR="00750B45" w:rsidRPr="009D01FD" w:rsidRDefault="00750B45" w:rsidP="00121B37">
            <w:pPr>
              <w:keepNext/>
              <w:keepLines/>
              <w:autoSpaceDE w:val="0"/>
              <w:autoSpaceDN w:val="0"/>
              <w:adjustRightInd w:val="0"/>
              <w:spacing w:after="0" w:line="240" w:lineRule="auto"/>
              <w:jc w:val="both"/>
              <w:rPr>
                <w:sz w:val="22"/>
                <w:lang w:val="fr-FR"/>
              </w:rPr>
            </w:pPr>
          </w:p>
        </w:tc>
        <w:tc>
          <w:tcPr>
            <w:tcW w:w="3600" w:type="dxa"/>
          </w:tcPr>
          <w:p w14:paraId="52D55A3A" w14:textId="7B2CE836" w:rsidR="00750B45" w:rsidRPr="009D01FD" w:rsidRDefault="00750B45" w:rsidP="00121B37">
            <w:pPr>
              <w:keepNext/>
              <w:keepLines/>
              <w:autoSpaceDE w:val="0"/>
              <w:autoSpaceDN w:val="0"/>
              <w:adjustRightInd w:val="0"/>
              <w:spacing w:after="0" w:line="240" w:lineRule="auto"/>
              <w:jc w:val="both"/>
              <w:rPr>
                <w:b/>
                <w:sz w:val="22"/>
                <w:lang w:val="fr-FR"/>
              </w:rPr>
            </w:pPr>
            <w:r w:rsidRPr="009D01FD">
              <w:rPr>
                <w:b/>
                <w:sz w:val="22"/>
                <w:lang w:val="fr-FR"/>
              </w:rPr>
              <w:t>Forces</w:t>
            </w:r>
          </w:p>
        </w:tc>
        <w:tc>
          <w:tcPr>
            <w:tcW w:w="4405" w:type="dxa"/>
          </w:tcPr>
          <w:p w14:paraId="5DF337BD" w14:textId="44F57C0A" w:rsidR="00750B45" w:rsidRPr="009D01FD" w:rsidRDefault="00750B45" w:rsidP="00121B37">
            <w:pPr>
              <w:keepNext/>
              <w:keepLines/>
              <w:autoSpaceDE w:val="0"/>
              <w:autoSpaceDN w:val="0"/>
              <w:adjustRightInd w:val="0"/>
              <w:spacing w:after="0" w:line="240" w:lineRule="auto"/>
              <w:jc w:val="both"/>
              <w:rPr>
                <w:b/>
                <w:sz w:val="22"/>
                <w:lang w:val="fr-FR"/>
              </w:rPr>
            </w:pPr>
            <w:r w:rsidRPr="009D01FD">
              <w:rPr>
                <w:b/>
                <w:sz w:val="22"/>
                <w:lang w:val="fr-FR"/>
              </w:rPr>
              <w:t>Faiblesses</w:t>
            </w:r>
          </w:p>
        </w:tc>
      </w:tr>
      <w:tr w:rsidR="00750B45" w:rsidRPr="007D04BC" w14:paraId="04174C1E" w14:textId="77777777" w:rsidTr="00750B45">
        <w:tc>
          <w:tcPr>
            <w:tcW w:w="1345" w:type="dxa"/>
          </w:tcPr>
          <w:p w14:paraId="73A3DA5B" w14:textId="56FE87FA" w:rsidR="00750B45" w:rsidRPr="009D01FD" w:rsidRDefault="003A3268" w:rsidP="00121B37">
            <w:pPr>
              <w:keepNext/>
              <w:keepLines/>
              <w:autoSpaceDE w:val="0"/>
              <w:autoSpaceDN w:val="0"/>
              <w:adjustRightInd w:val="0"/>
              <w:spacing w:after="0" w:line="240" w:lineRule="auto"/>
              <w:jc w:val="both"/>
              <w:rPr>
                <w:b/>
                <w:sz w:val="22"/>
                <w:lang w:val="fr-FR"/>
              </w:rPr>
            </w:pPr>
            <w:r w:rsidRPr="009D01FD">
              <w:rPr>
                <w:b/>
                <w:sz w:val="22"/>
                <w:lang w:val="fr-FR"/>
              </w:rPr>
              <w:t>Opportunité</w:t>
            </w:r>
          </w:p>
        </w:tc>
        <w:tc>
          <w:tcPr>
            <w:tcW w:w="3600" w:type="dxa"/>
          </w:tcPr>
          <w:p w14:paraId="722AF1F8" w14:textId="77777777" w:rsidR="00750B45" w:rsidRPr="009D01FD" w:rsidRDefault="00750B45"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SIGE : annuaire 2017/18 conjoint</w:t>
            </w:r>
          </w:p>
          <w:p w14:paraId="329B2834" w14:textId="552E2F22" w:rsidR="00750B45" w:rsidRPr="009D01FD" w:rsidRDefault="00750B45"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SNIS : intégration des recommandations Epiconcept</w:t>
            </w:r>
          </w:p>
          <w:p w14:paraId="67D307F6" w14:textId="48537DD6" w:rsidR="00EF7C57" w:rsidRPr="009D01FD" w:rsidRDefault="00EF7C57"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 xml:space="preserve">Enquête SDI : approbation de la méthodologie et des outils </w:t>
            </w:r>
          </w:p>
          <w:p w14:paraId="14AA5D2C" w14:textId="77777777" w:rsidR="00D811FC" w:rsidRPr="009D01FD" w:rsidRDefault="00D811FC"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Etat civil : partenariat interministériel</w:t>
            </w:r>
          </w:p>
          <w:p w14:paraId="6FFCD628" w14:textId="71636351" w:rsidR="00EF7C57" w:rsidRPr="009D01FD" w:rsidRDefault="00EF7C57"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 xml:space="preserve">Etudes : </w:t>
            </w:r>
            <w:r w:rsidR="003106D1" w:rsidRPr="009D01FD">
              <w:rPr>
                <w:sz w:val="22"/>
                <w:lang w:val="fr-FR"/>
              </w:rPr>
              <w:t>intégration du rapport de transformation des CPS en CAS dans le nouveau projet de protection sociale</w:t>
            </w:r>
          </w:p>
        </w:tc>
        <w:tc>
          <w:tcPr>
            <w:tcW w:w="4405" w:type="dxa"/>
          </w:tcPr>
          <w:p w14:paraId="2902A226" w14:textId="77777777" w:rsidR="00750B45" w:rsidRPr="009D01FD" w:rsidRDefault="00750B45"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SNIS : performance fiduciaire à revoir</w:t>
            </w:r>
          </w:p>
          <w:p w14:paraId="25BC76C8" w14:textId="77777777" w:rsidR="00D811FC" w:rsidRPr="009D01FD" w:rsidRDefault="00D811FC"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Etat civil : conclure les contrats</w:t>
            </w:r>
          </w:p>
          <w:p w14:paraId="7D193923" w14:textId="77777777" w:rsidR="000B4D85" w:rsidRPr="009D01FD" w:rsidRDefault="000B4D85"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 xml:space="preserve">DPM : portail web en finalisation pour répondre au constat </w:t>
            </w:r>
            <w:r w:rsidR="006923A1" w:rsidRPr="009D01FD">
              <w:rPr>
                <w:sz w:val="22"/>
                <w:lang w:val="fr-FR"/>
              </w:rPr>
              <w:t>de l’</w:t>
            </w:r>
            <w:r w:rsidRPr="009D01FD">
              <w:rPr>
                <w:sz w:val="22"/>
                <w:lang w:val="fr-FR"/>
              </w:rPr>
              <w:t xml:space="preserve">OMS </w:t>
            </w:r>
            <w:r w:rsidR="006923A1" w:rsidRPr="009D01FD">
              <w:rPr>
                <w:sz w:val="22"/>
                <w:lang w:val="fr-FR"/>
              </w:rPr>
              <w:t>en</w:t>
            </w:r>
            <w:r w:rsidRPr="009D01FD">
              <w:rPr>
                <w:sz w:val="22"/>
                <w:lang w:val="fr-FR"/>
              </w:rPr>
              <w:t xml:space="preserve"> 2014</w:t>
            </w:r>
          </w:p>
          <w:p w14:paraId="51B0BB89" w14:textId="345A9156" w:rsidR="00B46919" w:rsidRPr="009D01FD" w:rsidRDefault="00B46919"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FEDECAME : fonds des PTF et manuels à mettre en place</w:t>
            </w:r>
          </w:p>
        </w:tc>
      </w:tr>
      <w:tr w:rsidR="00750B45" w:rsidRPr="007D04BC" w14:paraId="4C9967EB" w14:textId="77777777" w:rsidTr="00750B45">
        <w:tc>
          <w:tcPr>
            <w:tcW w:w="1345" w:type="dxa"/>
          </w:tcPr>
          <w:p w14:paraId="0CCFCA1B" w14:textId="0EBBC094" w:rsidR="00750B45" w:rsidRPr="009D01FD" w:rsidRDefault="00750B45" w:rsidP="00121B37">
            <w:pPr>
              <w:keepNext/>
              <w:keepLines/>
              <w:autoSpaceDE w:val="0"/>
              <w:autoSpaceDN w:val="0"/>
              <w:adjustRightInd w:val="0"/>
              <w:spacing w:after="0" w:line="240" w:lineRule="auto"/>
              <w:jc w:val="both"/>
              <w:rPr>
                <w:b/>
                <w:sz w:val="22"/>
                <w:lang w:val="fr-FR"/>
              </w:rPr>
            </w:pPr>
            <w:r w:rsidRPr="009D01FD">
              <w:rPr>
                <w:b/>
                <w:sz w:val="22"/>
                <w:lang w:val="fr-FR"/>
              </w:rPr>
              <w:t>Menace</w:t>
            </w:r>
          </w:p>
        </w:tc>
        <w:tc>
          <w:tcPr>
            <w:tcW w:w="3600" w:type="dxa"/>
          </w:tcPr>
          <w:p w14:paraId="315D0EA8" w14:textId="77777777" w:rsidR="00750B45" w:rsidRPr="009D01FD" w:rsidRDefault="00BB045B"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 xml:space="preserve">DPM : retard sur les TDR du </w:t>
            </w:r>
            <w:r w:rsidR="00A00188" w:rsidRPr="009D01FD">
              <w:rPr>
                <w:sz w:val="22"/>
                <w:lang w:val="fr-FR"/>
              </w:rPr>
              <w:t>financement basé sur la performance</w:t>
            </w:r>
          </w:p>
          <w:p w14:paraId="1A8931EC" w14:textId="6A9EA18C" w:rsidR="006249AC" w:rsidRPr="009D01FD" w:rsidRDefault="006249AC"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PNAM : retards sur la feuille de route SIGL</w:t>
            </w:r>
          </w:p>
        </w:tc>
        <w:tc>
          <w:tcPr>
            <w:tcW w:w="4405" w:type="dxa"/>
          </w:tcPr>
          <w:p w14:paraId="3F62D5B5" w14:textId="7C498958" w:rsidR="00EC0D9D" w:rsidRPr="009D01FD" w:rsidRDefault="00EC0D9D" w:rsidP="001D1293">
            <w:pPr>
              <w:pStyle w:val="ListParagraph"/>
              <w:keepNext/>
              <w:keepLines/>
              <w:numPr>
                <w:ilvl w:val="0"/>
                <w:numId w:val="3"/>
              </w:numPr>
              <w:autoSpaceDE w:val="0"/>
              <w:autoSpaceDN w:val="0"/>
              <w:adjustRightInd w:val="0"/>
              <w:spacing w:after="0" w:line="240" w:lineRule="auto"/>
              <w:rPr>
                <w:sz w:val="22"/>
                <w:u w:val="single"/>
                <w:lang w:val="fr-FR"/>
              </w:rPr>
            </w:pPr>
            <w:r w:rsidRPr="009D01FD">
              <w:rPr>
                <w:sz w:val="22"/>
                <w:u w:val="single"/>
                <w:lang w:val="fr-FR"/>
              </w:rPr>
              <w:t>Mise en vigueur du financement additionnel</w:t>
            </w:r>
          </w:p>
          <w:p w14:paraId="37630EC7" w14:textId="30A75B64" w:rsidR="00750B45" w:rsidRPr="009D01FD" w:rsidRDefault="00750B45"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SIGE : contrat UNESCO</w:t>
            </w:r>
          </w:p>
          <w:p w14:paraId="1C4CE27C" w14:textId="58087CD4" w:rsidR="006249AC" w:rsidRPr="009D01FD" w:rsidRDefault="006249AC" w:rsidP="001D1293">
            <w:pPr>
              <w:pStyle w:val="ListParagraph"/>
              <w:keepNext/>
              <w:keepLines/>
              <w:numPr>
                <w:ilvl w:val="0"/>
                <w:numId w:val="3"/>
              </w:numPr>
              <w:autoSpaceDE w:val="0"/>
              <w:autoSpaceDN w:val="0"/>
              <w:adjustRightInd w:val="0"/>
              <w:spacing w:after="0" w:line="240" w:lineRule="auto"/>
              <w:rPr>
                <w:sz w:val="22"/>
                <w:lang w:val="fr-FR"/>
              </w:rPr>
            </w:pPr>
            <w:r w:rsidRPr="009D01FD">
              <w:rPr>
                <w:sz w:val="22"/>
                <w:lang w:val="fr-FR"/>
              </w:rPr>
              <w:t xml:space="preserve">PNAM : étude logistique annulée pour doublon </w:t>
            </w:r>
            <w:r w:rsidR="00356651" w:rsidRPr="009D01FD">
              <w:rPr>
                <w:sz w:val="22"/>
                <w:lang w:val="fr-FR"/>
              </w:rPr>
              <w:t xml:space="preserve">volontaire </w:t>
            </w:r>
            <w:r w:rsidRPr="009D01FD">
              <w:rPr>
                <w:sz w:val="22"/>
                <w:lang w:val="fr-FR"/>
              </w:rPr>
              <w:t>et marché infructueux</w:t>
            </w:r>
          </w:p>
        </w:tc>
      </w:tr>
    </w:tbl>
    <w:p w14:paraId="5CF1A036" w14:textId="5A1E73C8" w:rsidR="00750B45" w:rsidRPr="009D01FD" w:rsidRDefault="009A2FDE" w:rsidP="00121B37">
      <w:pPr>
        <w:keepNext/>
        <w:keepLines/>
        <w:autoSpaceDE w:val="0"/>
        <w:autoSpaceDN w:val="0"/>
        <w:adjustRightInd w:val="0"/>
        <w:spacing w:after="0" w:line="240" w:lineRule="auto"/>
        <w:jc w:val="both"/>
        <w:rPr>
          <w:sz w:val="20"/>
          <w:lang w:val="fr-FR"/>
        </w:rPr>
      </w:pPr>
      <w:r w:rsidRPr="009D01FD">
        <w:rPr>
          <w:sz w:val="20"/>
          <w:lang w:val="fr-FR"/>
        </w:rPr>
        <w:t>N.B. Les détails sont dans les paragraphes suivants.</w:t>
      </w:r>
    </w:p>
    <w:p w14:paraId="666F3C94" w14:textId="77777777" w:rsidR="0021623E" w:rsidRPr="009D01FD" w:rsidRDefault="0021623E" w:rsidP="00121B37">
      <w:pPr>
        <w:pStyle w:val="ListParagraph"/>
        <w:widowControl w:val="0"/>
        <w:autoSpaceDE w:val="0"/>
        <w:autoSpaceDN w:val="0"/>
        <w:adjustRightInd w:val="0"/>
        <w:spacing w:after="0" w:line="240" w:lineRule="auto"/>
        <w:ind w:left="360"/>
        <w:jc w:val="both"/>
        <w:rPr>
          <w:sz w:val="22"/>
          <w:lang w:val="fr-FR"/>
        </w:rPr>
      </w:pPr>
    </w:p>
    <w:p w14:paraId="4709E646" w14:textId="4B1985D8" w:rsidR="0021623E" w:rsidRPr="009D01FD" w:rsidRDefault="0021623E"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Cadre de résultats </w:t>
      </w:r>
      <w:r w:rsidRPr="009D01FD">
        <w:rPr>
          <w:sz w:val="22"/>
          <w:lang w:val="fr-FR"/>
        </w:rPr>
        <w:t>: la CFEF a décomposé les indicateurs pour permettre d’analyser les progrès et les manquements. Un élément qui revient est le manque de disponibilité sur internet de certains résultats</w:t>
      </w:r>
      <w:r w:rsidR="00BA28F2" w:rsidRPr="009D01FD">
        <w:rPr>
          <w:sz w:val="22"/>
          <w:lang w:val="fr-FR"/>
        </w:rPr>
        <w:t xml:space="preserve"> à publier par les structures </w:t>
      </w:r>
      <w:r w:rsidR="003106D1" w:rsidRPr="009D01FD">
        <w:rPr>
          <w:sz w:val="22"/>
          <w:lang w:val="fr-FR"/>
        </w:rPr>
        <w:t>bénéficiaires</w:t>
      </w:r>
      <w:r w:rsidR="00BA28F2" w:rsidRPr="009D01FD">
        <w:rPr>
          <w:sz w:val="22"/>
          <w:lang w:val="fr-FR"/>
        </w:rPr>
        <w:t xml:space="preserve"> du projet</w:t>
      </w:r>
      <w:r w:rsidRPr="009D01FD">
        <w:rPr>
          <w:sz w:val="22"/>
          <w:lang w:val="fr-FR"/>
        </w:rPr>
        <w:t xml:space="preserve">, </w:t>
      </w:r>
      <w:r w:rsidR="00BA28F2" w:rsidRPr="009D01FD">
        <w:rPr>
          <w:sz w:val="22"/>
          <w:lang w:val="fr-FR"/>
        </w:rPr>
        <w:t xml:space="preserve">notamment </w:t>
      </w:r>
      <w:r w:rsidRPr="009D01FD">
        <w:rPr>
          <w:sz w:val="22"/>
          <w:lang w:val="fr-FR"/>
        </w:rPr>
        <w:t xml:space="preserve">les plans d’actions opérationnels et les rapports annuels sur la base du SNIS (la DEP ne met pas les résultats sur le site du ministère) ou le manque de ces mêmes plans sur la base des données du SIGE (retard sur l’activité). La mission rappelle que les bénéficiaires doivent communiquer leurs résultats au moins trimestriellement à la CFEF. </w:t>
      </w:r>
    </w:p>
    <w:p w14:paraId="2BC14BD9" w14:textId="5D87C676" w:rsidR="0021623E" w:rsidRPr="009D01FD" w:rsidRDefault="0021623E" w:rsidP="00121B37">
      <w:pPr>
        <w:spacing w:after="0" w:line="240" w:lineRule="auto"/>
        <w:rPr>
          <w:sz w:val="22"/>
          <w:lang w:val="fr-FR"/>
        </w:rPr>
      </w:pPr>
    </w:p>
    <w:p w14:paraId="4FAD4CD6" w14:textId="03C470B4"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u w:val="single"/>
          <w:lang w:val="fr-FR"/>
        </w:rPr>
      </w:pPr>
      <w:r w:rsidRPr="009D01FD">
        <w:rPr>
          <w:b/>
          <w:color w:val="000000"/>
          <w:sz w:val="22"/>
          <w:lang w:val="fr-FR"/>
        </w:rPr>
        <w:t>Composante 1a</w:t>
      </w:r>
      <w:r w:rsidRPr="009D01FD">
        <w:rPr>
          <w:sz w:val="22"/>
          <w:lang w:val="fr-FR"/>
        </w:rPr>
        <w:t> : Appui technique au système de gestion de l’information éducationnelle et à la carte scolaire (</w:t>
      </w:r>
      <w:r w:rsidRPr="009D01FD">
        <w:rPr>
          <w:color w:val="000000"/>
          <w:sz w:val="22"/>
          <w:lang w:val="fr-FR"/>
        </w:rPr>
        <w:t xml:space="preserve">environ </w:t>
      </w:r>
      <w:r w:rsidRPr="009D01FD">
        <w:rPr>
          <w:sz w:val="22"/>
          <w:lang w:val="fr-FR"/>
        </w:rPr>
        <w:t>13,02 millions USD)</w:t>
      </w:r>
      <w:r w:rsidRPr="009D01FD">
        <w:rPr>
          <w:i/>
          <w:sz w:val="22"/>
          <w:lang w:val="fr-FR"/>
        </w:rPr>
        <w:t>.</w:t>
      </w:r>
      <w:r w:rsidRPr="009D01FD">
        <w:rPr>
          <w:sz w:val="22"/>
          <w:lang w:val="fr-FR"/>
        </w:rPr>
        <w:t xml:space="preserve"> L’objectif de cette sous-composante est d’améliorer la gouvernance du SIGE et d’appuyer la carte scolaire dans le pays. Le projet fournira une assistance technique au niveau central ainsi qu’à 6 provinces. Un accent particulier sera mis sur le développement d’outils et de capacités pour accroître la redevabilité du système en utilisant l’information à tous les niveaux : central, provincial, sous provincial et communautaire. Cette composante est exécutée par l’UNESCO dans le cadre d’un contrat d’assistance technique signé le 15 mars 2015 avec la CFEF. </w:t>
      </w:r>
      <w:r w:rsidRPr="009D01FD">
        <w:rPr>
          <w:i/>
          <w:sz w:val="22"/>
          <w:lang w:val="fr-FR"/>
        </w:rPr>
        <w:t xml:space="preserve">La sous-composante est </w:t>
      </w:r>
      <w:r w:rsidRPr="009D01FD">
        <w:rPr>
          <w:i/>
          <w:sz w:val="22"/>
          <w:u w:val="single"/>
          <w:lang w:val="fr-FR"/>
        </w:rPr>
        <w:t>insatisfaisante</w:t>
      </w:r>
      <w:r w:rsidRPr="009D01FD">
        <w:rPr>
          <w:i/>
          <w:sz w:val="22"/>
          <w:lang w:val="fr-FR"/>
        </w:rPr>
        <w:t xml:space="preserve">, au vu de l’expiration du contrat sans actions par les parties concernées et le retard accusé. </w:t>
      </w:r>
    </w:p>
    <w:p w14:paraId="1B9E6188" w14:textId="2D309021" w:rsidR="00135F32" w:rsidRPr="009D01FD" w:rsidRDefault="00135F32" w:rsidP="00121B37">
      <w:pPr>
        <w:pStyle w:val="ListParagraph"/>
        <w:numPr>
          <w:ilvl w:val="1"/>
          <w:numId w:val="1"/>
        </w:numPr>
        <w:autoSpaceDE w:val="0"/>
        <w:autoSpaceDN w:val="0"/>
        <w:adjustRightInd w:val="0"/>
        <w:spacing w:after="0" w:line="240" w:lineRule="auto"/>
        <w:jc w:val="both"/>
        <w:rPr>
          <w:sz w:val="22"/>
          <w:lang w:val="fr-FR"/>
        </w:rPr>
      </w:pPr>
      <w:r w:rsidRPr="009D01FD">
        <w:rPr>
          <w:b/>
          <w:sz w:val="22"/>
          <w:lang w:val="fr-FR"/>
        </w:rPr>
        <w:t>Données de référence pour la SSEF par un partenariat SIGE en 2017/18</w:t>
      </w:r>
      <w:r w:rsidRPr="009D01FD">
        <w:rPr>
          <w:sz w:val="22"/>
          <w:lang w:val="fr-FR"/>
        </w:rPr>
        <w:t xml:space="preserve"> : suite à l’atelier </w:t>
      </w:r>
      <w:r w:rsidR="00C6732F" w:rsidRPr="009D01FD">
        <w:rPr>
          <w:sz w:val="22"/>
          <w:lang w:val="fr-FR"/>
        </w:rPr>
        <w:t xml:space="preserve">du </w:t>
      </w:r>
      <w:r w:rsidR="00CB393D" w:rsidRPr="009D01FD">
        <w:rPr>
          <w:sz w:val="22"/>
          <w:lang w:val="fr-FR"/>
        </w:rPr>
        <w:t xml:space="preserve">27 et 28 </w:t>
      </w:r>
      <w:r w:rsidRPr="009D01FD">
        <w:rPr>
          <w:sz w:val="22"/>
          <w:lang w:val="fr-FR"/>
        </w:rPr>
        <w:t xml:space="preserve">février 2017 financé par le projet, le gouvernement et ses partenaires </w:t>
      </w:r>
      <w:r w:rsidR="00CB393D" w:rsidRPr="009D01FD">
        <w:rPr>
          <w:sz w:val="22"/>
          <w:lang w:val="fr-FR"/>
        </w:rPr>
        <w:t xml:space="preserve">du </w:t>
      </w:r>
      <w:r w:rsidRPr="009D01FD">
        <w:rPr>
          <w:sz w:val="22"/>
          <w:lang w:val="fr-FR"/>
        </w:rPr>
        <w:t>SIGE (UNICEF, DFID et USAID par Accélère ! 1, BM par le PRSDHU et UNESCO sur fonds propres) se sont engagés pour un financement conjoint pour produire l’annuaire national de l’EPSP pour 2017/18 sur l’ensemble du territoire national. L’importance du partenariat est conjuguée par la production de données de référence pour la SSEF et la disponibilité de données de routine pour le suivi du projet PME, dont la part variable dépend des résultats qui seront évalués avec les données du SIGE. L’UNESCO s’est engagé à fournir un assistant technique pour la coordination de l’effort, qui commencera par un atelier de micro-planification dans la deuxième quinzaine du mois de septembre.</w:t>
      </w:r>
    </w:p>
    <w:p w14:paraId="7E86C214" w14:textId="0359D1CE" w:rsidR="00135F32" w:rsidRPr="009D01FD" w:rsidRDefault="00135F32" w:rsidP="00121B37">
      <w:pPr>
        <w:pStyle w:val="ListParagraph"/>
        <w:widowControl w:val="0"/>
        <w:numPr>
          <w:ilvl w:val="1"/>
          <w:numId w:val="1"/>
        </w:numPr>
        <w:autoSpaceDE w:val="0"/>
        <w:autoSpaceDN w:val="0"/>
        <w:adjustRightInd w:val="0"/>
        <w:spacing w:after="0" w:line="240" w:lineRule="auto"/>
        <w:jc w:val="both"/>
        <w:rPr>
          <w:sz w:val="22"/>
          <w:u w:val="single"/>
          <w:lang w:val="fr-FR"/>
        </w:rPr>
      </w:pPr>
      <w:r w:rsidRPr="009D01FD">
        <w:rPr>
          <w:b/>
          <w:sz w:val="22"/>
          <w:lang w:val="fr-FR"/>
        </w:rPr>
        <w:t>Contrat UNESCO </w:t>
      </w:r>
      <w:r w:rsidRPr="009D01FD">
        <w:rPr>
          <w:sz w:val="22"/>
          <w:lang w:val="fr-FR"/>
        </w:rPr>
        <w:t xml:space="preserve">: le contrat a pris fin en avril 2017 sans que les parties prenantes </w:t>
      </w:r>
      <w:r w:rsidR="00BA28F2" w:rsidRPr="009D01FD">
        <w:rPr>
          <w:sz w:val="22"/>
          <w:lang w:val="fr-FR"/>
        </w:rPr>
        <w:t>(</w:t>
      </w:r>
      <w:r w:rsidRPr="009D01FD">
        <w:rPr>
          <w:sz w:val="22"/>
          <w:lang w:val="fr-FR"/>
        </w:rPr>
        <w:t xml:space="preserve">CFEF et </w:t>
      </w:r>
      <w:r w:rsidRPr="009D01FD">
        <w:rPr>
          <w:sz w:val="22"/>
          <w:lang w:val="fr-FR"/>
        </w:rPr>
        <w:lastRenderedPageBreak/>
        <w:t xml:space="preserve">UNESCO) n’agissent. En conséquence, la mission a accepté un avenant sans frais, sous réserve qu’un état des lieux des réalisations et un nouveau chronogramme ferme soient établis dans les meilleurs délais. </w:t>
      </w:r>
      <w:r w:rsidR="00923874" w:rsidRPr="009D01FD">
        <w:rPr>
          <w:sz w:val="22"/>
          <w:lang w:val="fr-FR"/>
        </w:rPr>
        <w:t>Un projet d’avenant a été finalisé par la CFEF</w:t>
      </w:r>
      <w:r w:rsidR="001B744A" w:rsidRPr="009D01FD">
        <w:rPr>
          <w:sz w:val="22"/>
          <w:lang w:val="fr-FR"/>
        </w:rPr>
        <w:t xml:space="preserve"> et son aboutissement</w:t>
      </w:r>
      <w:r w:rsidR="00923874" w:rsidRPr="009D01FD">
        <w:rPr>
          <w:sz w:val="22"/>
          <w:lang w:val="fr-FR"/>
        </w:rPr>
        <w:t xml:space="preserve"> dépend de la prise en compte par l’UNESCO de l’impression des questionnaires pour la collecte des données statistiques suite à la requête </w:t>
      </w:r>
      <w:r w:rsidR="00AC1751" w:rsidRPr="009D01FD">
        <w:rPr>
          <w:sz w:val="22"/>
          <w:lang w:val="fr-FR"/>
        </w:rPr>
        <w:t>du MEPSP</w:t>
      </w:r>
      <w:r w:rsidR="00AC1041" w:rsidRPr="009D01FD">
        <w:rPr>
          <w:sz w:val="22"/>
          <w:lang w:val="fr-FR"/>
        </w:rPr>
        <w:t xml:space="preserve"> </w:t>
      </w:r>
      <w:r w:rsidR="00923874" w:rsidRPr="009D01FD">
        <w:rPr>
          <w:sz w:val="22"/>
          <w:lang w:val="fr-FR"/>
        </w:rPr>
        <w:t xml:space="preserve">introduite </w:t>
      </w:r>
      <w:r w:rsidR="00AC1751" w:rsidRPr="009D01FD">
        <w:rPr>
          <w:sz w:val="22"/>
          <w:lang w:val="fr-FR"/>
        </w:rPr>
        <w:t>à l’issue de la</w:t>
      </w:r>
      <w:r w:rsidR="00923874" w:rsidRPr="009D01FD">
        <w:rPr>
          <w:sz w:val="22"/>
          <w:lang w:val="fr-FR"/>
        </w:rPr>
        <w:t xml:space="preserve"> mission. </w:t>
      </w:r>
      <w:r w:rsidRPr="009D01FD">
        <w:rPr>
          <w:sz w:val="22"/>
          <w:lang w:val="fr-FR"/>
        </w:rPr>
        <w:t xml:space="preserve">Au vu de la mobilisation pour l’annuaire 2017, tout délai supplémentaire </w:t>
      </w:r>
      <w:r w:rsidR="00D26FD8" w:rsidRPr="009D01FD">
        <w:rPr>
          <w:sz w:val="22"/>
          <w:lang w:val="fr-FR"/>
        </w:rPr>
        <w:t>sera</w:t>
      </w:r>
      <w:r w:rsidRPr="009D01FD">
        <w:rPr>
          <w:sz w:val="22"/>
          <w:lang w:val="fr-FR"/>
        </w:rPr>
        <w:t xml:space="preserve"> préjudiciable au bon déroulement des activités.</w:t>
      </w:r>
    </w:p>
    <w:p w14:paraId="4669A075" w14:textId="77777777" w:rsidR="00135F32" w:rsidRPr="009D01FD" w:rsidRDefault="00135F32" w:rsidP="00121B37">
      <w:pPr>
        <w:pStyle w:val="ListParagraph"/>
        <w:spacing w:after="0" w:line="240" w:lineRule="auto"/>
        <w:rPr>
          <w:sz w:val="22"/>
          <w:lang w:val="fr-FR"/>
        </w:rPr>
      </w:pPr>
    </w:p>
    <w:p w14:paraId="5D3D85DD" w14:textId="20BFBFC6"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color w:val="000000"/>
          <w:sz w:val="22"/>
          <w:lang w:val="fr-FR"/>
        </w:rPr>
        <w:t>Composante 1b</w:t>
      </w:r>
      <w:r w:rsidR="00973655" w:rsidRPr="009D01FD">
        <w:rPr>
          <w:b/>
          <w:color w:val="000000"/>
          <w:sz w:val="22"/>
          <w:lang w:val="fr-FR"/>
        </w:rPr>
        <w:t xml:space="preserve"> </w:t>
      </w:r>
      <w:r w:rsidRPr="009D01FD">
        <w:rPr>
          <w:color w:val="000000"/>
          <w:sz w:val="22"/>
          <w:lang w:val="fr-FR"/>
        </w:rPr>
        <w:t>: Appui technique au système de gestion de l’information sanitaire (SNIS) et à la carte sanitaire (environ 3,76 millions USD)</w:t>
      </w:r>
      <w:r w:rsidRPr="009D01FD">
        <w:rPr>
          <w:i/>
          <w:color w:val="000000"/>
          <w:sz w:val="22"/>
          <w:lang w:val="fr-FR"/>
        </w:rPr>
        <w:t xml:space="preserve">. </w:t>
      </w:r>
      <w:r w:rsidRPr="009D01FD">
        <w:rPr>
          <w:color w:val="000000"/>
          <w:sz w:val="22"/>
          <w:lang w:val="fr-FR"/>
        </w:rPr>
        <w:t>L’objectif de cette sous-composante est de contribuer à améliorer la gestion de l’information sanitaire et la carte sanitaire à tous les niveaux du système de santé en RDC (national, provincial et zones de santé). Le projet fournira une assistance technique au niveau central de 62 zones de santé</w:t>
      </w:r>
      <w:r w:rsidRPr="009D01FD" w:rsidDel="000A3EC0">
        <w:rPr>
          <w:color w:val="000000"/>
          <w:sz w:val="22"/>
          <w:lang w:val="fr-FR"/>
        </w:rPr>
        <w:t xml:space="preserve"> </w:t>
      </w:r>
      <w:r w:rsidRPr="009D01FD">
        <w:rPr>
          <w:color w:val="000000"/>
          <w:sz w:val="22"/>
          <w:lang w:val="fr-FR"/>
        </w:rPr>
        <w:t>dans 3 Divisions provinciales de la santé (DPS) de Haut-Katanga, du Sud-Ubangi et de Maï-Ndombe</w:t>
      </w:r>
      <w:r w:rsidR="00CB393D" w:rsidRPr="009D01FD">
        <w:rPr>
          <w:color w:val="000000"/>
          <w:sz w:val="22"/>
          <w:lang w:val="fr-FR"/>
        </w:rPr>
        <w:t>.</w:t>
      </w:r>
      <w:r w:rsidRPr="009D01FD">
        <w:rPr>
          <w:color w:val="000000"/>
          <w:sz w:val="22"/>
          <w:lang w:val="fr-FR"/>
        </w:rPr>
        <w:t xml:space="preserve"> Un accent particulier sera placé sur le développement d’outils et</w:t>
      </w:r>
      <w:r w:rsidRPr="009D01FD">
        <w:rPr>
          <w:sz w:val="22"/>
          <w:lang w:val="fr-FR"/>
        </w:rPr>
        <w:t xml:space="preserve"> de capacité pour accroitre la redevabilité du système en utilisant l’information. Cette composante est exécutée par le SANRU dans le cadre d’un contrat d’assistance technique signé le 18 novembre 2015 avec la CFEF. </w:t>
      </w:r>
      <w:r w:rsidRPr="009D01FD">
        <w:rPr>
          <w:i/>
          <w:sz w:val="22"/>
          <w:lang w:val="fr-FR"/>
        </w:rPr>
        <w:t xml:space="preserve">La sous-composante est </w:t>
      </w:r>
      <w:r w:rsidRPr="009D01FD">
        <w:rPr>
          <w:i/>
          <w:sz w:val="22"/>
          <w:u w:val="single"/>
          <w:lang w:val="fr-FR"/>
        </w:rPr>
        <w:t>modérément satisfaisante</w:t>
      </w:r>
      <w:r w:rsidRPr="009D01FD">
        <w:rPr>
          <w:i/>
          <w:sz w:val="22"/>
          <w:lang w:val="fr-FR"/>
        </w:rPr>
        <w:t>, malgré des problèmes fiduciaires entre le ministère et maître d’ouvrage délégué, SANRU, et les difficultés de la D-SNIS de faire afficher les informations nécessaires à l’avancement du cadre de résultats sur le site du ministère qui est géré par la DEP.</w:t>
      </w:r>
    </w:p>
    <w:p w14:paraId="2F26089C" w14:textId="0DB075CC" w:rsidR="00135F32" w:rsidRPr="009D01FD" w:rsidRDefault="00135F32" w:rsidP="00121B37">
      <w:pPr>
        <w:pStyle w:val="ListParagraph"/>
        <w:widowControl w:val="0"/>
        <w:numPr>
          <w:ilvl w:val="1"/>
          <w:numId w:val="1"/>
        </w:numPr>
        <w:autoSpaceDE w:val="0"/>
        <w:autoSpaceDN w:val="0"/>
        <w:adjustRightInd w:val="0"/>
        <w:spacing w:after="0" w:line="240" w:lineRule="auto"/>
        <w:jc w:val="both"/>
        <w:rPr>
          <w:sz w:val="22"/>
          <w:lang w:val="fr-FR"/>
        </w:rPr>
      </w:pPr>
      <w:r w:rsidRPr="009D01FD">
        <w:rPr>
          <w:sz w:val="22"/>
          <w:lang w:val="fr-FR"/>
        </w:rPr>
        <w:t xml:space="preserve">Dépenses </w:t>
      </w:r>
      <w:r w:rsidR="0062237C" w:rsidRPr="009D01FD">
        <w:rPr>
          <w:sz w:val="22"/>
          <w:lang w:val="fr-FR"/>
        </w:rPr>
        <w:t>insuffisamment</w:t>
      </w:r>
      <w:r w:rsidRPr="009D01FD">
        <w:rPr>
          <w:sz w:val="22"/>
          <w:lang w:val="fr-FR"/>
        </w:rPr>
        <w:t xml:space="preserve"> justifi</w:t>
      </w:r>
      <w:r w:rsidR="0062237C" w:rsidRPr="009D01FD">
        <w:rPr>
          <w:sz w:val="22"/>
          <w:lang w:val="fr-FR"/>
        </w:rPr>
        <w:t>ées par SANRU</w:t>
      </w:r>
      <w:r w:rsidRPr="009D01FD">
        <w:rPr>
          <w:sz w:val="22"/>
          <w:lang w:val="fr-FR"/>
        </w:rPr>
        <w:t xml:space="preserve"> : signalé en août 2017, ce problème persiste et retarde l’exécution du projet qui affiche un taux de consommation de 34% après deux ans de contrat. La mission </w:t>
      </w:r>
      <w:r w:rsidR="00E8599E" w:rsidRPr="009D01FD">
        <w:rPr>
          <w:sz w:val="22"/>
          <w:lang w:val="fr-FR"/>
        </w:rPr>
        <w:t>déplore la continuation de ce phénomène pour lequel une solution est attendue depuis un an</w:t>
      </w:r>
      <w:r w:rsidR="00C6732F" w:rsidRPr="009D01FD">
        <w:rPr>
          <w:sz w:val="22"/>
          <w:lang w:val="fr-FR"/>
        </w:rPr>
        <w:t xml:space="preserve"> et </w:t>
      </w:r>
      <w:r w:rsidR="00AC1751" w:rsidRPr="009D01FD">
        <w:rPr>
          <w:sz w:val="22"/>
          <w:lang w:val="fr-FR"/>
        </w:rPr>
        <w:t>encourage SANRU à mettre en œuvre des solutions pour minimiser ce problème qui ralentit l’exécution de la composante</w:t>
      </w:r>
      <w:r w:rsidR="00E8599E" w:rsidRPr="009D01FD">
        <w:rPr>
          <w:sz w:val="22"/>
          <w:lang w:val="fr-FR"/>
        </w:rPr>
        <w:t>.</w:t>
      </w:r>
      <w:r w:rsidR="0062237C" w:rsidRPr="009D01FD">
        <w:rPr>
          <w:sz w:val="22"/>
          <w:lang w:val="fr-FR"/>
        </w:rPr>
        <w:t xml:space="preserve"> </w:t>
      </w:r>
    </w:p>
    <w:p w14:paraId="7CBC3A6F" w14:textId="622C716B" w:rsidR="00135F32" w:rsidRPr="009D01FD" w:rsidRDefault="00135F32" w:rsidP="00AD74CA">
      <w:pPr>
        <w:pStyle w:val="ListParagraph"/>
        <w:widowControl w:val="0"/>
        <w:numPr>
          <w:ilvl w:val="1"/>
          <w:numId w:val="1"/>
        </w:numPr>
        <w:autoSpaceDE w:val="0"/>
        <w:autoSpaceDN w:val="0"/>
        <w:adjustRightInd w:val="0"/>
        <w:spacing w:after="0" w:line="240" w:lineRule="auto"/>
        <w:jc w:val="both"/>
        <w:rPr>
          <w:sz w:val="22"/>
          <w:lang w:val="fr-FR"/>
        </w:rPr>
      </w:pPr>
      <w:r w:rsidRPr="009D01FD">
        <w:rPr>
          <w:sz w:val="22"/>
          <w:lang w:val="fr-FR"/>
        </w:rPr>
        <w:t xml:space="preserve">Blocage pour faire avancer l’indicateur de résultats : pour </w:t>
      </w:r>
      <w:r w:rsidR="0062237C" w:rsidRPr="009D01FD">
        <w:rPr>
          <w:sz w:val="22"/>
          <w:lang w:val="fr-FR"/>
        </w:rPr>
        <w:t xml:space="preserve">accélérer la marche vers </w:t>
      </w:r>
      <w:r w:rsidRPr="009D01FD">
        <w:rPr>
          <w:sz w:val="22"/>
          <w:lang w:val="fr-FR"/>
        </w:rPr>
        <w:t xml:space="preserve">l’objectif de développement du projet, </w:t>
      </w:r>
      <w:r w:rsidR="00C6732F" w:rsidRPr="009D01FD">
        <w:rPr>
          <w:sz w:val="22"/>
          <w:lang w:val="fr-FR"/>
        </w:rPr>
        <w:t>le ministère doit rendre public sur son site internet</w:t>
      </w:r>
      <w:r w:rsidR="0062237C" w:rsidRPr="009D01FD">
        <w:rPr>
          <w:sz w:val="22"/>
          <w:lang w:val="fr-FR"/>
        </w:rPr>
        <w:t xml:space="preserve"> </w:t>
      </w:r>
      <w:r w:rsidR="00100C35" w:rsidRPr="009D01FD">
        <w:rPr>
          <w:sz w:val="22"/>
          <w:lang w:val="fr-FR"/>
        </w:rPr>
        <w:t>les rapports des ZS pour l’année 2016 et</w:t>
      </w:r>
      <w:r w:rsidR="00100C35" w:rsidRPr="009D01FD" w:rsidDel="0062237C">
        <w:rPr>
          <w:sz w:val="22"/>
          <w:lang w:val="fr-FR"/>
        </w:rPr>
        <w:t xml:space="preserve"> </w:t>
      </w:r>
      <w:r w:rsidR="0062237C" w:rsidRPr="009D01FD">
        <w:rPr>
          <w:sz w:val="22"/>
          <w:lang w:val="fr-FR"/>
        </w:rPr>
        <w:t>l</w:t>
      </w:r>
      <w:r w:rsidRPr="009D01FD">
        <w:rPr>
          <w:sz w:val="22"/>
          <w:lang w:val="fr-FR"/>
        </w:rPr>
        <w:t>es plans d’action opérationnels</w:t>
      </w:r>
      <w:r w:rsidR="00100C35" w:rsidRPr="009D01FD">
        <w:rPr>
          <w:sz w:val="22"/>
          <w:lang w:val="fr-FR"/>
        </w:rPr>
        <w:t xml:space="preserve"> 2017</w:t>
      </w:r>
      <w:r w:rsidR="0062237C" w:rsidRPr="009D01FD">
        <w:rPr>
          <w:sz w:val="22"/>
          <w:lang w:val="fr-FR"/>
        </w:rPr>
        <w:t xml:space="preserve"> </w:t>
      </w:r>
      <w:r w:rsidRPr="009D01FD">
        <w:rPr>
          <w:sz w:val="22"/>
          <w:lang w:val="fr-FR"/>
        </w:rPr>
        <w:t xml:space="preserve">qui se basent sur les données du SNIS. </w:t>
      </w:r>
      <w:r w:rsidR="00C6732F" w:rsidRPr="009D01FD">
        <w:rPr>
          <w:sz w:val="22"/>
          <w:lang w:val="fr-FR"/>
        </w:rPr>
        <w:t xml:space="preserve">Actuellement, 100 pour-cent des ZS ont les PAO et rapports de 2016 et environ deux tiers ont les PAO de 2017. Dans la continuité des discussions de la mission, une réunion a été tenue le 4 octobre avec le Secrétaire Général du ministère pour permettre d’avoir les résultats en ligne avant le 15 octobre. </w:t>
      </w:r>
    </w:p>
    <w:p w14:paraId="284647C2" w14:textId="52263CC2" w:rsidR="00135F32" w:rsidRPr="009D01FD" w:rsidRDefault="00135F32" w:rsidP="00121B37">
      <w:pPr>
        <w:pStyle w:val="ListParagraph"/>
        <w:widowControl w:val="0"/>
        <w:numPr>
          <w:ilvl w:val="1"/>
          <w:numId w:val="1"/>
        </w:numPr>
        <w:autoSpaceDE w:val="0"/>
        <w:autoSpaceDN w:val="0"/>
        <w:adjustRightInd w:val="0"/>
        <w:spacing w:after="0" w:line="240" w:lineRule="auto"/>
        <w:jc w:val="both"/>
        <w:rPr>
          <w:sz w:val="22"/>
          <w:lang w:val="fr-FR"/>
        </w:rPr>
      </w:pPr>
      <w:r w:rsidRPr="009D01FD">
        <w:rPr>
          <w:sz w:val="22"/>
          <w:lang w:val="fr-FR"/>
        </w:rPr>
        <w:t>Intégration des résultats de l’évaluation d’Epiconcept : la mission n’a pas d’objections à ce que les modifications proposées pour répondre à l’évaluation soient considérés dans un nouveau plan de travail pour le soutien au SNIS. Ceci permettrait d’améliorer la performance</w:t>
      </w:r>
    </w:p>
    <w:p w14:paraId="1C455591" w14:textId="77777777" w:rsidR="00135F32" w:rsidRPr="009D01FD" w:rsidRDefault="00135F32" w:rsidP="00121B37">
      <w:pPr>
        <w:pStyle w:val="ListParagraph"/>
        <w:autoSpaceDE w:val="0"/>
        <w:autoSpaceDN w:val="0"/>
        <w:adjustRightInd w:val="0"/>
        <w:spacing w:after="0" w:line="240" w:lineRule="auto"/>
        <w:ind w:left="0"/>
        <w:jc w:val="both"/>
        <w:rPr>
          <w:sz w:val="22"/>
          <w:lang w:val="fr-FR"/>
        </w:rPr>
      </w:pPr>
    </w:p>
    <w:p w14:paraId="410E50B6" w14:textId="3E3C6F7D" w:rsidR="00267BC6"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color w:val="000000"/>
          <w:sz w:val="22"/>
          <w:lang w:val="fr-FR"/>
        </w:rPr>
        <w:t>Composante 1c :</w:t>
      </w:r>
      <w:r w:rsidRPr="009D01FD">
        <w:rPr>
          <w:sz w:val="22"/>
          <w:lang w:val="fr-FR"/>
        </w:rPr>
        <w:t xml:space="preserve"> Enquêtes de prestation de services (environ $2,4 millions)</w:t>
      </w:r>
      <w:r w:rsidRPr="009D01FD">
        <w:rPr>
          <w:i/>
          <w:sz w:val="22"/>
          <w:lang w:val="fr-FR"/>
        </w:rPr>
        <w:t xml:space="preserve">. </w:t>
      </w:r>
      <w:r w:rsidRPr="009D01FD">
        <w:rPr>
          <w:sz w:val="22"/>
          <w:lang w:val="fr-FR"/>
        </w:rPr>
        <w:t xml:space="preserve">L’objectif de cette sous composante est d’apporter un complément à l’information qui sera disponible dans le SNIS et le SIGE en menant deux enquêtes qui présenteront la perspective des utilisateurs des services de santé et d’éducation en matière de qualité des services. La première enquête permettra de mobiliser l’attention des décideurs, planificateurs et partenaires des systèmes de santé et d’éducation afin de développer un plan d’action pour améliorer la qualité de la prestation de services en adressant quelques priorités qui auront été identifiées lors de l’enquête. Une seconde enquête deux ou trois ans plus tard assurera un suivi à la première et permettra d’ajuster le plan d’action en tenant compte des améliorations du système et des changements dans le contexte sectoriel. Cette sous-composante </w:t>
      </w:r>
      <w:r w:rsidR="00267BC6" w:rsidRPr="009D01FD">
        <w:rPr>
          <w:sz w:val="22"/>
          <w:lang w:val="fr-FR"/>
        </w:rPr>
        <w:t>est</w:t>
      </w:r>
      <w:r w:rsidRPr="009D01FD">
        <w:rPr>
          <w:sz w:val="22"/>
          <w:lang w:val="fr-FR"/>
        </w:rPr>
        <w:t xml:space="preserve"> exécutée par </w:t>
      </w:r>
      <w:r w:rsidR="00267BC6" w:rsidRPr="009D01FD">
        <w:rPr>
          <w:sz w:val="22"/>
          <w:lang w:val="fr-FR"/>
        </w:rPr>
        <w:t>le</w:t>
      </w:r>
      <w:r w:rsidRPr="009D01FD">
        <w:rPr>
          <w:sz w:val="22"/>
          <w:lang w:val="fr-FR"/>
        </w:rPr>
        <w:t xml:space="preserve"> cabinet </w:t>
      </w:r>
      <w:r w:rsidR="00267BC6" w:rsidRPr="009D01FD">
        <w:rPr>
          <w:sz w:val="22"/>
          <w:lang w:val="fr-FR"/>
        </w:rPr>
        <w:t>IDEA Consult</w:t>
      </w:r>
      <w:r w:rsidRPr="009D01FD">
        <w:rPr>
          <w:sz w:val="22"/>
          <w:lang w:val="fr-FR"/>
        </w:rPr>
        <w:t xml:space="preserve"> </w:t>
      </w:r>
      <w:r w:rsidR="00267BC6" w:rsidRPr="009D01FD">
        <w:rPr>
          <w:sz w:val="22"/>
          <w:lang w:val="fr-FR"/>
        </w:rPr>
        <w:t>et</w:t>
      </w:r>
      <w:r w:rsidRPr="009D01FD">
        <w:rPr>
          <w:sz w:val="22"/>
          <w:lang w:val="fr-FR"/>
        </w:rPr>
        <w:t xml:space="preserve"> le contrôle qualité </w:t>
      </w:r>
      <w:r w:rsidR="00267BC6" w:rsidRPr="009D01FD">
        <w:rPr>
          <w:sz w:val="22"/>
          <w:lang w:val="fr-FR"/>
        </w:rPr>
        <w:t>des phases de l’enquête est</w:t>
      </w:r>
      <w:r w:rsidRPr="009D01FD">
        <w:rPr>
          <w:sz w:val="22"/>
          <w:lang w:val="fr-FR"/>
        </w:rPr>
        <w:t xml:space="preserve"> assuré par </w:t>
      </w:r>
      <w:r w:rsidR="00267BC6" w:rsidRPr="009D01FD">
        <w:rPr>
          <w:sz w:val="22"/>
          <w:lang w:val="fr-FR"/>
        </w:rPr>
        <w:t xml:space="preserve">Monsieur Yao Doumanou, </w:t>
      </w:r>
      <w:r w:rsidRPr="009D01FD">
        <w:rPr>
          <w:sz w:val="22"/>
          <w:lang w:val="fr-FR"/>
        </w:rPr>
        <w:t>consultant individuel</w:t>
      </w:r>
      <w:r w:rsidR="00267BC6" w:rsidRPr="009D01FD">
        <w:rPr>
          <w:sz w:val="22"/>
          <w:lang w:val="fr-FR"/>
        </w:rPr>
        <w:t>,</w:t>
      </w:r>
      <w:r w:rsidRPr="009D01FD">
        <w:rPr>
          <w:sz w:val="22"/>
          <w:lang w:val="fr-FR"/>
        </w:rPr>
        <w:t xml:space="preserve"> appuyé par les points focaux désignés par les ministères bénéficiaires de l’enquête.</w:t>
      </w:r>
      <w:r w:rsidRPr="009D01FD">
        <w:rPr>
          <w:i/>
          <w:sz w:val="22"/>
          <w:lang w:val="fr-FR"/>
        </w:rPr>
        <w:t xml:space="preserve"> </w:t>
      </w:r>
    </w:p>
    <w:p w14:paraId="68BB3BF1" w14:textId="77777777" w:rsidR="00267BC6" w:rsidRPr="009D01FD" w:rsidRDefault="00267BC6" w:rsidP="00A935E2">
      <w:pPr>
        <w:pStyle w:val="ListParagraph"/>
        <w:widowControl w:val="0"/>
        <w:autoSpaceDE w:val="0"/>
        <w:autoSpaceDN w:val="0"/>
        <w:adjustRightInd w:val="0"/>
        <w:spacing w:after="0" w:line="240" w:lineRule="auto"/>
        <w:ind w:left="360"/>
        <w:jc w:val="both"/>
        <w:rPr>
          <w:b/>
          <w:color w:val="000000"/>
          <w:sz w:val="22"/>
          <w:lang w:val="fr-FR"/>
        </w:rPr>
      </w:pPr>
    </w:p>
    <w:p w14:paraId="2AF04CD5" w14:textId="07E06827" w:rsidR="00135F32" w:rsidRPr="009D01FD" w:rsidRDefault="00135F32" w:rsidP="00A935E2">
      <w:pPr>
        <w:pStyle w:val="ListParagraph"/>
        <w:widowControl w:val="0"/>
        <w:autoSpaceDE w:val="0"/>
        <w:autoSpaceDN w:val="0"/>
        <w:adjustRightInd w:val="0"/>
        <w:spacing w:after="0" w:line="240" w:lineRule="auto"/>
        <w:ind w:left="360"/>
        <w:jc w:val="both"/>
        <w:rPr>
          <w:sz w:val="22"/>
          <w:lang w:val="fr-FR"/>
        </w:rPr>
      </w:pPr>
      <w:r w:rsidRPr="009D01FD">
        <w:rPr>
          <w:i/>
          <w:sz w:val="22"/>
          <w:lang w:val="fr-FR"/>
        </w:rPr>
        <w:t xml:space="preserve">La sous-composante est </w:t>
      </w:r>
      <w:r w:rsidRPr="009D01FD">
        <w:rPr>
          <w:i/>
          <w:sz w:val="22"/>
          <w:u w:val="single"/>
          <w:lang w:val="fr-FR"/>
        </w:rPr>
        <w:t>modérément insatisfaisante</w:t>
      </w:r>
      <w:r w:rsidR="00267BC6" w:rsidRPr="009D01FD">
        <w:rPr>
          <w:i/>
          <w:sz w:val="22"/>
          <w:u w:val="single"/>
          <w:lang w:val="fr-FR"/>
        </w:rPr>
        <w:t xml:space="preserve">, mais </w:t>
      </w:r>
      <w:r w:rsidR="00AC1751" w:rsidRPr="009D01FD">
        <w:rPr>
          <w:i/>
          <w:sz w:val="22"/>
          <w:u w:val="single"/>
          <w:lang w:val="fr-FR"/>
        </w:rPr>
        <w:t>son évolution s’améliore</w:t>
      </w:r>
      <w:r w:rsidR="00267BC6" w:rsidRPr="009D01FD">
        <w:rPr>
          <w:i/>
          <w:sz w:val="22"/>
          <w:lang w:val="fr-FR"/>
        </w:rPr>
        <w:t>.</w:t>
      </w:r>
      <w:r w:rsidR="0019553D" w:rsidRPr="009D01FD">
        <w:rPr>
          <w:i/>
          <w:sz w:val="22"/>
          <w:lang w:val="fr-FR"/>
        </w:rPr>
        <w:t xml:space="preserve"> </w:t>
      </w:r>
      <w:r w:rsidR="0019553D" w:rsidRPr="009D01FD">
        <w:rPr>
          <w:sz w:val="22"/>
          <w:lang w:val="fr-FR"/>
        </w:rPr>
        <w:t xml:space="preserve">Une avancée notoire est relevée par rapport à la mission de supervision précédente avec </w:t>
      </w:r>
      <w:r w:rsidR="00AC1751" w:rsidRPr="009D01FD">
        <w:rPr>
          <w:sz w:val="22"/>
          <w:lang w:val="fr-FR"/>
        </w:rPr>
        <w:t xml:space="preserve">une première mission par le </w:t>
      </w:r>
      <w:r w:rsidR="00AC1751" w:rsidRPr="009D01FD">
        <w:rPr>
          <w:sz w:val="22"/>
          <w:lang w:val="fr-FR"/>
        </w:rPr>
        <w:lastRenderedPageBreak/>
        <w:t>cabinet qui a gagné le marché</w:t>
      </w:r>
      <w:r w:rsidR="00267BC6" w:rsidRPr="009D01FD">
        <w:rPr>
          <w:sz w:val="22"/>
          <w:lang w:val="fr-FR"/>
        </w:rPr>
        <w:t>.</w:t>
      </w:r>
      <w:r w:rsidRPr="009D01FD">
        <w:rPr>
          <w:sz w:val="22"/>
          <w:lang w:val="fr-FR"/>
        </w:rPr>
        <w:t xml:space="preserve"> </w:t>
      </w:r>
      <w:r w:rsidR="00267BC6" w:rsidRPr="009D01FD">
        <w:rPr>
          <w:sz w:val="22"/>
          <w:lang w:val="fr-FR"/>
        </w:rPr>
        <w:t>Le protocole</w:t>
      </w:r>
      <w:r w:rsidR="00100C35" w:rsidRPr="009D01FD">
        <w:rPr>
          <w:sz w:val="22"/>
          <w:lang w:val="fr-FR"/>
        </w:rPr>
        <w:t xml:space="preserve"> d’enqu</w:t>
      </w:r>
      <w:r w:rsidR="00267BC6" w:rsidRPr="009D01FD">
        <w:rPr>
          <w:sz w:val="22"/>
          <w:lang w:val="fr-FR"/>
        </w:rPr>
        <w:t>êtes</w:t>
      </w:r>
      <w:r w:rsidR="00100C35" w:rsidRPr="009D01FD">
        <w:rPr>
          <w:sz w:val="22"/>
          <w:lang w:val="fr-FR"/>
        </w:rPr>
        <w:t xml:space="preserve"> et les outils ont été </w:t>
      </w:r>
      <w:r w:rsidR="00267BC6" w:rsidRPr="009D01FD">
        <w:rPr>
          <w:sz w:val="22"/>
          <w:lang w:val="fr-FR"/>
        </w:rPr>
        <w:t xml:space="preserve">élaborés au mois de juillet 2017 et </w:t>
      </w:r>
      <w:r w:rsidR="00AC1751" w:rsidRPr="009D01FD">
        <w:rPr>
          <w:sz w:val="22"/>
          <w:lang w:val="fr-FR"/>
        </w:rPr>
        <w:t xml:space="preserve">seront validés dans les semaines à venir </w:t>
      </w:r>
      <w:r w:rsidR="00267BC6" w:rsidRPr="009D01FD">
        <w:rPr>
          <w:sz w:val="22"/>
          <w:lang w:val="fr-FR"/>
        </w:rPr>
        <w:t>par le</w:t>
      </w:r>
      <w:r w:rsidR="00100C35" w:rsidRPr="009D01FD">
        <w:rPr>
          <w:sz w:val="22"/>
          <w:lang w:val="fr-FR"/>
        </w:rPr>
        <w:t xml:space="preserve"> comité d’éthique</w:t>
      </w:r>
      <w:r w:rsidR="00267BC6" w:rsidRPr="009D01FD">
        <w:rPr>
          <w:sz w:val="22"/>
          <w:lang w:val="fr-FR"/>
        </w:rPr>
        <w:t xml:space="preserve"> de l’école de santé publique et l’INS. Le glissement connu dans la validation fait suite aux </w:t>
      </w:r>
      <w:r w:rsidR="00AC1751" w:rsidRPr="009D01FD">
        <w:rPr>
          <w:sz w:val="22"/>
          <w:lang w:val="fr-FR"/>
        </w:rPr>
        <w:t xml:space="preserve">questionnements sur le paiement des frais en points de pourcentage de la valeur du marché pour le travail des structures de </w:t>
      </w:r>
      <w:r w:rsidR="00267BC6" w:rsidRPr="009D01FD">
        <w:rPr>
          <w:sz w:val="22"/>
          <w:lang w:val="fr-FR"/>
        </w:rPr>
        <w:t>contrôle qualité, à la suite de la requête formulée par le projet pour leur prise en charge.</w:t>
      </w:r>
      <w:r w:rsidR="00AF1B77" w:rsidRPr="009D01FD">
        <w:rPr>
          <w:sz w:val="22"/>
          <w:lang w:val="fr-FR"/>
        </w:rPr>
        <w:t xml:space="preserve"> </w:t>
      </w:r>
      <w:r w:rsidR="00C6732F" w:rsidRPr="009D01FD">
        <w:rPr>
          <w:sz w:val="22"/>
          <w:lang w:val="fr-FR"/>
        </w:rPr>
        <w:t xml:space="preserve">L’IDA a donné son accord pour les paiements </w:t>
      </w:r>
      <w:r w:rsidR="00B44D68" w:rsidRPr="009D01FD">
        <w:rPr>
          <w:sz w:val="22"/>
          <w:lang w:val="fr-FR"/>
        </w:rPr>
        <w:t>le 3 octobre</w:t>
      </w:r>
      <w:r w:rsidR="00C6732F" w:rsidRPr="009D01FD">
        <w:rPr>
          <w:sz w:val="22"/>
          <w:lang w:val="fr-FR"/>
        </w:rPr>
        <w:t xml:space="preserve">. </w:t>
      </w:r>
    </w:p>
    <w:p w14:paraId="5FC040D9" w14:textId="77777777" w:rsidR="00135F32" w:rsidRPr="009D01FD" w:rsidRDefault="00135F32" w:rsidP="00121B37">
      <w:pPr>
        <w:pStyle w:val="ListParagraph"/>
        <w:autoSpaceDE w:val="0"/>
        <w:autoSpaceDN w:val="0"/>
        <w:adjustRightInd w:val="0"/>
        <w:spacing w:after="0" w:line="240" w:lineRule="auto"/>
        <w:ind w:left="0"/>
        <w:jc w:val="both"/>
        <w:rPr>
          <w:sz w:val="22"/>
          <w:lang w:val="fr-FR"/>
        </w:rPr>
      </w:pPr>
    </w:p>
    <w:p w14:paraId="6D84AAE2" w14:textId="75C2A030" w:rsidR="00135F32" w:rsidRPr="009D01FD" w:rsidRDefault="00135F32" w:rsidP="00121B37">
      <w:pPr>
        <w:pStyle w:val="ListParagraph"/>
        <w:numPr>
          <w:ilvl w:val="0"/>
          <w:numId w:val="1"/>
        </w:numPr>
        <w:autoSpaceDE w:val="0"/>
        <w:autoSpaceDN w:val="0"/>
        <w:adjustRightInd w:val="0"/>
        <w:spacing w:after="0" w:line="240" w:lineRule="auto"/>
        <w:jc w:val="both"/>
        <w:rPr>
          <w:sz w:val="22"/>
          <w:lang w:val="fr-FR"/>
        </w:rPr>
      </w:pPr>
      <w:r w:rsidRPr="009D01FD">
        <w:rPr>
          <w:b/>
          <w:sz w:val="22"/>
          <w:lang w:val="fr-FR"/>
        </w:rPr>
        <w:t>Composante 1d </w:t>
      </w:r>
      <w:r w:rsidRPr="009D01FD">
        <w:rPr>
          <w:sz w:val="22"/>
          <w:lang w:val="fr-FR"/>
        </w:rPr>
        <w:t xml:space="preserve">: La sous-composante 1d (Etat civil ; valeur estimative 20 millions USD) a un objectif immédiat de fournir des actes de naissances aux jeunes qui n’en ont pas et puis de soutenir un processus de modernisation de l’état civil. Les deux axes sont articulés ci-dessous. </w:t>
      </w:r>
      <w:r w:rsidRPr="009D01FD">
        <w:rPr>
          <w:i/>
          <w:sz w:val="22"/>
          <w:lang w:val="fr-FR"/>
        </w:rPr>
        <w:t xml:space="preserve">Globalement, cette composante reste </w:t>
      </w:r>
      <w:r w:rsidRPr="009D01FD">
        <w:rPr>
          <w:i/>
          <w:sz w:val="22"/>
          <w:u w:val="single"/>
          <w:lang w:val="fr-FR"/>
        </w:rPr>
        <w:t>satisfaisante</w:t>
      </w:r>
      <w:r w:rsidRPr="009D01FD">
        <w:rPr>
          <w:i/>
          <w:sz w:val="22"/>
          <w:lang w:val="fr-FR"/>
        </w:rPr>
        <w:t xml:space="preserve"> par les avancées de coordination et techniques (c.f. </w:t>
      </w:r>
      <w:r w:rsidR="00187253" w:rsidRPr="009D01FD">
        <w:rPr>
          <w:i/>
          <w:sz w:val="22"/>
          <w:lang w:val="fr-FR"/>
        </w:rPr>
        <w:t>aide-mémoire de la mission</w:t>
      </w:r>
      <w:r w:rsidRPr="009D01FD">
        <w:rPr>
          <w:i/>
          <w:sz w:val="22"/>
          <w:lang w:val="fr-FR"/>
        </w:rPr>
        <w:t xml:space="preserve"> de juin 2017), mais les contrats doivent rapidement être conclus pour pouvoir avancer sur la phase active du projet. La signature des contrats est conditionnée par la mise en vigueur du financement additionnel.</w:t>
      </w:r>
    </w:p>
    <w:p w14:paraId="159C8914" w14:textId="77777777" w:rsidR="00135F32" w:rsidRPr="009D01FD" w:rsidRDefault="00135F32" w:rsidP="00121B37">
      <w:pPr>
        <w:pStyle w:val="ListParagraph"/>
        <w:autoSpaceDE w:val="0"/>
        <w:autoSpaceDN w:val="0"/>
        <w:adjustRightInd w:val="0"/>
        <w:spacing w:after="0" w:line="240" w:lineRule="auto"/>
        <w:ind w:left="360"/>
        <w:jc w:val="both"/>
        <w:rPr>
          <w:lang w:val="fr-FR"/>
        </w:rPr>
      </w:pPr>
    </w:p>
    <w:p w14:paraId="31438A2D" w14:textId="01287444" w:rsidR="00135F32" w:rsidRPr="009D01FD" w:rsidRDefault="00135F32" w:rsidP="001D1293">
      <w:pPr>
        <w:pStyle w:val="ListParagraph"/>
        <w:numPr>
          <w:ilvl w:val="1"/>
          <w:numId w:val="2"/>
        </w:numPr>
        <w:autoSpaceDE w:val="0"/>
        <w:autoSpaceDN w:val="0"/>
        <w:adjustRightInd w:val="0"/>
        <w:spacing w:after="0" w:line="240" w:lineRule="auto"/>
        <w:jc w:val="both"/>
        <w:rPr>
          <w:sz w:val="22"/>
          <w:lang w:val="fr-FR"/>
        </w:rPr>
      </w:pPr>
      <w:r w:rsidRPr="009D01FD">
        <w:rPr>
          <w:b/>
          <w:sz w:val="22"/>
          <w:lang w:val="fr-FR"/>
        </w:rPr>
        <w:t>Développement d’une stratégie pour la modernisation de l’état civil</w:t>
      </w:r>
      <w:r w:rsidRPr="009D01FD">
        <w:rPr>
          <w:sz w:val="22"/>
          <w:lang w:val="fr-FR"/>
        </w:rPr>
        <w:t xml:space="preserve">. Cette activité sera réalisée en étapes y compris l’analyse approfondie de l’état actuel, de ce qui se fait ailleurs et pourrait être adapté à la RDC, des réformes juridiques et institutionnelles (dont la protection des données individuelles), de pilotes pour tester les nouvelles approches en RDC et puis du développement d’un document stratégique résumant les acquis et présentant des options à lever avec leurs coûts, chronogrammes et cahiers de charges. </w:t>
      </w:r>
      <w:r w:rsidR="0027139E" w:rsidRPr="009D01FD">
        <w:rPr>
          <w:sz w:val="22"/>
          <w:lang w:val="fr-FR"/>
        </w:rPr>
        <w:t>Les négociations sont en cours et la mission en a discuté avec la CFEF et la partie nationale</w:t>
      </w:r>
      <w:r w:rsidR="00D83014" w:rsidRPr="009D01FD">
        <w:rPr>
          <w:sz w:val="22"/>
          <w:lang w:val="fr-FR"/>
        </w:rPr>
        <w:t>, particulièrement dans la qualité des évaluations techniques et la cohérence des propositions.</w:t>
      </w:r>
      <w:r w:rsidR="00D83014" w:rsidRPr="009D01FD" w:rsidDel="00D83014">
        <w:rPr>
          <w:sz w:val="22"/>
          <w:lang w:val="fr-FR"/>
        </w:rPr>
        <w:t xml:space="preserve"> </w:t>
      </w:r>
    </w:p>
    <w:p w14:paraId="0718A5E3" w14:textId="77777777" w:rsidR="00135F32" w:rsidRPr="009D01FD" w:rsidRDefault="00135F32" w:rsidP="00121B37">
      <w:pPr>
        <w:pStyle w:val="ListParagraph"/>
        <w:autoSpaceDE w:val="0"/>
        <w:autoSpaceDN w:val="0"/>
        <w:adjustRightInd w:val="0"/>
        <w:spacing w:after="0" w:line="240" w:lineRule="auto"/>
        <w:ind w:left="1080"/>
        <w:jc w:val="both"/>
        <w:rPr>
          <w:sz w:val="22"/>
          <w:lang w:val="fr-FR"/>
        </w:rPr>
      </w:pPr>
    </w:p>
    <w:p w14:paraId="57A09828" w14:textId="5B7DD0CD" w:rsidR="00135F32" w:rsidRDefault="00135F32" w:rsidP="001D1293">
      <w:pPr>
        <w:pStyle w:val="ListParagraph"/>
        <w:numPr>
          <w:ilvl w:val="1"/>
          <w:numId w:val="2"/>
        </w:numPr>
        <w:autoSpaceDE w:val="0"/>
        <w:autoSpaceDN w:val="0"/>
        <w:adjustRightInd w:val="0"/>
        <w:spacing w:after="0" w:line="240" w:lineRule="auto"/>
        <w:jc w:val="both"/>
        <w:rPr>
          <w:sz w:val="22"/>
          <w:lang w:val="fr-FR"/>
        </w:rPr>
      </w:pPr>
      <w:r w:rsidRPr="009D01FD">
        <w:rPr>
          <w:b/>
          <w:sz w:val="22"/>
          <w:lang w:val="fr-FR"/>
        </w:rPr>
        <w:t>Rattrapage d’enregistrement des naissances lors des confirmations d’inscription à l’école dans plusieurs provinces</w:t>
      </w:r>
      <w:r w:rsidRPr="009D01FD">
        <w:rPr>
          <w:sz w:val="22"/>
          <w:lang w:val="fr-FR"/>
        </w:rPr>
        <w:t xml:space="preserve">. Suite à une campagne de sensibilisation, les parents seront invités à faire l’enregistrement des naissances de chacun de leurs enfants qui ne le sont pas déjà en même temps que l’inscription des élèves. La partie état civil serait gratuite pour les parents. Si le moratoire prévu dans la stratégie de redynamisation de l’état civil (2014-8) est confirmé, le projet pourrait maximiser les inscriptions. Sinon, une somme symbolique telle que déjà fait pour le rattrapage des enfants vulnérables à Kinshasa, serait payée par le projet pour ce rattrapage. Le projet financera aussi l’enregistrement des élèves dans un module du SIGE pour permettre le suivi individualisé des élèves pendant leur parcours scolaire. Cette approche est complémentaire à celle qu’exécutera l’UNICEF sur financement du Canada et rapproche l’état civil des populations. </w:t>
      </w:r>
      <w:r w:rsidR="0027139E" w:rsidRPr="009D01FD">
        <w:rPr>
          <w:sz w:val="22"/>
          <w:lang w:val="fr-FR"/>
        </w:rPr>
        <w:t>Les négociations sont en cours et la mission en a discuté avec la CFEF et la partie nationale</w:t>
      </w:r>
      <w:r w:rsidR="00D83014" w:rsidRPr="009D01FD">
        <w:rPr>
          <w:sz w:val="22"/>
          <w:lang w:val="fr-FR"/>
        </w:rPr>
        <w:t>, particulièrement dans la qualité des évaluations techniques et la cohérence des propositions</w:t>
      </w:r>
      <w:r w:rsidR="0027139E" w:rsidRPr="009D01FD">
        <w:rPr>
          <w:sz w:val="22"/>
          <w:lang w:val="fr-FR"/>
        </w:rPr>
        <w:t>.</w:t>
      </w:r>
    </w:p>
    <w:p w14:paraId="04C01DD2" w14:textId="77777777" w:rsidR="007D04BC" w:rsidRDefault="007D04BC" w:rsidP="007D04BC">
      <w:pPr>
        <w:pStyle w:val="ListParagraph"/>
        <w:autoSpaceDE w:val="0"/>
        <w:autoSpaceDN w:val="0"/>
        <w:adjustRightInd w:val="0"/>
        <w:spacing w:after="0" w:line="240" w:lineRule="auto"/>
        <w:ind w:left="1080"/>
        <w:jc w:val="both"/>
        <w:rPr>
          <w:sz w:val="22"/>
          <w:lang w:val="fr-FR"/>
        </w:rPr>
      </w:pPr>
    </w:p>
    <w:p w14:paraId="3025C396" w14:textId="24AB5B9A" w:rsidR="007D04BC" w:rsidRPr="007D04BC" w:rsidRDefault="007D04BC" w:rsidP="001D1293">
      <w:pPr>
        <w:pStyle w:val="ListParagraph"/>
        <w:numPr>
          <w:ilvl w:val="1"/>
          <w:numId w:val="2"/>
        </w:numPr>
        <w:autoSpaceDE w:val="0"/>
        <w:autoSpaceDN w:val="0"/>
        <w:adjustRightInd w:val="0"/>
        <w:spacing w:after="0" w:line="240" w:lineRule="auto"/>
        <w:jc w:val="both"/>
        <w:rPr>
          <w:b/>
          <w:sz w:val="22"/>
          <w:lang w:val="fr-FR"/>
        </w:rPr>
      </w:pPr>
      <w:r>
        <w:rPr>
          <w:b/>
          <w:sz w:val="22"/>
          <w:lang w:val="fr-FR"/>
        </w:rPr>
        <w:t>Evaluation de l’impact des approches de l’état civil </w:t>
      </w:r>
      <w:r>
        <w:rPr>
          <w:sz w:val="22"/>
          <w:lang w:val="fr-FR"/>
        </w:rPr>
        <w:t>: un atelier a été organisé du 24 au 25 août avec des participants des Ministères de l’Intérieur, de la Justice, de l’Education, de la Santé, de la Famille et le Genre, des Affaires Sociales ainsi que la Division Provinciale de Kinshasa de l’Intérieur et l’ONIP. Les travaux ont permis aux parties prenantes d’examiner des hypothèses et des possibilités pour comment faire marcher au mieux les campagnes de rattrapage. Ces informations seront reversés au cabinet qui signera le marché du rattrapage pour tenter d’ajouter une évaluation de l’impact pour mieux comprendre les effets et pouvoir maximiser l’efficacité des dépenses dans le programme de l’état civil qui sera produit par le processus de réforme de l’état civil. Les détails se trouvent dans l’.</w:t>
      </w:r>
    </w:p>
    <w:p w14:paraId="46FA1431" w14:textId="77777777" w:rsidR="00135F32" w:rsidRPr="009D01FD" w:rsidRDefault="00135F32" w:rsidP="00121B37">
      <w:pPr>
        <w:widowControl w:val="0"/>
        <w:autoSpaceDE w:val="0"/>
        <w:autoSpaceDN w:val="0"/>
        <w:adjustRightInd w:val="0"/>
        <w:spacing w:after="0" w:line="240" w:lineRule="auto"/>
        <w:jc w:val="both"/>
        <w:rPr>
          <w:sz w:val="22"/>
          <w:lang w:val="fr-FR"/>
        </w:rPr>
      </w:pPr>
    </w:p>
    <w:p w14:paraId="02E57798" w14:textId="65144626"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rFonts w:eastAsia="Arial Unicode MS"/>
          <w:b/>
          <w:color w:val="000000"/>
          <w:sz w:val="22"/>
          <w:lang w:val="fr-FR"/>
        </w:rPr>
        <w:t xml:space="preserve">Composante 2 </w:t>
      </w:r>
      <w:r w:rsidRPr="009D01FD">
        <w:rPr>
          <w:rFonts w:eastAsia="Arial Unicode MS"/>
          <w:color w:val="000000"/>
          <w:sz w:val="22"/>
          <w:lang w:val="fr-FR"/>
        </w:rPr>
        <w:t xml:space="preserve">: Accès aux médicaments essentiels (environ 12,71 millions USD). L’objectif de cette composante est d’augmenter la capacité du système qui assure l’accès aux médicaments essentiels à la population congolaise. Cette assistance technique se focalisera particulièrement sur : </w:t>
      </w:r>
      <w:r w:rsidR="00973655" w:rsidRPr="009D01FD">
        <w:rPr>
          <w:rFonts w:eastAsia="Arial Unicode MS"/>
          <w:color w:val="000000"/>
          <w:sz w:val="22"/>
          <w:lang w:val="fr-FR"/>
        </w:rPr>
        <w:t>(</w:t>
      </w:r>
      <w:r w:rsidRPr="009D01FD">
        <w:rPr>
          <w:rFonts w:eastAsia="Arial Unicode MS"/>
          <w:color w:val="000000"/>
          <w:sz w:val="22"/>
          <w:lang w:val="fr-FR"/>
        </w:rPr>
        <w:t xml:space="preserve">i) le système de régulation ; </w:t>
      </w:r>
      <w:r w:rsidR="00973655" w:rsidRPr="009D01FD">
        <w:rPr>
          <w:rFonts w:eastAsia="Arial Unicode MS"/>
          <w:color w:val="000000"/>
          <w:sz w:val="22"/>
          <w:lang w:val="fr-FR"/>
        </w:rPr>
        <w:t>(</w:t>
      </w:r>
      <w:r w:rsidRPr="009D01FD">
        <w:rPr>
          <w:rFonts w:eastAsia="Arial Unicode MS"/>
          <w:color w:val="000000"/>
          <w:sz w:val="22"/>
          <w:lang w:val="fr-FR"/>
        </w:rPr>
        <w:t xml:space="preserve">ii) le système d’approvisionnement ; et </w:t>
      </w:r>
      <w:r w:rsidR="00973655" w:rsidRPr="009D01FD">
        <w:rPr>
          <w:rFonts w:eastAsia="Arial Unicode MS"/>
          <w:color w:val="000000"/>
          <w:sz w:val="22"/>
          <w:lang w:val="fr-FR"/>
        </w:rPr>
        <w:t>(</w:t>
      </w:r>
      <w:r w:rsidRPr="009D01FD">
        <w:rPr>
          <w:rFonts w:eastAsia="Arial Unicode MS"/>
          <w:color w:val="000000"/>
          <w:sz w:val="22"/>
          <w:lang w:val="fr-FR"/>
        </w:rPr>
        <w:t xml:space="preserve">iii) le système de logistique.  </w:t>
      </w:r>
    </w:p>
    <w:p w14:paraId="3829A2E3" w14:textId="77777777" w:rsidR="00135F32" w:rsidRPr="009D01FD" w:rsidRDefault="00135F32" w:rsidP="00121B37">
      <w:pPr>
        <w:pStyle w:val="ListParagraph"/>
        <w:spacing w:after="0" w:line="240" w:lineRule="auto"/>
        <w:ind w:left="0"/>
        <w:rPr>
          <w:rFonts w:eastAsia="Arial Unicode MS"/>
          <w:color w:val="000000"/>
          <w:sz w:val="22"/>
          <w:lang w:val="fr-FR"/>
        </w:rPr>
      </w:pPr>
    </w:p>
    <w:p w14:paraId="305ABFCD" w14:textId="5C0A7704" w:rsidR="00135F32" w:rsidRPr="009D01FD" w:rsidRDefault="00135F32" w:rsidP="00121B37">
      <w:pPr>
        <w:pStyle w:val="ListParagraph"/>
        <w:widowControl w:val="0"/>
        <w:numPr>
          <w:ilvl w:val="0"/>
          <w:numId w:val="1"/>
        </w:numPr>
        <w:autoSpaceDE w:val="0"/>
        <w:autoSpaceDN w:val="0"/>
        <w:adjustRightInd w:val="0"/>
        <w:spacing w:after="0" w:line="240" w:lineRule="auto"/>
        <w:jc w:val="both"/>
        <w:rPr>
          <w:rFonts w:eastAsia="Arial Unicode MS"/>
          <w:color w:val="000000"/>
          <w:sz w:val="22"/>
          <w:lang w:val="fr-FR"/>
        </w:rPr>
      </w:pPr>
      <w:r w:rsidRPr="009D01FD">
        <w:rPr>
          <w:b/>
          <w:color w:val="000000"/>
          <w:sz w:val="22"/>
          <w:lang w:val="fr-FR"/>
        </w:rPr>
        <w:t>Composante 2a :</w:t>
      </w:r>
      <w:r w:rsidRPr="009D01FD">
        <w:rPr>
          <w:sz w:val="22"/>
          <w:lang w:val="fr-FR"/>
        </w:rPr>
        <w:t xml:space="preserve"> </w:t>
      </w:r>
      <w:r w:rsidRPr="009D01FD">
        <w:rPr>
          <w:rFonts w:eastAsia="Arial Unicode MS"/>
          <w:color w:val="000000"/>
          <w:sz w:val="22"/>
          <w:lang w:val="fr-FR"/>
        </w:rPr>
        <w:t xml:space="preserve">Système de régulation. Le projet fournira un assistant technique à la Division de la Pharmacie et de Médicaments (DPM) du Ministère de la Santé, afin de développer les capacités et d’appuyer la mise en œuvre d’un plan d’affaires pour assurer une transition vers une autorité de régulation autonome pérenne. L’assistance appuiera aussi une étude de faisabilité pour la mise en place d’un laboratoire national de contrôle de qualité et la formation en continue du personnel technique de la DPM. </w:t>
      </w:r>
      <w:r w:rsidRPr="009D01FD">
        <w:rPr>
          <w:rFonts w:eastAsia="Arial Unicode MS"/>
          <w:i/>
          <w:color w:val="000000"/>
          <w:sz w:val="22"/>
          <w:lang w:val="fr-FR"/>
        </w:rPr>
        <w:t xml:space="preserve">La sous-composante est </w:t>
      </w:r>
      <w:r w:rsidRPr="009D01FD">
        <w:rPr>
          <w:rFonts w:eastAsia="Arial Unicode MS"/>
          <w:i/>
          <w:color w:val="000000"/>
          <w:sz w:val="22"/>
          <w:u w:val="single"/>
          <w:lang w:val="fr-FR"/>
        </w:rPr>
        <w:t>modérément satisfaisante</w:t>
      </w:r>
      <w:r w:rsidRPr="009D01FD">
        <w:rPr>
          <w:rFonts w:eastAsia="Arial Unicode MS"/>
          <w:i/>
          <w:color w:val="000000"/>
          <w:sz w:val="22"/>
          <w:lang w:val="fr-FR"/>
        </w:rPr>
        <w:t>, car les marchés de la DPM sont en retard pour des raisons propres à la DPM (qualité des évaluations parfois insuffisante, indisponibilité du personnel pour évaluer et retard dans la transmission de TDR) et à la CFEF (</w:t>
      </w:r>
      <w:r w:rsidR="00350B25" w:rsidRPr="009D01FD">
        <w:rPr>
          <w:rFonts w:eastAsia="Arial Unicode MS"/>
          <w:i/>
          <w:color w:val="000000"/>
          <w:sz w:val="22"/>
          <w:lang w:val="fr-FR"/>
        </w:rPr>
        <w:t xml:space="preserve">un </w:t>
      </w:r>
      <w:r w:rsidRPr="009D01FD">
        <w:rPr>
          <w:rFonts w:eastAsia="Arial Unicode MS"/>
          <w:i/>
          <w:color w:val="000000"/>
          <w:sz w:val="22"/>
          <w:lang w:val="fr-FR"/>
        </w:rPr>
        <w:t xml:space="preserve">marché </w:t>
      </w:r>
      <w:r w:rsidR="004308DF" w:rsidRPr="009D01FD">
        <w:rPr>
          <w:rFonts w:eastAsia="Arial Unicode MS"/>
          <w:i/>
          <w:color w:val="000000"/>
          <w:sz w:val="22"/>
          <w:lang w:val="fr-FR"/>
        </w:rPr>
        <w:t>à</w:t>
      </w:r>
      <w:r w:rsidRPr="009D01FD">
        <w:rPr>
          <w:rFonts w:eastAsia="Arial Unicode MS"/>
          <w:i/>
          <w:color w:val="000000"/>
          <w:sz w:val="22"/>
          <w:lang w:val="fr-FR"/>
        </w:rPr>
        <w:t xml:space="preserve"> recommencer pour </w:t>
      </w:r>
      <w:r w:rsidR="00350B25" w:rsidRPr="009D01FD">
        <w:rPr>
          <w:rFonts w:eastAsia="Arial Unicode MS"/>
          <w:i/>
          <w:color w:val="000000"/>
          <w:sz w:val="22"/>
          <w:lang w:val="fr-FR"/>
        </w:rPr>
        <w:t>risque de vic</w:t>
      </w:r>
      <w:r w:rsidRPr="009D01FD">
        <w:rPr>
          <w:rFonts w:eastAsia="Arial Unicode MS"/>
          <w:i/>
          <w:color w:val="000000"/>
          <w:sz w:val="22"/>
          <w:lang w:val="fr-FR"/>
        </w:rPr>
        <w:t xml:space="preserve">e de procédure). </w:t>
      </w:r>
      <w:r w:rsidR="004308DF" w:rsidRPr="009D01FD">
        <w:rPr>
          <w:rFonts w:eastAsia="Arial Unicode MS"/>
          <w:i/>
          <w:color w:val="000000"/>
          <w:sz w:val="22"/>
          <w:lang w:val="fr-FR"/>
        </w:rPr>
        <w:t xml:space="preserve">Le portail web de la DPM en cours de développement </w:t>
      </w:r>
      <w:r w:rsidR="004308DF" w:rsidRPr="009D01FD">
        <w:rPr>
          <w:rFonts w:eastAsia="Arial Unicode MS"/>
          <w:i/>
          <w:color w:val="000000"/>
          <w:sz w:val="22"/>
          <w:lang w:val="fr-FR"/>
        </w:rPr>
        <w:lastRenderedPageBreak/>
        <w:t>serait une avancée importante par rapport aux recommandations de l</w:t>
      </w:r>
      <w:r w:rsidR="00412619" w:rsidRPr="009D01FD">
        <w:rPr>
          <w:rFonts w:eastAsia="Arial Unicode MS"/>
          <w:i/>
          <w:color w:val="000000"/>
          <w:sz w:val="22"/>
          <w:lang w:val="fr-FR"/>
        </w:rPr>
        <w:t xml:space="preserve">’OMS et la visibilité de la DPM qui serait le sixième pays africain francophone après l’Algérie, le Burkina Faso, la Côte d’Ivoire, le Sénégal et la Tunisie à se doter d’un site web. </w:t>
      </w:r>
      <w:r w:rsidR="00973655" w:rsidRPr="009D01FD">
        <w:rPr>
          <w:rFonts w:eastAsia="Arial Unicode MS"/>
          <w:i/>
          <w:color w:val="000000"/>
          <w:sz w:val="22"/>
          <w:lang w:val="fr-FR"/>
        </w:rPr>
        <w:t xml:space="preserve">D’autres marchés seront signés et pourront donner des progrès dans les </w:t>
      </w:r>
      <w:r w:rsidR="005D7102" w:rsidRPr="009D01FD">
        <w:rPr>
          <w:rFonts w:eastAsia="Arial Unicode MS"/>
          <w:i/>
          <w:color w:val="000000"/>
          <w:sz w:val="22"/>
          <w:lang w:val="fr-FR"/>
        </w:rPr>
        <w:t>mois</w:t>
      </w:r>
      <w:r w:rsidR="00973655" w:rsidRPr="009D01FD">
        <w:rPr>
          <w:rFonts w:eastAsia="Arial Unicode MS"/>
          <w:i/>
          <w:color w:val="000000"/>
          <w:sz w:val="22"/>
          <w:lang w:val="fr-FR"/>
        </w:rPr>
        <w:t xml:space="preserve"> à venir.</w:t>
      </w:r>
    </w:p>
    <w:p w14:paraId="247CE415" w14:textId="77777777" w:rsidR="00135F32" w:rsidRPr="009D01FD" w:rsidRDefault="00135F32" w:rsidP="00121B37">
      <w:pPr>
        <w:pStyle w:val="ListParagraph"/>
        <w:spacing w:after="0" w:line="240" w:lineRule="auto"/>
        <w:ind w:left="0"/>
        <w:rPr>
          <w:rFonts w:eastAsia="Arial Unicode MS"/>
          <w:color w:val="000000"/>
          <w:sz w:val="22"/>
          <w:lang w:val="fr-FR"/>
        </w:rPr>
      </w:pPr>
    </w:p>
    <w:p w14:paraId="6646AD7A" w14:textId="4ADDF0D4" w:rsidR="00135F32" w:rsidRPr="009D01FD" w:rsidRDefault="00135F32" w:rsidP="00121B37">
      <w:pPr>
        <w:pStyle w:val="ListParagraph"/>
        <w:widowControl w:val="0"/>
        <w:numPr>
          <w:ilvl w:val="0"/>
          <w:numId w:val="1"/>
        </w:numPr>
        <w:autoSpaceDE w:val="0"/>
        <w:autoSpaceDN w:val="0"/>
        <w:adjustRightInd w:val="0"/>
        <w:spacing w:after="0" w:line="240" w:lineRule="auto"/>
        <w:jc w:val="both"/>
        <w:rPr>
          <w:rFonts w:eastAsia="Arial Unicode MS"/>
          <w:color w:val="000000"/>
          <w:sz w:val="22"/>
          <w:lang w:val="fr-FR"/>
        </w:rPr>
      </w:pPr>
      <w:r w:rsidRPr="009D01FD">
        <w:rPr>
          <w:b/>
          <w:color w:val="000000"/>
          <w:sz w:val="22"/>
          <w:lang w:val="fr-FR"/>
        </w:rPr>
        <w:t>Composante 2b :</w:t>
      </w:r>
      <w:r w:rsidRPr="009D01FD">
        <w:rPr>
          <w:sz w:val="22"/>
          <w:lang w:val="fr-FR"/>
        </w:rPr>
        <w:t xml:space="preserve"> </w:t>
      </w:r>
      <w:r w:rsidRPr="009D01FD">
        <w:rPr>
          <w:rFonts w:eastAsia="Arial Unicode MS"/>
          <w:color w:val="000000"/>
          <w:sz w:val="22"/>
          <w:lang w:val="fr-FR"/>
        </w:rPr>
        <w:t xml:space="preserve">Système d’approvisionnement. Le projet fournira un assistant technique </w:t>
      </w:r>
      <w:r w:rsidRPr="009D01FD">
        <w:rPr>
          <w:sz w:val="22"/>
          <w:lang w:val="fr-FR"/>
        </w:rPr>
        <w:t>à</w:t>
      </w:r>
      <w:r w:rsidRPr="009D01FD">
        <w:rPr>
          <w:rFonts w:eastAsia="Arial Unicode MS"/>
          <w:color w:val="000000"/>
          <w:sz w:val="22"/>
          <w:lang w:val="fr-FR"/>
        </w:rPr>
        <w:t xml:space="preserve"> la FEDECAME pour renforcer sa fonction de passation de marchés et surtout pour la préparer à gérer un volume considérablement plus élevé de passation dans les années à venir. Cette assistance technique se focalisera particulièrement sur : (i) développer et mettre en œuvre un plan d’affaires ; (ii) renforcer les processus de pré-qualification des médicaments ; (iii) améliorer l’efficacité des systèmes de gestion de la FEDECAME, et (iv) augmenter le capital de roulement pour l’achat des médicaments. </w:t>
      </w:r>
      <w:r w:rsidRPr="009D01FD">
        <w:rPr>
          <w:rFonts w:eastAsia="Arial Unicode MS"/>
          <w:i/>
          <w:color w:val="000000"/>
          <w:sz w:val="22"/>
          <w:lang w:val="fr-FR"/>
        </w:rPr>
        <w:t xml:space="preserve">La sous-composante est modérément satisfaisante avec une tendance positive au vu des commandes des partenaires à la FEDECAME, mais les passations des marchés doivent </w:t>
      </w:r>
      <w:r w:rsidR="006E17A8" w:rsidRPr="009D01FD">
        <w:rPr>
          <w:rFonts w:eastAsia="Arial Unicode MS"/>
          <w:i/>
          <w:color w:val="000000"/>
          <w:sz w:val="22"/>
          <w:lang w:val="fr-FR"/>
        </w:rPr>
        <w:t>être accélérées</w:t>
      </w:r>
      <w:r w:rsidRPr="009D01FD">
        <w:rPr>
          <w:rFonts w:eastAsia="Arial Unicode MS"/>
          <w:i/>
          <w:color w:val="000000"/>
          <w:sz w:val="22"/>
          <w:lang w:val="fr-FR"/>
        </w:rPr>
        <w:t>.</w:t>
      </w:r>
    </w:p>
    <w:p w14:paraId="407A15D6" w14:textId="77777777" w:rsidR="00135F32" w:rsidRPr="009D01FD" w:rsidRDefault="00135F32" w:rsidP="00121B37">
      <w:pPr>
        <w:pStyle w:val="ListParagraph"/>
        <w:spacing w:after="0" w:line="240" w:lineRule="auto"/>
        <w:ind w:left="0"/>
        <w:rPr>
          <w:rFonts w:eastAsia="Arial Unicode MS"/>
          <w:color w:val="000000"/>
          <w:sz w:val="22"/>
          <w:lang w:val="fr-FR"/>
        </w:rPr>
      </w:pPr>
    </w:p>
    <w:p w14:paraId="26A47787" w14:textId="1884C213" w:rsidR="00135F32" w:rsidRPr="009D01FD" w:rsidRDefault="00135F32" w:rsidP="0092620F">
      <w:pPr>
        <w:pStyle w:val="ListParagraph"/>
        <w:keepNext/>
        <w:keepLines/>
        <w:widowControl w:val="0"/>
        <w:numPr>
          <w:ilvl w:val="0"/>
          <w:numId w:val="1"/>
        </w:numPr>
        <w:autoSpaceDE w:val="0"/>
        <w:autoSpaceDN w:val="0"/>
        <w:adjustRightInd w:val="0"/>
        <w:spacing w:after="0" w:line="240" w:lineRule="auto"/>
        <w:jc w:val="both"/>
        <w:rPr>
          <w:rFonts w:eastAsia="Arial Unicode MS"/>
          <w:color w:val="000000"/>
          <w:sz w:val="22"/>
          <w:lang w:val="fr-FR"/>
        </w:rPr>
      </w:pPr>
      <w:r w:rsidRPr="009D01FD">
        <w:rPr>
          <w:b/>
          <w:color w:val="000000"/>
          <w:sz w:val="22"/>
          <w:lang w:val="fr-FR"/>
        </w:rPr>
        <w:t>Composante 2c :</w:t>
      </w:r>
      <w:r w:rsidRPr="009D01FD">
        <w:rPr>
          <w:sz w:val="22"/>
          <w:lang w:val="fr-FR"/>
        </w:rPr>
        <w:t xml:space="preserve"> </w:t>
      </w:r>
      <w:r w:rsidRPr="009D01FD">
        <w:rPr>
          <w:rFonts w:eastAsia="Arial Unicode MS"/>
          <w:color w:val="000000"/>
          <w:sz w:val="22"/>
          <w:lang w:val="fr-FR"/>
        </w:rPr>
        <w:t>Système de logistique</w:t>
      </w:r>
      <w:r w:rsidRPr="009D01FD">
        <w:rPr>
          <w:rFonts w:eastAsia="Arial Unicode MS"/>
          <w:i/>
          <w:color w:val="000000"/>
          <w:sz w:val="22"/>
          <w:lang w:val="fr-FR"/>
        </w:rPr>
        <w:t>.</w:t>
      </w:r>
      <w:r w:rsidRPr="009D01FD">
        <w:rPr>
          <w:rFonts w:eastAsia="Arial Unicode MS"/>
          <w:color w:val="000000"/>
          <w:sz w:val="22"/>
          <w:lang w:val="fr-FR"/>
        </w:rPr>
        <w:t xml:space="preserve"> Le projet appuiera une évaluation rigoureuse du système actuel de logistique dans quelques provinces afin d’identifier une nouvelle organisation et un autre réseau logistique, lesquels pourront rendre le système plus flexible et donc mieux servir les formations sanitaires. Cette évaluation pour le bénéfice du PNAM servira à développer une proposition avec coûts pour un projet de modernisation du système de logistique dans les provinces étudiées. </w:t>
      </w:r>
      <w:r w:rsidRPr="009D01FD">
        <w:rPr>
          <w:rFonts w:eastAsia="Arial Unicode MS"/>
          <w:i/>
          <w:color w:val="000000"/>
          <w:sz w:val="22"/>
          <w:lang w:val="fr-FR"/>
        </w:rPr>
        <w:t xml:space="preserve">Cette composante est </w:t>
      </w:r>
      <w:r w:rsidRPr="009D01FD">
        <w:rPr>
          <w:rFonts w:eastAsia="Arial Unicode MS"/>
          <w:i/>
          <w:color w:val="000000"/>
          <w:sz w:val="22"/>
          <w:u w:val="single"/>
          <w:lang w:val="fr-FR"/>
        </w:rPr>
        <w:t>fortement insatisfaisante</w:t>
      </w:r>
      <w:r w:rsidRPr="009D01FD">
        <w:rPr>
          <w:rFonts w:eastAsia="Arial Unicode MS"/>
          <w:i/>
          <w:color w:val="000000"/>
          <w:sz w:val="22"/>
          <w:lang w:val="fr-FR"/>
        </w:rPr>
        <w:t xml:space="preserve"> par le fait que l’étude logistique a été déclarée infructueuse une seconde fois et que le PNAM s’est engagé avec le Fonds mondial pour faire une étude similaire. L’étude est donc retirée du projet et les fonds seront utilisés par d’autres bénéficiaires au vu </w:t>
      </w:r>
      <w:r w:rsidR="006E17A8" w:rsidRPr="009D01FD">
        <w:rPr>
          <w:rFonts w:eastAsia="Arial Unicode MS"/>
          <w:i/>
          <w:color w:val="000000"/>
          <w:sz w:val="22"/>
          <w:lang w:val="fr-FR"/>
        </w:rPr>
        <w:t>du comportement</w:t>
      </w:r>
      <w:r w:rsidRPr="009D01FD">
        <w:rPr>
          <w:rFonts w:eastAsia="Arial Unicode MS"/>
          <w:i/>
          <w:color w:val="000000"/>
          <w:sz w:val="22"/>
          <w:lang w:val="fr-FR"/>
        </w:rPr>
        <w:t xml:space="preserve"> du PNAM et de son indisponibilité pour la passation des marchés. Les travaux du SIGL avancent très lentement malgré l’intérêt manifeste des partenaires. Le Ministère de la Santé Publique s’est engagé à piloter cette activité de très près.</w:t>
      </w:r>
    </w:p>
    <w:p w14:paraId="0E8A4625" w14:textId="77777777" w:rsidR="00135F32" w:rsidRPr="009D01FD" w:rsidRDefault="00135F32" w:rsidP="00121B37">
      <w:pPr>
        <w:keepNext/>
        <w:keepLines/>
        <w:widowControl w:val="0"/>
        <w:autoSpaceDE w:val="0"/>
        <w:autoSpaceDN w:val="0"/>
        <w:adjustRightInd w:val="0"/>
        <w:spacing w:after="0" w:line="240" w:lineRule="auto"/>
        <w:jc w:val="both"/>
        <w:rPr>
          <w:rFonts w:eastAsia="Arial Unicode MS"/>
          <w:color w:val="000000"/>
          <w:sz w:val="22"/>
          <w:lang w:val="fr-FR"/>
        </w:rPr>
      </w:pPr>
    </w:p>
    <w:p w14:paraId="43C18674" w14:textId="14C54D65" w:rsidR="00BA081C" w:rsidRPr="009D01FD" w:rsidRDefault="00135F32" w:rsidP="00A935E2">
      <w:pPr>
        <w:widowControl w:val="0"/>
        <w:numPr>
          <w:ilvl w:val="0"/>
          <w:numId w:val="1"/>
        </w:numPr>
        <w:autoSpaceDE w:val="0"/>
        <w:autoSpaceDN w:val="0"/>
        <w:adjustRightInd w:val="0"/>
        <w:spacing w:after="0" w:line="240" w:lineRule="auto"/>
        <w:contextualSpacing/>
        <w:jc w:val="both"/>
        <w:rPr>
          <w:sz w:val="22"/>
          <w:lang w:val="fr-FR"/>
        </w:rPr>
      </w:pPr>
      <w:r w:rsidRPr="009D01FD">
        <w:rPr>
          <w:b/>
          <w:sz w:val="22"/>
          <w:lang w:val="fr-FR"/>
        </w:rPr>
        <w:t>Composante 3 :</w:t>
      </w:r>
      <w:r w:rsidRPr="009D01FD">
        <w:rPr>
          <w:b/>
          <w:i/>
          <w:sz w:val="22"/>
          <w:lang w:val="fr-FR"/>
        </w:rPr>
        <w:t xml:space="preserve"> </w:t>
      </w:r>
      <w:r w:rsidRPr="009D01FD">
        <w:rPr>
          <w:sz w:val="22"/>
          <w:lang w:val="fr-FR"/>
        </w:rPr>
        <w:t>Etudes, communication, renforcement des capacités, partage des connaissances (environ 2,85 millions USD)</w:t>
      </w:r>
      <w:r w:rsidRPr="009D01FD">
        <w:rPr>
          <w:i/>
          <w:sz w:val="22"/>
          <w:lang w:val="fr-FR"/>
        </w:rPr>
        <w:t>.</w:t>
      </w:r>
      <w:r w:rsidRPr="009D01FD">
        <w:rPr>
          <w:sz w:val="22"/>
          <w:lang w:val="fr-FR"/>
        </w:rPr>
        <w:t xml:space="preserve"> Cette composante a trois objectifs : (i) fournir aux ministères des études de haute qualité qui leur permettra de renforcer leurs systèmes (environ 2,5 millions USD) ; (ii) faciliter l’échange de connaissances entre la RDC et autres pays ; (iii) assurer une bonne coordination, communication et gestion du projet. Lors de l’approbation du projet il était prévu que, dans un premier temps, une série d’études en protection sociale seraient financés pour venir en appui au développement de la stratégie nationale de protection sociale. Les quatre études suivantes d’une valeur d’environ 1,15 millions USD étaient prévues : (i) étude sur la vulnérabilité ; (ii) revue de l’expérience de la RDC avec les mécanismes de partage de risques pour améliorer l’accès aux services de santé ; (iii) étude de faisabilité pour transformer les Centres de promotion sociale </w:t>
      </w:r>
      <w:r w:rsidR="009930EE" w:rsidRPr="009D01FD">
        <w:rPr>
          <w:sz w:val="22"/>
          <w:lang w:val="fr-FR"/>
        </w:rPr>
        <w:t xml:space="preserve">en Centres d’action sociale </w:t>
      </w:r>
      <w:r w:rsidRPr="009D01FD">
        <w:rPr>
          <w:sz w:val="22"/>
          <w:lang w:val="fr-FR"/>
        </w:rPr>
        <w:t xml:space="preserve">afin d’augmenter leur contribution à la protection sociale ; (iv) étude du marché du travail avec un accent sur les travailleurs manuels spécialisés.  Une somme de 1,35 millions USD avait été prévue pour des études additionnelles suite à l’approbation du comité de pilotage du projet.  Cette composante appuiera aussi une stratégie de communication pour faire connaître les résultats du projet mais surtout pour faciliter la coordination entre les ministères et pour développer des « champions » pour les réformes soutenues par le projet.  </w:t>
      </w:r>
      <w:r w:rsidRPr="009D01FD">
        <w:rPr>
          <w:i/>
          <w:sz w:val="22"/>
          <w:lang w:val="fr-FR"/>
        </w:rPr>
        <w:t xml:space="preserve">La composante est modérément </w:t>
      </w:r>
      <w:r w:rsidR="002E7E0C" w:rsidRPr="009D01FD">
        <w:rPr>
          <w:i/>
          <w:sz w:val="22"/>
          <w:lang w:val="fr-FR"/>
        </w:rPr>
        <w:t>in</w:t>
      </w:r>
      <w:r w:rsidRPr="009D01FD">
        <w:rPr>
          <w:i/>
          <w:sz w:val="22"/>
          <w:lang w:val="fr-FR"/>
        </w:rPr>
        <w:t xml:space="preserve">satisfaisante, </w:t>
      </w:r>
      <w:r w:rsidR="001C747F" w:rsidRPr="009D01FD">
        <w:rPr>
          <w:i/>
          <w:sz w:val="22"/>
          <w:lang w:val="fr-FR"/>
        </w:rPr>
        <w:t xml:space="preserve">deux études </w:t>
      </w:r>
      <w:r w:rsidR="007C3CA3" w:rsidRPr="009D01FD">
        <w:rPr>
          <w:i/>
          <w:sz w:val="22"/>
          <w:lang w:val="fr-FR"/>
        </w:rPr>
        <w:t>sont finalisées, notamment</w:t>
      </w:r>
      <w:r w:rsidR="001C747F" w:rsidRPr="009D01FD">
        <w:rPr>
          <w:i/>
          <w:sz w:val="22"/>
          <w:lang w:val="fr-FR"/>
        </w:rPr>
        <w:t xml:space="preserve"> celle du marché mettant l’accent sur les travailleurs manuels spécialisés, et la faisabilité de transformer les CPS en CAS</w:t>
      </w:r>
      <w:r w:rsidR="007C3CA3" w:rsidRPr="009D01FD">
        <w:rPr>
          <w:i/>
          <w:sz w:val="22"/>
          <w:lang w:val="fr-FR"/>
        </w:rPr>
        <w:t>.</w:t>
      </w:r>
      <w:r w:rsidR="001C747F" w:rsidRPr="009D01FD">
        <w:rPr>
          <w:i/>
          <w:sz w:val="22"/>
          <w:lang w:val="fr-FR"/>
        </w:rPr>
        <w:t xml:space="preserve"> </w:t>
      </w:r>
      <w:r w:rsidR="007C3CA3" w:rsidRPr="009D01FD">
        <w:rPr>
          <w:i/>
          <w:sz w:val="22"/>
          <w:lang w:val="fr-FR"/>
        </w:rPr>
        <w:t>L</w:t>
      </w:r>
      <w:r w:rsidR="001C747F" w:rsidRPr="009D01FD">
        <w:rPr>
          <w:i/>
          <w:sz w:val="22"/>
          <w:lang w:val="fr-FR"/>
        </w:rPr>
        <w:t>es rapports provisoires des études des mutuelles de santé en RDC et la revue des dépenses publiques en protection sociale sont en revue</w:t>
      </w:r>
      <w:r w:rsidR="009930EE" w:rsidRPr="009D01FD">
        <w:rPr>
          <w:i/>
          <w:sz w:val="22"/>
          <w:lang w:val="fr-FR"/>
        </w:rPr>
        <w:t xml:space="preserve"> afin d’élaborer les </w:t>
      </w:r>
      <w:r w:rsidR="007C3CA3" w:rsidRPr="009D01FD">
        <w:rPr>
          <w:i/>
          <w:sz w:val="22"/>
          <w:lang w:val="fr-FR"/>
        </w:rPr>
        <w:t xml:space="preserve">rapports </w:t>
      </w:r>
      <w:r w:rsidR="00C6732F" w:rsidRPr="009D01FD">
        <w:rPr>
          <w:i/>
          <w:sz w:val="22"/>
          <w:lang w:val="fr-FR"/>
        </w:rPr>
        <w:t>finaux</w:t>
      </w:r>
      <w:r w:rsidR="001C747F" w:rsidRPr="009D01FD">
        <w:rPr>
          <w:i/>
          <w:sz w:val="22"/>
          <w:lang w:val="fr-FR"/>
        </w:rPr>
        <w:t xml:space="preserve">, et enfin les négociations sont en cours </w:t>
      </w:r>
      <w:r w:rsidR="00CB118F" w:rsidRPr="009D01FD">
        <w:rPr>
          <w:i/>
          <w:sz w:val="22"/>
          <w:lang w:val="fr-FR"/>
        </w:rPr>
        <w:t xml:space="preserve">pour la signature du contrat </w:t>
      </w:r>
      <w:r w:rsidR="001C747F" w:rsidRPr="009D01FD">
        <w:rPr>
          <w:i/>
          <w:sz w:val="22"/>
          <w:lang w:val="fr-FR"/>
        </w:rPr>
        <w:t>avec le consultant chargé d</w:t>
      </w:r>
      <w:r w:rsidR="00CB118F" w:rsidRPr="009D01FD">
        <w:rPr>
          <w:i/>
          <w:sz w:val="22"/>
          <w:lang w:val="fr-FR"/>
        </w:rPr>
        <w:t>e l’évaluation du SIGE.</w:t>
      </w:r>
      <w:r w:rsidR="001C747F" w:rsidRPr="009D01FD">
        <w:rPr>
          <w:i/>
          <w:sz w:val="22"/>
          <w:lang w:val="fr-FR"/>
        </w:rPr>
        <w:t xml:space="preserve">   </w:t>
      </w:r>
    </w:p>
    <w:p w14:paraId="61435988" w14:textId="77777777" w:rsidR="00135F32" w:rsidRPr="009D01FD" w:rsidRDefault="00135F32" w:rsidP="00A935E2">
      <w:pPr>
        <w:widowControl w:val="0"/>
        <w:autoSpaceDE w:val="0"/>
        <w:autoSpaceDN w:val="0"/>
        <w:adjustRightInd w:val="0"/>
        <w:spacing w:after="0" w:line="240" w:lineRule="auto"/>
        <w:ind w:left="360"/>
        <w:contextualSpacing/>
        <w:jc w:val="both"/>
        <w:rPr>
          <w:sz w:val="22"/>
          <w:lang w:val="fr-FR"/>
        </w:rPr>
      </w:pPr>
    </w:p>
    <w:p w14:paraId="53A6BCA9" w14:textId="360E2214" w:rsidR="00B15A56" w:rsidRPr="009D01FD" w:rsidRDefault="00135F32" w:rsidP="000C3F14">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Qualité de la passation des marchés</w:t>
      </w:r>
      <w:r w:rsidRPr="009D01FD">
        <w:rPr>
          <w:sz w:val="22"/>
          <w:lang w:val="fr-FR"/>
        </w:rPr>
        <w:t xml:space="preserve"> : </w:t>
      </w:r>
      <w:r w:rsidR="00B15A56" w:rsidRPr="009D01FD">
        <w:rPr>
          <w:sz w:val="22"/>
          <w:lang w:val="fr-FR"/>
        </w:rPr>
        <w:t xml:space="preserve">la mission constate des progrès et des défis. Parmi les progrès, la documentation est meilleure et des demandes de prorogation d’offres sont arrivées pour respecter les directives de l’IDA en matière de retards. Cependant, les retards constatés dans les évaluations </w:t>
      </w:r>
      <w:r w:rsidR="00B15A56" w:rsidRPr="009D01FD">
        <w:rPr>
          <w:sz w:val="22"/>
          <w:lang w:val="fr-FR"/>
        </w:rPr>
        <w:lastRenderedPageBreak/>
        <w:t xml:space="preserve">techniques qui ont occasionné des prorogations des offres, des erreurs procédurales (ouverture d’offres caduques, négociations annulées sans justification acceptable) et la qualité des évaluations techniques restent des éléments à améliorer. </w:t>
      </w:r>
      <w:r w:rsidR="00FD5C88" w:rsidRPr="009D01FD">
        <w:rPr>
          <w:sz w:val="22"/>
          <w:lang w:val="fr-FR"/>
        </w:rPr>
        <w:t>Le dernier aide-mémoire demandait un renforcement du rôle d’assurance-qualité par le Conseiller technique en passation des marchés et ceci semble se faire progressivement.</w:t>
      </w:r>
      <w:r w:rsidR="000C3F14" w:rsidRPr="009D01FD">
        <w:rPr>
          <w:sz w:val="22"/>
          <w:lang w:val="fr-FR"/>
        </w:rPr>
        <w:t xml:space="preserve"> Le développement du contrat de l’évaluateur (sur la base de la performance (absence de refus initial d’ANO par l’IDA du travail technique) assorti de clauses relatives aux conflits d’intérêt et confidentialité. Les paiements ne devraient plus être systématiques comme avant mais ils devraient être liés à la qualité des rapports d’évaluation produits.  Cependant, le contrat n’est pas encore en place et les raisons sont partagées.</w:t>
      </w:r>
    </w:p>
    <w:p w14:paraId="6FCC4834" w14:textId="77777777" w:rsidR="00FD5C88" w:rsidRPr="009D01FD" w:rsidRDefault="00FD5C88" w:rsidP="00121B37">
      <w:pPr>
        <w:pStyle w:val="ListParagraph"/>
        <w:spacing w:after="0" w:line="240" w:lineRule="auto"/>
        <w:rPr>
          <w:sz w:val="22"/>
          <w:lang w:val="fr-FR"/>
        </w:rPr>
      </w:pPr>
    </w:p>
    <w:p w14:paraId="2422C172" w14:textId="472861AB" w:rsidR="00FD5C88" w:rsidRPr="009D01FD" w:rsidRDefault="00FD5C88"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Suivi des contrats </w:t>
      </w:r>
      <w:r w:rsidRPr="009D01FD">
        <w:rPr>
          <w:sz w:val="22"/>
          <w:lang w:val="fr-FR"/>
        </w:rPr>
        <w:t xml:space="preserve">: deux contrats signés par la CFEF sont arrivés à terme sans action préalable par la CFEF. Ceci est une faute non-négligeable. Par exemple, le contrat entre la CFEF et l’UNESCO est arrivé à terme </w:t>
      </w:r>
      <w:r w:rsidR="00DB2D4A" w:rsidRPr="009D01FD">
        <w:rPr>
          <w:sz w:val="22"/>
          <w:lang w:val="fr-FR"/>
        </w:rPr>
        <w:t>le 17</w:t>
      </w:r>
      <w:r w:rsidR="00190009" w:rsidRPr="009D01FD">
        <w:rPr>
          <w:sz w:val="22"/>
          <w:lang w:val="fr-FR"/>
        </w:rPr>
        <w:t xml:space="preserve">avril 2017 </w:t>
      </w:r>
      <w:r w:rsidRPr="009D01FD">
        <w:rPr>
          <w:sz w:val="22"/>
          <w:lang w:val="fr-FR"/>
        </w:rPr>
        <w:t>sans qu’une des parties (UNESCO, CFEF, ministère bénéficiaire) n’agisse</w:t>
      </w:r>
      <w:r w:rsidR="00190009" w:rsidRPr="009D01FD">
        <w:rPr>
          <w:sz w:val="22"/>
          <w:lang w:val="fr-FR"/>
        </w:rPr>
        <w:t>. Si l’IDA a accepté un avenant sans frais pour terminer le travail, malgré la norme de clôturer le contrat et de faire un nouveau, celui-ci n’est pas encore en place et cause des risques pour l’annuaire statistique 2017-18. A la demande de l’IDA, la CFEF a mis en place un système de suivi des contrats.</w:t>
      </w:r>
    </w:p>
    <w:p w14:paraId="101FC11C" w14:textId="77777777" w:rsidR="00135F32" w:rsidRPr="009D01FD" w:rsidRDefault="00135F32" w:rsidP="003C0F05">
      <w:pPr>
        <w:spacing w:after="0" w:line="240" w:lineRule="auto"/>
        <w:rPr>
          <w:lang w:val="fr-FR"/>
        </w:rPr>
      </w:pPr>
    </w:p>
    <w:p w14:paraId="2D4012D5" w14:textId="708197C2"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Evaluation de la passation des marchés</w:t>
      </w:r>
      <w:r w:rsidRPr="009D01FD">
        <w:rPr>
          <w:sz w:val="22"/>
          <w:lang w:val="fr-FR"/>
        </w:rPr>
        <w:t xml:space="preserve"> : </w:t>
      </w:r>
      <w:r w:rsidRPr="009D01FD">
        <w:rPr>
          <w:sz w:val="22"/>
          <w:u w:val="single"/>
          <w:lang w:val="fr-FR"/>
        </w:rPr>
        <w:t xml:space="preserve">la note demeure modérément </w:t>
      </w:r>
      <w:r w:rsidRPr="009D01FD">
        <w:rPr>
          <w:sz w:val="22"/>
          <w:lang w:val="fr-FR"/>
        </w:rPr>
        <w:t>satisfaisant</w:t>
      </w:r>
      <w:r w:rsidR="00477BC6" w:rsidRPr="009D01FD">
        <w:rPr>
          <w:sz w:val="22"/>
          <w:lang w:val="fr-FR"/>
        </w:rPr>
        <w:t>e</w:t>
      </w:r>
      <w:r w:rsidRPr="009D01FD">
        <w:rPr>
          <w:sz w:val="22"/>
          <w:lang w:val="fr-FR"/>
        </w:rPr>
        <w:t xml:space="preserve"> au vu de ce qui précède. </w:t>
      </w:r>
      <w:r w:rsidRPr="009D01FD">
        <w:rPr>
          <w:sz w:val="22"/>
          <w:u w:val="single"/>
          <w:lang w:val="fr-FR"/>
        </w:rPr>
        <w:t>Le risque lié à la passation des marchés du projet demeure substantiel</w:t>
      </w:r>
      <w:r w:rsidRPr="009D01FD">
        <w:rPr>
          <w:sz w:val="22"/>
          <w:lang w:val="fr-FR"/>
        </w:rPr>
        <w:t>.</w:t>
      </w:r>
    </w:p>
    <w:p w14:paraId="0E1F500C" w14:textId="77777777" w:rsidR="00135F32" w:rsidRPr="009D01FD" w:rsidRDefault="00135F32" w:rsidP="00121B37">
      <w:pPr>
        <w:pStyle w:val="ListParagraph"/>
        <w:widowControl w:val="0"/>
        <w:autoSpaceDE w:val="0"/>
        <w:autoSpaceDN w:val="0"/>
        <w:adjustRightInd w:val="0"/>
        <w:spacing w:after="0" w:line="240" w:lineRule="auto"/>
        <w:ind w:left="360"/>
        <w:jc w:val="both"/>
        <w:rPr>
          <w:sz w:val="22"/>
          <w:lang w:val="fr-FR"/>
        </w:rPr>
      </w:pPr>
    </w:p>
    <w:p w14:paraId="624E8797" w14:textId="77777777"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sz w:val="22"/>
          <w:lang w:val="fr-FR"/>
        </w:rPr>
        <w:t xml:space="preserve">La supervision en matière de </w:t>
      </w:r>
      <w:r w:rsidRPr="009D01FD">
        <w:rPr>
          <w:b/>
          <w:sz w:val="22"/>
          <w:lang w:val="fr-FR"/>
        </w:rPr>
        <w:t>gestion financière</w:t>
      </w:r>
      <w:r w:rsidRPr="009D01FD">
        <w:rPr>
          <w:sz w:val="22"/>
          <w:lang w:val="fr-FR"/>
        </w:rPr>
        <w:t xml:space="preserve"> visait essentiellement à effectuer : (i) l’évaluation de l’adéquation des arrangements financiers en place ; (ii) l’appréciation de la performance de la gestion financière du projet ; et (iii) la mise à jour de l’évaluation du risque du projet.</w:t>
      </w:r>
    </w:p>
    <w:p w14:paraId="79B4A4A3" w14:textId="77777777" w:rsidR="00135F32" w:rsidRPr="009D01FD" w:rsidRDefault="00135F32" w:rsidP="00121B37">
      <w:pPr>
        <w:pStyle w:val="ListParagraph"/>
        <w:spacing w:after="0" w:line="240" w:lineRule="auto"/>
        <w:ind w:left="0"/>
        <w:jc w:val="both"/>
        <w:rPr>
          <w:sz w:val="22"/>
          <w:lang w:val="fr-FR"/>
        </w:rPr>
      </w:pPr>
    </w:p>
    <w:p w14:paraId="221CF9ED" w14:textId="20E83A58"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 xml:space="preserve">Evaluation de la gestion financière : </w:t>
      </w:r>
      <w:r w:rsidRPr="009D01FD">
        <w:rPr>
          <w:sz w:val="22"/>
          <w:lang w:val="fr-FR"/>
        </w:rPr>
        <w:t xml:space="preserve">la gestion financière du Projet est jugée comme étant </w:t>
      </w:r>
      <w:r w:rsidRPr="009D01FD">
        <w:rPr>
          <w:sz w:val="22"/>
          <w:u w:val="single"/>
          <w:lang w:val="fr-FR"/>
        </w:rPr>
        <w:t>Modérément Satisfaisante</w:t>
      </w:r>
      <w:r w:rsidRPr="009D01FD">
        <w:rPr>
          <w:sz w:val="22"/>
          <w:lang w:val="fr-FR"/>
        </w:rPr>
        <w:t xml:space="preserve"> et le risque de gestion financière demeure </w:t>
      </w:r>
      <w:r w:rsidRPr="009D01FD">
        <w:rPr>
          <w:sz w:val="22"/>
          <w:u w:val="single"/>
          <w:lang w:val="fr-FR"/>
        </w:rPr>
        <w:t>Substantiel</w:t>
      </w:r>
      <w:r w:rsidR="00DB2D4A" w:rsidRPr="009D01FD">
        <w:rPr>
          <w:sz w:val="22"/>
          <w:u w:val="single"/>
          <w:lang w:val="fr-FR"/>
        </w:rPr>
        <w:t>.</w:t>
      </w:r>
      <w:r w:rsidRPr="009D01FD">
        <w:rPr>
          <w:sz w:val="22"/>
          <w:lang w:val="fr-FR"/>
        </w:rPr>
        <w:t xml:space="preserve"> A l’issue de la présente supervision et sous réserve de la mise en œuvre des actions énumérées dans le plan d’actions déjà communiqué dans d’autres correspondances, la mission estime que les arrangements fiduciaires en place permettent d’assurer une gestion acceptable des ressources du projet ainsi que la couverture des risques potentiels en gestion financière. </w:t>
      </w:r>
    </w:p>
    <w:p w14:paraId="4CACC48D" w14:textId="77777777" w:rsidR="00135F32" w:rsidRPr="009D01FD" w:rsidRDefault="00135F32" w:rsidP="00121B37">
      <w:pPr>
        <w:pStyle w:val="ListParagraph"/>
        <w:spacing w:after="0" w:line="240" w:lineRule="auto"/>
        <w:rPr>
          <w:sz w:val="22"/>
          <w:lang w:val="fr-FR"/>
        </w:rPr>
      </w:pPr>
    </w:p>
    <w:p w14:paraId="1AFD2BB1" w14:textId="6EA122F6"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Gestion du traitement des factures</w:t>
      </w:r>
      <w:r w:rsidRPr="009D01FD">
        <w:rPr>
          <w:b/>
          <w:i/>
          <w:sz w:val="22"/>
          <w:lang w:val="fr-FR"/>
        </w:rPr>
        <w:t>.</w:t>
      </w:r>
      <w:r w:rsidRPr="009D01FD">
        <w:rPr>
          <w:sz w:val="22"/>
          <w:lang w:val="fr-FR"/>
        </w:rPr>
        <w:t xml:space="preserve"> La revue a noté que le suivi des factures et la communication avec les bénéficiaires dans le respect de l’instruction du Coordonnateur sur les délais de leur traitement est primordial pour le bon déroulement des activités. La CFEF devait organiser avant le 17 décembre une réunion sur les procédures et justificatifs des missions et ateliers pour pailler à certains problèmes constatés. </w:t>
      </w:r>
      <w:r w:rsidRPr="009D01FD">
        <w:rPr>
          <w:sz w:val="22"/>
          <w:u w:val="single"/>
          <w:lang w:val="fr-FR"/>
        </w:rPr>
        <w:t>La revue recommande la mise en place d’un</w:t>
      </w:r>
      <w:r w:rsidR="00BF0E5D" w:rsidRPr="009D01FD">
        <w:rPr>
          <w:sz w:val="22"/>
          <w:u w:val="single"/>
          <w:lang w:val="fr-FR"/>
        </w:rPr>
        <w:t xml:space="preserve">e </w:t>
      </w:r>
      <w:r w:rsidRPr="009D01FD">
        <w:rPr>
          <w:sz w:val="22"/>
          <w:u w:val="single"/>
          <w:lang w:val="fr-FR"/>
        </w:rPr>
        <w:t>checklist</w:t>
      </w:r>
      <w:r w:rsidR="00BF0E5D" w:rsidRPr="009D01FD">
        <w:rPr>
          <w:sz w:val="22"/>
          <w:u w:val="single"/>
          <w:lang w:val="fr-FR"/>
        </w:rPr>
        <w:t xml:space="preserve"> des justificatifs au niveau des structures partenaires</w:t>
      </w:r>
      <w:r w:rsidR="007850B2" w:rsidRPr="009D01FD">
        <w:rPr>
          <w:sz w:val="22"/>
          <w:u w:val="single"/>
          <w:lang w:val="fr-FR"/>
        </w:rPr>
        <w:t xml:space="preserve"> </w:t>
      </w:r>
      <w:r w:rsidRPr="009D01FD">
        <w:rPr>
          <w:sz w:val="22"/>
          <w:u w:val="single"/>
          <w:lang w:val="fr-FR"/>
        </w:rPr>
        <w:t xml:space="preserve">afin de </w:t>
      </w:r>
      <w:r w:rsidR="00BF0E5D" w:rsidRPr="009D01FD">
        <w:rPr>
          <w:sz w:val="22"/>
          <w:u w:val="single"/>
          <w:lang w:val="fr-FR"/>
        </w:rPr>
        <w:t>pallier</w:t>
      </w:r>
      <w:r w:rsidRPr="009D01FD">
        <w:rPr>
          <w:sz w:val="22"/>
          <w:u w:val="single"/>
          <w:lang w:val="fr-FR"/>
        </w:rPr>
        <w:t xml:space="preserve"> cette lacune</w:t>
      </w:r>
      <w:r w:rsidR="00BF0E5D" w:rsidRPr="009D01FD">
        <w:rPr>
          <w:sz w:val="22"/>
          <w:u w:val="single"/>
          <w:lang w:val="fr-FR"/>
        </w:rPr>
        <w:t>, à proposer par la CFEF</w:t>
      </w:r>
      <w:r w:rsidRPr="009D01FD">
        <w:rPr>
          <w:sz w:val="22"/>
          <w:u w:val="single"/>
          <w:lang w:val="fr-FR"/>
        </w:rPr>
        <w:t>. Ce système devrait faire l’objet d’une vérification en temps réel par le Responsable Administratif et Financier pour anticiper les retards, identifier les goulots d’étranglement en interne et résoudre immédiatement les problèmes constatés.</w:t>
      </w:r>
    </w:p>
    <w:p w14:paraId="7777B8C6" w14:textId="77777777" w:rsidR="00165772" w:rsidRPr="009D01FD" w:rsidRDefault="00165772" w:rsidP="003C0F05">
      <w:pPr>
        <w:pStyle w:val="ListParagraph"/>
        <w:widowControl w:val="0"/>
        <w:autoSpaceDE w:val="0"/>
        <w:autoSpaceDN w:val="0"/>
        <w:adjustRightInd w:val="0"/>
        <w:spacing w:after="0" w:line="240" w:lineRule="auto"/>
        <w:ind w:left="360"/>
        <w:jc w:val="both"/>
        <w:rPr>
          <w:sz w:val="22"/>
          <w:lang w:val="fr-FR"/>
        </w:rPr>
      </w:pPr>
    </w:p>
    <w:p w14:paraId="62D67732" w14:textId="7A7953A4" w:rsidR="00165772" w:rsidRPr="009D01FD" w:rsidRDefault="0016577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Gestion Budgétaire</w:t>
      </w:r>
      <w:r w:rsidRPr="009D01FD">
        <w:rPr>
          <w:b/>
          <w:i/>
          <w:sz w:val="22"/>
          <w:lang w:val="fr-FR"/>
        </w:rPr>
        <w:t>.</w:t>
      </w:r>
      <w:r w:rsidRPr="009D01FD">
        <w:rPr>
          <w:sz w:val="22"/>
          <w:lang w:val="fr-FR"/>
        </w:rPr>
        <w:t xml:space="preserve"> Afin d’améliorer le suivi de l’exécution budgétaire du projet, autant sur l’exercice en cours que sur toute la durée du projet, la </w:t>
      </w:r>
      <w:r w:rsidRPr="009D01FD">
        <w:rPr>
          <w:sz w:val="22"/>
          <w:u w:val="single"/>
          <w:lang w:val="fr-FR"/>
        </w:rPr>
        <w:t>mission recommande</w:t>
      </w:r>
      <w:r w:rsidRPr="009D01FD">
        <w:rPr>
          <w:sz w:val="22"/>
          <w:lang w:val="fr-FR"/>
        </w:rPr>
        <w:t xml:space="preserve"> la confection et/ou l’édition d’un état extra comptable de suivi de l'exécution budgétaire détaillée de l’utilisation de tous les financements alloués au titre de l’année en cours. Ce tableau de suivi pour la période et à date, doit être en adéquation avec les ressources restant suivant Client Connection et le solde du compte désigné à ce moment. Il est tout aussi important que les activités liées aux catégories de dépenses de l’accord de financement et des engagements déjà approuvés (signées) mais non encore décaissés (payés) soient aussi pris en compte dans le suivi budgétaire. Cet état devrait être intégré dans le RSF pour la période clôturant le 31 décembre 201</w:t>
      </w:r>
      <w:r w:rsidR="00BF0E5D" w:rsidRPr="009D01FD">
        <w:rPr>
          <w:sz w:val="22"/>
          <w:lang w:val="fr-FR"/>
        </w:rPr>
        <w:t>7</w:t>
      </w:r>
      <w:r w:rsidRPr="009D01FD">
        <w:rPr>
          <w:sz w:val="22"/>
          <w:lang w:val="fr-FR"/>
        </w:rPr>
        <w:t>. La mission réitère la nécessité d’avoir une vision d’ensemble sur les ressources par composante et sous-composante avec des informations sur ce qui est consommé, ce qui est engagé et ce qui reste à engager.</w:t>
      </w:r>
    </w:p>
    <w:p w14:paraId="1B3963E7" w14:textId="77777777" w:rsidR="00135F32" w:rsidRPr="009D01FD" w:rsidRDefault="00135F32" w:rsidP="003C0F05">
      <w:pPr>
        <w:spacing w:after="0" w:line="240" w:lineRule="auto"/>
        <w:rPr>
          <w:b/>
          <w:lang w:val="fr-FR"/>
        </w:rPr>
      </w:pPr>
    </w:p>
    <w:p w14:paraId="03BA43C1" w14:textId="1B8AB803" w:rsidR="00135F32" w:rsidRPr="009D01FD" w:rsidRDefault="00135F32">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 xml:space="preserve">Nécessite de non-objections préalables, même pour des activités inscrites au PTBA. </w:t>
      </w:r>
      <w:r w:rsidRPr="009D01FD">
        <w:rPr>
          <w:sz w:val="22"/>
          <w:lang w:val="fr-FR"/>
        </w:rPr>
        <w:t xml:space="preserve"> Ce dernier n’est qu’un document prévisionnel de dépenses et non un ordre de paiement dont l’exécution est absolue ; il permet de planifier des activités potentielles et non certaines. </w:t>
      </w:r>
      <w:r w:rsidR="00DB2D4A" w:rsidRPr="009D01FD">
        <w:rPr>
          <w:sz w:val="22"/>
          <w:lang w:val="fr-FR"/>
        </w:rPr>
        <w:t>La</w:t>
      </w:r>
      <w:r w:rsidRPr="009D01FD">
        <w:rPr>
          <w:sz w:val="22"/>
          <w:lang w:val="fr-FR"/>
        </w:rPr>
        <w:t xml:space="preserve"> non-objection de la Banque, sur le PTBA, n’empêche pas la nécessité d’obtenir une non objection afin d’exécuter des activités spécifiques nécessitant l’élaboration préalable de TDR tel que des ateliers (locaux ou à l’étranger), toute mission/déplacement à l’étranger quel qu’en soit le motif (mission, formation), entres autres. Tel que convenu, la CFEF continuera d’encourager les bénéficiaires à fournir des PTBA trimestriels avec leur planning pour pouvoir fluidifier les procédures. Actuellement, la DPM est l’exemple en la matière pour le projet.</w:t>
      </w:r>
    </w:p>
    <w:p w14:paraId="1BC5E462" w14:textId="77777777" w:rsidR="00135F32" w:rsidRPr="009D01FD" w:rsidRDefault="00135F32" w:rsidP="00121B37">
      <w:pPr>
        <w:pStyle w:val="ListParagraph"/>
        <w:spacing w:after="0" w:line="240" w:lineRule="auto"/>
        <w:ind w:left="0"/>
        <w:jc w:val="both"/>
        <w:rPr>
          <w:sz w:val="22"/>
          <w:lang w:val="fr-FR"/>
        </w:rPr>
      </w:pPr>
    </w:p>
    <w:p w14:paraId="0C232101" w14:textId="74A5D130" w:rsidR="00135F32" w:rsidRPr="009D01FD" w:rsidRDefault="00135F32" w:rsidP="005166A0">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Audit interne.</w:t>
      </w:r>
      <w:r w:rsidRPr="009D01FD">
        <w:rPr>
          <w:sz w:val="22"/>
          <w:lang w:val="fr-FR"/>
        </w:rPr>
        <w:t xml:space="preserve"> </w:t>
      </w:r>
      <w:r w:rsidR="00993116" w:rsidRPr="009D01FD">
        <w:rPr>
          <w:sz w:val="22"/>
          <w:lang w:val="fr-FR"/>
        </w:rPr>
        <w:t>L’audit interne de la CFEF est assuré par un Auditeur Interne nouvellement recruté. Dès sa prise de fonction, ce dernier a mis en œuvre les diligences en rapport avec l’identification et évaluation des risques, et a produit une matrice des risques, un plan annuel d’audit interne, et la charte de l’auditeur interne. Ces trois documents ont été transmis</w:t>
      </w:r>
      <w:r w:rsidR="00BF0E5D" w:rsidRPr="009D01FD">
        <w:rPr>
          <w:sz w:val="22"/>
          <w:lang w:val="fr-FR"/>
        </w:rPr>
        <w:t xml:space="preserve"> </w:t>
      </w:r>
      <w:r w:rsidR="007C3CA3" w:rsidRPr="009D01FD">
        <w:rPr>
          <w:sz w:val="22"/>
          <w:lang w:val="fr-FR"/>
        </w:rPr>
        <w:t>le 31 juillet 2017</w:t>
      </w:r>
      <w:r w:rsidR="00993116" w:rsidRPr="009D01FD">
        <w:rPr>
          <w:sz w:val="22"/>
          <w:lang w:val="fr-FR"/>
        </w:rPr>
        <w:t xml:space="preserve">, pour appréciation, à l’IDA. Dans le cadre de l’exécution de son plan annuel d’audit, l’auditeur interne a diligenté quelques contrôles ponctuels basés sur les risques majeurs identifiés, et a procédé au suivi de la mise en œuvre des recommandations de contrôles antérieurs (supervision IDA, audits externes 2015 et 2016). Le rapport y afférent, assorti des recommandations pertinentes, est disponible, et le plan d’action proposé est en cours de mise en œuvre par l’équipe du projet. </w:t>
      </w:r>
    </w:p>
    <w:p w14:paraId="18571401" w14:textId="28E5D3EE" w:rsidR="007850B2" w:rsidRPr="009D01FD" w:rsidRDefault="007850B2" w:rsidP="007850B2">
      <w:pPr>
        <w:pStyle w:val="ListParagraph"/>
        <w:rPr>
          <w:sz w:val="22"/>
          <w:lang w:val="fr-FR"/>
        </w:rPr>
      </w:pPr>
    </w:p>
    <w:p w14:paraId="53B4A840" w14:textId="427418C8" w:rsidR="002867FC" w:rsidRPr="009D01FD" w:rsidRDefault="00135F32" w:rsidP="002867FC">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Contrôle interne.</w:t>
      </w:r>
      <w:r w:rsidRPr="009D01FD">
        <w:rPr>
          <w:sz w:val="22"/>
          <w:lang w:val="fr-FR"/>
        </w:rPr>
        <w:t xml:space="preserve"> </w:t>
      </w:r>
      <w:r w:rsidR="002867FC" w:rsidRPr="009D01FD">
        <w:rPr>
          <w:sz w:val="22"/>
          <w:lang w:val="fr-FR"/>
        </w:rPr>
        <w:t>Le manuel de procédures actualisé a été soumis à la non-objection de la Banque et les observations formulées par l’équipe FM de la Banque ont été transmises à la CFEF. Une première mouture a déjà été revue lors d’une séance de travail entre la Banque et le CFEF ; la version définitive amendée a été soumise à l’avis de non objection de la Banque, après prise en compte des derniers commentaires effectués d’accord parties. Le dernier rappel sur l’avis de non objection dudit manuel a eu lieu le 09 juillet 2017. Au-delà de sa rédaction, la revue exhorte le projet à mettre un accent sur son implémentation, ce qui fera l’objet d’une attention particulière à la prochaine supervision.</w:t>
      </w:r>
    </w:p>
    <w:p w14:paraId="7AE78087" w14:textId="77777777" w:rsidR="007850B2" w:rsidRPr="009D01FD" w:rsidRDefault="007850B2" w:rsidP="007850B2">
      <w:pPr>
        <w:pStyle w:val="ListParagraph"/>
        <w:widowControl w:val="0"/>
        <w:autoSpaceDE w:val="0"/>
        <w:autoSpaceDN w:val="0"/>
        <w:adjustRightInd w:val="0"/>
        <w:spacing w:after="0" w:line="240" w:lineRule="auto"/>
        <w:ind w:left="360"/>
        <w:jc w:val="both"/>
        <w:rPr>
          <w:sz w:val="22"/>
          <w:lang w:val="fr-FR"/>
        </w:rPr>
      </w:pPr>
    </w:p>
    <w:p w14:paraId="2D48A089" w14:textId="60B1A801"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Audit Externe</w:t>
      </w:r>
      <w:r w:rsidRPr="009D01FD">
        <w:rPr>
          <w:b/>
          <w:i/>
          <w:sz w:val="22"/>
          <w:lang w:val="fr-FR"/>
        </w:rPr>
        <w:t>.</w:t>
      </w:r>
      <w:r w:rsidRPr="009D01FD">
        <w:rPr>
          <w:sz w:val="22"/>
          <w:lang w:val="fr-FR"/>
        </w:rPr>
        <w:t xml:space="preserve"> Le rapport d’audit externe de l’exercice clos le 31 décembre 201</w:t>
      </w:r>
      <w:r w:rsidR="002867FC" w:rsidRPr="009D01FD">
        <w:rPr>
          <w:sz w:val="22"/>
          <w:lang w:val="fr-FR"/>
        </w:rPr>
        <w:t>6</w:t>
      </w:r>
      <w:r w:rsidRPr="009D01FD">
        <w:rPr>
          <w:sz w:val="22"/>
          <w:lang w:val="fr-FR"/>
        </w:rPr>
        <w:t xml:space="preserve"> a été transmis à la Banque dans les délais. L’auditeur externe a également soumis une lettre de recommandations sur le contrôle interne, mettant en évidence des insuffisances relevées, les risques y afférents et a formulé des recommandations pertinentes pour y remédier. </w:t>
      </w:r>
    </w:p>
    <w:p w14:paraId="56436788" w14:textId="77777777" w:rsidR="00135F32" w:rsidRPr="009D01FD" w:rsidRDefault="00135F32" w:rsidP="00121B37">
      <w:pPr>
        <w:pStyle w:val="ListParagraph"/>
        <w:spacing w:after="0" w:line="240" w:lineRule="auto"/>
        <w:jc w:val="both"/>
        <w:rPr>
          <w:sz w:val="22"/>
          <w:lang w:val="fr-FR"/>
        </w:rPr>
      </w:pPr>
    </w:p>
    <w:p w14:paraId="72E7BC59" w14:textId="35B60D32"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sz w:val="22"/>
          <w:lang w:val="fr-FR"/>
        </w:rPr>
        <w:t xml:space="preserve">La mission pense que la mise en œuvre totale des recommandations formulées par l’auditeur externe devrait permettre d’améliorer la gestion financière du Projet. La revue avait reçu une première mouture du plan de mise en œuvre de l’ensemble des recommandations commentées par le projet, sur laquelle elle avait effectué des commentaires supplémentaires. En conséquence, </w:t>
      </w:r>
      <w:r w:rsidRPr="009D01FD">
        <w:rPr>
          <w:sz w:val="22"/>
          <w:u w:val="single"/>
          <w:lang w:val="fr-FR"/>
        </w:rPr>
        <w:t>la mission recommande</w:t>
      </w:r>
      <w:r w:rsidRPr="009D01FD">
        <w:rPr>
          <w:sz w:val="22"/>
          <w:lang w:val="fr-FR"/>
        </w:rPr>
        <w:t xml:space="preserve"> de soumettre à la Banque, </w:t>
      </w:r>
      <w:r w:rsidRPr="009D01FD">
        <w:rPr>
          <w:sz w:val="22"/>
          <w:u w:val="single"/>
          <w:lang w:val="fr-FR"/>
        </w:rPr>
        <w:t xml:space="preserve">au plus tard le </w:t>
      </w:r>
      <w:r w:rsidR="00AC1751" w:rsidRPr="009D01FD">
        <w:rPr>
          <w:sz w:val="22"/>
          <w:u w:val="single"/>
          <w:lang w:val="fr-FR"/>
        </w:rPr>
        <w:t>15 novembre</w:t>
      </w:r>
      <w:r w:rsidRPr="009D01FD">
        <w:rPr>
          <w:sz w:val="22"/>
          <w:lang w:val="fr-FR"/>
        </w:rPr>
        <w:t xml:space="preserve">, le plan revu de mise en œuvre des recommandations, pour information. </w:t>
      </w:r>
    </w:p>
    <w:p w14:paraId="4ADC8AEE" w14:textId="77777777" w:rsidR="00135F32" w:rsidRPr="009D01FD" w:rsidRDefault="00135F32" w:rsidP="00121B37">
      <w:pPr>
        <w:widowControl w:val="0"/>
        <w:autoSpaceDE w:val="0"/>
        <w:autoSpaceDN w:val="0"/>
        <w:adjustRightInd w:val="0"/>
        <w:spacing w:after="0" w:line="240" w:lineRule="auto"/>
        <w:jc w:val="both"/>
        <w:rPr>
          <w:sz w:val="22"/>
          <w:lang w:val="fr-FR"/>
        </w:rPr>
      </w:pPr>
    </w:p>
    <w:p w14:paraId="09CAB956" w14:textId="59E81646" w:rsidR="00135F32" w:rsidRPr="009D01FD" w:rsidRDefault="00135F32" w:rsidP="00121B37">
      <w:pPr>
        <w:pStyle w:val="ListParagraph"/>
        <w:widowControl w:val="0"/>
        <w:numPr>
          <w:ilvl w:val="0"/>
          <w:numId w:val="1"/>
        </w:numPr>
        <w:autoSpaceDE w:val="0"/>
        <w:autoSpaceDN w:val="0"/>
        <w:adjustRightInd w:val="0"/>
        <w:spacing w:after="0" w:line="240" w:lineRule="auto"/>
        <w:jc w:val="both"/>
        <w:rPr>
          <w:sz w:val="22"/>
          <w:lang w:val="fr-FR"/>
        </w:rPr>
      </w:pPr>
      <w:r w:rsidRPr="009D01FD">
        <w:rPr>
          <w:b/>
          <w:sz w:val="22"/>
          <w:lang w:val="fr-FR"/>
        </w:rPr>
        <w:t xml:space="preserve">Recommandations. </w:t>
      </w:r>
      <w:r w:rsidRPr="009D01FD">
        <w:rPr>
          <w:sz w:val="22"/>
          <w:lang w:val="fr-FR"/>
        </w:rPr>
        <w:t xml:space="preserve">Au vu de la situation constatée, la mission recommande que la CFEF définisse des délais de traitement de dossiers et qu’un suivi hebdomadaire soit fait sur le respect de ces délais avec des interventions par les responsables de différentes équipes. La mission s’était d’ailleurs convenue avec la CFEF de l’envoi d’informations sur des dossiers de passation des marchés, mais ne les a pas eues. Lors de la mission, deux dossiers ont </w:t>
      </w:r>
      <w:r w:rsidR="00165772" w:rsidRPr="009D01FD">
        <w:rPr>
          <w:sz w:val="22"/>
          <w:lang w:val="fr-FR"/>
        </w:rPr>
        <w:t>été</w:t>
      </w:r>
      <w:r w:rsidRPr="009D01FD">
        <w:rPr>
          <w:sz w:val="22"/>
          <w:lang w:val="fr-FR"/>
        </w:rPr>
        <w:t xml:space="preserve"> identifiés pour le suivi des questions financières ; cette information pourrait servir pour tester la constitution d’un cahier de suivi administratif en interne et avec les intervenants.</w:t>
      </w:r>
      <w:r w:rsidR="00DA5BA6" w:rsidRPr="009D01FD">
        <w:rPr>
          <w:sz w:val="22"/>
          <w:lang w:val="fr-FR"/>
        </w:rPr>
        <w:t xml:space="preserve"> La CFEF devra aussi transmettre trimestriellement les informations sur l’état financier du projet aux bénéficiaires.</w:t>
      </w:r>
    </w:p>
    <w:p w14:paraId="4134C8CC" w14:textId="77777777" w:rsidR="00135F32" w:rsidRPr="009D01FD" w:rsidRDefault="00135F32" w:rsidP="00121B37">
      <w:pPr>
        <w:pStyle w:val="ListParagraph"/>
        <w:widowControl w:val="0"/>
        <w:autoSpaceDE w:val="0"/>
        <w:autoSpaceDN w:val="0"/>
        <w:adjustRightInd w:val="0"/>
        <w:spacing w:after="0" w:line="240" w:lineRule="auto"/>
        <w:ind w:left="360"/>
        <w:jc w:val="both"/>
        <w:rPr>
          <w:sz w:val="22"/>
          <w:lang w:val="fr-FR"/>
        </w:rPr>
      </w:pPr>
    </w:p>
    <w:p w14:paraId="21080890" w14:textId="4733550F" w:rsidR="00135F32" w:rsidRPr="009D01FD" w:rsidRDefault="00135F32" w:rsidP="00121B37">
      <w:pPr>
        <w:numPr>
          <w:ilvl w:val="0"/>
          <w:numId w:val="1"/>
        </w:numPr>
        <w:spacing w:after="0" w:line="240" w:lineRule="auto"/>
        <w:jc w:val="both"/>
        <w:rPr>
          <w:sz w:val="22"/>
          <w:lang w:val="fr-FR"/>
        </w:rPr>
      </w:pPr>
      <w:r w:rsidRPr="009D01FD">
        <w:rPr>
          <w:b/>
          <w:sz w:val="22"/>
          <w:lang w:val="fr-FR"/>
        </w:rPr>
        <w:t>Plan de passation des marchés</w:t>
      </w:r>
      <w:r w:rsidRPr="009D01FD">
        <w:rPr>
          <w:sz w:val="22"/>
          <w:lang w:val="fr-FR"/>
        </w:rPr>
        <w:t xml:space="preserve"> : </w:t>
      </w:r>
      <w:r w:rsidR="00C47116" w:rsidRPr="009D01FD">
        <w:rPr>
          <w:sz w:val="22"/>
          <w:lang w:val="fr-FR"/>
        </w:rPr>
        <w:t>l’IDA n’a pas reçu de nouveau plan de passation des marchés depuis l</w:t>
      </w:r>
      <w:r w:rsidR="007C3CA3" w:rsidRPr="009D01FD">
        <w:rPr>
          <w:sz w:val="22"/>
          <w:lang w:val="fr-FR"/>
        </w:rPr>
        <w:t>e</w:t>
      </w:r>
      <w:r w:rsidR="00C47116" w:rsidRPr="009D01FD">
        <w:rPr>
          <w:sz w:val="22"/>
          <w:lang w:val="fr-FR"/>
        </w:rPr>
        <w:t xml:space="preserve"> </w:t>
      </w:r>
      <w:r w:rsidR="007C3CA3" w:rsidRPr="009D01FD">
        <w:rPr>
          <w:sz w:val="22"/>
          <w:lang w:val="fr-FR"/>
        </w:rPr>
        <w:t>24 janvier</w:t>
      </w:r>
      <w:r w:rsidR="00C47116" w:rsidRPr="009D01FD">
        <w:rPr>
          <w:sz w:val="22"/>
          <w:lang w:val="fr-FR"/>
        </w:rPr>
        <w:t xml:space="preserve"> 201</w:t>
      </w:r>
      <w:r w:rsidR="007C3CA3" w:rsidRPr="009D01FD">
        <w:rPr>
          <w:sz w:val="22"/>
          <w:lang w:val="fr-FR"/>
        </w:rPr>
        <w:t>7</w:t>
      </w:r>
      <w:r w:rsidR="00C47116" w:rsidRPr="009D01FD">
        <w:rPr>
          <w:sz w:val="22"/>
          <w:lang w:val="fr-FR"/>
        </w:rPr>
        <w:t>.</w:t>
      </w:r>
      <w:r w:rsidR="00C47116" w:rsidRPr="009D01FD" w:rsidDel="00C47116">
        <w:rPr>
          <w:sz w:val="22"/>
          <w:lang w:val="fr-FR"/>
        </w:rPr>
        <w:t xml:space="preserve"> </w:t>
      </w:r>
    </w:p>
    <w:p w14:paraId="4C3D369B" w14:textId="77777777" w:rsidR="00135F32" w:rsidRPr="009D01FD" w:rsidRDefault="00135F32" w:rsidP="00121B37">
      <w:pPr>
        <w:pStyle w:val="ListParagraph"/>
        <w:spacing w:after="0" w:line="240" w:lineRule="auto"/>
        <w:ind w:left="360"/>
        <w:jc w:val="both"/>
        <w:rPr>
          <w:sz w:val="22"/>
          <w:lang w:val="fr-FR"/>
        </w:rPr>
      </w:pPr>
    </w:p>
    <w:p w14:paraId="6364BE49" w14:textId="2A3BC80A" w:rsidR="00135F32" w:rsidRPr="009D01FD" w:rsidRDefault="00135F32" w:rsidP="00121B37">
      <w:pPr>
        <w:pStyle w:val="ListParagraph"/>
        <w:numPr>
          <w:ilvl w:val="0"/>
          <w:numId w:val="1"/>
        </w:numPr>
        <w:spacing w:after="0" w:line="240" w:lineRule="auto"/>
        <w:jc w:val="both"/>
        <w:rPr>
          <w:sz w:val="22"/>
          <w:lang w:val="fr-FR"/>
        </w:rPr>
      </w:pPr>
      <w:r w:rsidRPr="009D01FD">
        <w:rPr>
          <w:b/>
          <w:sz w:val="22"/>
          <w:lang w:val="fr-FR"/>
        </w:rPr>
        <w:t>Passage vers le STEP</w:t>
      </w:r>
      <w:r w:rsidRPr="009D01FD">
        <w:rPr>
          <w:sz w:val="22"/>
          <w:lang w:val="fr-FR"/>
        </w:rPr>
        <w:t xml:space="preserve"> : initialement prévu pour septembre, de problèmes techniques font que le système n’a pas encore intégré des nouveaux projets. Les dernières informations font état d’une intégration dans le mois de décembre </w:t>
      </w:r>
      <w:r w:rsidR="00C47116" w:rsidRPr="009D01FD">
        <w:rPr>
          <w:sz w:val="22"/>
          <w:lang w:val="fr-FR"/>
        </w:rPr>
        <w:t>2017</w:t>
      </w:r>
      <w:r w:rsidRPr="009D01FD">
        <w:rPr>
          <w:sz w:val="22"/>
          <w:lang w:val="fr-FR"/>
        </w:rPr>
        <w:t>.</w:t>
      </w:r>
    </w:p>
    <w:p w14:paraId="2AE4D887" w14:textId="77777777" w:rsidR="00135F32" w:rsidRPr="009D01FD" w:rsidRDefault="00135F32" w:rsidP="00121B37">
      <w:pPr>
        <w:spacing w:after="0" w:line="240" w:lineRule="auto"/>
        <w:ind w:left="360"/>
        <w:jc w:val="both"/>
        <w:rPr>
          <w:sz w:val="22"/>
          <w:lang w:val="fr-FR"/>
        </w:rPr>
      </w:pPr>
    </w:p>
    <w:p w14:paraId="6F416C86" w14:textId="218EE1BD" w:rsidR="00057E97" w:rsidRDefault="00135F32" w:rsidP="00121B37">
      <w:pPr>
        <w:numPr>
          <w:ilvl w:val="0"/>
          <w:numId w:val="1"/>
        </w:numPr>
        <w:spacing w:after="0" w:line="240" w:lineRule="auto"/>
        <w:jc w:val="both"/>
        <w:rPr>
          <w:sz w:val="22"/>
          <w:lang w:val="fr-FR"/>
        </w:rPr>
      </w:pPr>
      <w:r w:rsidRPr="00057E97">
        <w:rPr>
          <w:b/>
          <w:sz w:val="22"/>
          <w:lang w:val="fr-FR"/>
        </w:rPr>
        <w:t>Suivi-évaluation </w:t>
      </w:r>
      <w:r w:rsidRPr="00057E97">
        <w:rPr>
          <w:sz w:val="22"/>
          <w:lang w:val="fr-FR"/>
        </w:rPr>
        <w:t xml:space="preserve">: </w:t>
      </w:r>
      <w:r w:rsidR="00057E97">
        <w:rPr>
          <w:sz w:val="22"/>
          <w:lang w:val="fr-FR"/>
        </w:rPr>
        <w:t>la mission note les efforts de la CFEF pour affiner le suivi des progrès du projet, mais les travaux sont incomplets et appellent à plus d’efforts tant dans la présentation que dans le contenu. La présentation devrait permettre de voir les indicateurs qui sont dans le cadre de résultat ainsi que les indicateurs qui précisent les choses. Par exemple, un indicateur comme celui sur la disponibilité des rapports des sous-divisions de l’éducation devrait non seulement avoir un sous-indicateur sur la disponibilité des rapports et un autre sur ce qui est en ligne, mais l’indicateur tel que prévu dans le cadre de résultats avec ces deux autres comme sous-éléments. Ceci permettrait au lecteur non-avisé de comprendre ce qui est en question et puis de voir les détails. Dans cette logique, il y aurait « 1 » et puis « 1a » et « 1b ». En ce qui concerne le fond, la mission réitère le besoin d’un suivi trimestriel des indicateurs avec la fourniture des informations par les bénéficiaires ainsi que la mise à jour du cadre de résultats et de l’analyse des progrès. La mission a pu constater des lacunes dans la mise à jour et invite la CFEF à faire diligence pour que ceci ne se reproduise pa</w:t>
      </w:r>
      <w:r w:rsidR="00057E97" w:rsidRPr="00057E97">
        <w:rPr>
          <w:sz w:val="22"/>
          <w:lang w:val="fr-FR"/>
        </w:rPr>
        <w:t>s. Il est impératif que le cadre de suivi-évaluation soit à jour tant sur les données que les indicateurs suite aux différentes restructurations ou financements additionnels.</w:t>
      </w:r>
    </w:p>
    <w:p w14:paraId="25EF2731" w14:textId="77777777" w:rsidR="00135F32" w:rsidRPr="009D01FD" w:rsidRDefault="00135F32" w:rsidP="00121B37">
      <w:pPr>
        <w:spacing w:after="0" w:line="240" w:lineRule="auto"/>
        <w:jc w:val="both"/>
        <w:rPr>
          <w:sz w:val="22"/>
          <w:lang w:val="fr-FR"/>
        </w:rPr>
      </w:pPr>
    </w:p>
    <w:p w14:paraId="62BF537F" w14:textId="6330EBA7" w:rsidR="00135F32" w:rsidRPr="009D01FD" w:rsidRDefault="00135F32" w:rsidP="00121B37">
      <w:pPr>
        <w:numPr>
          <w:ilvl w:val="0"/>
          <w:numId w:val="1"/>
        </w:numPr>
        <w:spacing w:after="0" w:line="240" w:lineRule="auto"/>
        <w:jc w:val="both"/>
        <w:rPr>
          <w:sz w:val="22"/>
          <w:lang w:val="fr-FR"/>
        </w:rPr>
      </w:pPr>
      <w:r w:rsidRPr="009D01FD">
        <w:rPr>
          <w:b/>
          <w:sz w:val="22"/>
          <w:lang w:val="fr-FR"/>
        </w:rPr>
        <w:t>Communication </w:t>
      </w:r>
      <w:r w:rsidRPr="009D01FD">
        <w:rPr>
          <w:sz w:val="22"/>
          <w:lang w:val="fr-FR"/>
        </w:rPr>
        <w:t xml:space="preserve">: </w:t>
      </w:r>
      <w:r w:rsidR="00165772" w:rsidRPr="009D01FD">
        <w:rPr>
          <w:sz w:val="22"/>
          <w:lang w:val="fr-FR"/>
        </w:rPr>
        <w:t xml:space="preserve">chaque bénéficiaire a été invité à proposer des éléments de communication avant la fin du mois de septembre. La CFEF utilisera ces informations pour organiser des communications, par exemple un atelier au Ministère de la Santé pour partager les avancées de la DPM et de la FEDECAME. </w:t>
      </w:r>
    </w:p>
    <w:p w14:paraId="60F32107" w14:textId="77777777" w:rsidR="00135F32" w:rsidRPr="009D01FD" w:rsidRDefault="00135F32" w:rsidP="00121B37">
      <w:pPr>
        <w:pStyle w:val="ListParagraph"/>
        <w:spacing w:after="0" w:line="240" w:lineRule="auto"/>
        <w:rPr>
          <w:sz w:val="22"/>
          <w:lang w:val="fr-FR"/>
        </w:rPr>
      </w:pPr>
    </w:p>
    <w:p w14:paraId="00797AAC" w14:textId="5A42C63B" w:rsidR="00FD724E" w:rsidRPr="009D01FD" w:rsidRDefault="00135F32" w:rsidP="009E2F97">
      <w:pPr>
        <w:pStyle w:val="ListParagraph"/>
        <w:numPr>
          <w:ilvl w:val="0"/>
          <w:numId w:val="1"/>
        </w:numPr>
        <w:spacing w:after="0" w:line="240" w:lineRule="auto"/>
        <w:rPr>
          <w:lang w:val="fr-FR"/>
        </w:rPr>
      </w:pPr>
      <w:r w:rsidRPr="009D01FD">
        <w:rPr>
          <w:b/>
          <w:bCs/>
          <w:sz w:val="22"/>
          <w:lang w:val="fr-FR"/>
        </w:rPr>
        <w:t xml:space="preserve">Politiques de sauvegardes : </w:t>
      </w:r>
      <w:r w:rsidRPr="009D01FD">
        <w:rPr>
          <w:bCs/>
          <w:sz w:val="22"/>
          <w:lang w:val="fr-FR"/>
        </w:rPr>
        <w:t>étant catégorie « C », le projet ne devrait pas déclencher de politiques de sauvegardes</w:t>
      </w:r>
      <w:r w:rsidRPr="009D01FD">
        <w:rPr>
          <w:sz w:val="22"/>
          <w:lang w:val="fr-FR"/>
        </w:rPr>
        <w:t>. Cependant, dans l’exécution des sous projets, il est recommandé d’effectuer au préalable une évaluation succincte environnementale et sociale par le remplissage de formulaire de screening. C’est ainsi que lors des deux petits travaux qui ont été financés à savoir : l’installation d’un groupe pour l’EPS-INC et la réfection du bureau de l’assistant technique à la DPM, le screening environnemental et social était élaboré les deux fois. Ces deux sous projets ont été exécutés à la confirmation que les terrains et les locaux concernés appartenaient à l’Etat d’une part, et d’autre part, à la prise en compte des mesures d’atténuation en rapport avec les impacts mineurs des activités de ces deux sous projets à la suite de screening environnemental et social effectué. Ces mesures d’atténuation ont été introduites dans les cahiers de charge des entreprises qui ont exécuté ces deux sous projets.</w:t>
      </w:r>
    </w:p>
    <w:p w14:paraId="5A5874B8" w14:textId="77777777" w:rsidR="008156D4" w:rsidRPr="009D01FD" w:rsidRDefault="008156D4" w:rsidP="00121B37">
      <w:pPr>
        <w:spacing w:after="0" w:line="240" w:lineRule="auto"/>
        <w:jc w:val="both"/>
        <w:rPr>
          <w:sz w:val="22"/>
          <w:lang w:val="fr-FR"/>
        </w:rPr>
      </w:pPr>
    </w:p>
    <w:p w14:paraId="281A3058" w14:textId="02D6827A" w:rsidR="00E949DB" w:rsidRPr="009D01FD" w:rsidRDefault="007B4D22" w:rsidP="00121B37">
      <w:pPr>
        <w:spacing w:after="0" w:line="240" w:lineRule="auto"/>
        <w:outlineLvl w:val="0"/>
        <w:rPr>
          <w:sz w:val="22"/>
          <w:lang w:val="fr-FR"/>
        </w:rPr>
      </w:pPr>
      <w:r w:rsidRPr="009D01FD">
        <w:rPr>
          <w:b/>
          <w:sz w:val="22"/>
          <w:lang w:val="fr-FR"/>
        </w:rPr>
        <w:t>IV</w:t>
      </w:r>
      <w:r w:rsidR="00E05231" w:rsidRPr="009D01FD">
        <w:rPr>
          <w:b/>
          <w:sz w:val="22"/>
          <w:lang w:val="fr-FR"/>
        </w:rPr>
        <w:t xml:space="preserve">. </w:t>
      </w:r>
      <w:r w:rsidR="00E949DB" w:rsidRPr="009D01FD">
        <w:rPr>
          <w:b/>
          <w:sz w:val="22"/>
          <w:lang w:val="fr-FR"/>
        </w:rPr>
        <w:t>Conclusions et recommandations</w:t>
      </w:r>
    </w:p>
    <w:p w14:paraId="0FBD67AE" w14:textId="77777777" w:rsidR="00E949DB" w:rsidRPr="009D01FD" w:rsidRDefault="00E949DB" w:rsidP="00121B37">
      <w:pPr>
        <w:autoSpaceDE w:val="0"/>
        <w:autoSpaceDN w:val="0"/>
        <w:adjustRightInd w:val="0"/>
        <w:spacing w:after="0" w:line="240" w:lineRule="auto"/>
        <w:jc w:val="both"/>
        <w:rPr>
          <w:sz w:val="22"/>
          <w:lang w:val="fr-FR"/>
        </w:rPr>
      </w:pPr>
    </w:p>
    <w:p w14:paraId="6CD07B0A" w14:textId="7388A157" w:rsidR="007850B2" w:rsidRPr="009D01FD" w:rsidRDefault="007850B2" w:rsidP="00121B37">
      <w:pPr>
        <w:pStyle w:val="ListParagraph"/>
        <w:numPr>
          <w:ilvl w:val="0"/>
          <w:numId w:val="1"/>
        </w:numPr>
        <w:autoSpaceDE w:val="0"/>
        <w:autoSpaceDN w:val="0"/>
        <w:adjustRightInd w:val="0"/>
        <w:spacing w:after="0" w:line="240" w:lineRule="auto"/>
        <w:rPr>
          <w:sz w:val="22"/>
          <w:lang w:val="fr-FR"/>
        </w:rPr>
      </w:pPr>
      <w:r w:rsidRPr="009D01FD">
        <w:rPr>
          <w:sz w:val="22"/>
          <w:lang w:val="fr-FR"/>
        </w:rPr>
        <w:t xml:space="preserve">L’atteinte des objectifs de développement du projet reste </w:t>
      </w:r>
      <w:r w:rsidRPr="009D01FD">
        <w:rPr>
          <w:sz w:val="22"/>
          <w:u w:val="single"/>
          <w:lang w:val="fr-FR"/>
        </w:rPr>
        <w:t>modérément insatisfaisant</w:t>
      </w:r>
      <w:r w:rsidR="0097470D" w:rsidRPr="009D01FD">
        <w:rPr>
          <w:sz w:val="22"/>
          <w:u w:val="single"/>
          <w:lang w:val="fr-FR"/>
        </w:rPr>
        <w:t>e</w:t>
      </w:r>
      <w:r w:rsidRPr="009D01FD">
        <w:rPr>
          <w:sz w:val="22"/>
          <w:u w:val="single"/>
          <w:lang w:val="fr-FR"/>
        </w:rPr>
        <w:t>, les indicateurs de résultats n’évoluent pas</w:t>
      </w:r>
      <w:r w:rsidR="0097470D" w:rsidRPr="009D01FD">
        <w:rPr>
          <w:sz w:val="22"/>
          <w:u w:val="single"/>
          <w:lang w:val="fr-FR"/>
        </w:rPr>
        <w:t xml:space="preserve"> assez bien</w:t>
      </w:r>
      <w:r w:rsidRPr="009D01FD">
        <w:rPr>
          <w:sz w:val="22"/>
          <w:u w:val="single"/>
          <w:lang w:val="fr-FR"/>
        </w:rPr>
        <w:t>.</w:t>
      </w:r>
      <w:r w:rsidR="0097470D" w:rsidRPr="009D01FD">
        <w:rPr>
          <w:sz w:val="22"/>
          <w:lang w:val="fr-FR"/>
        </w:rPr>
        <w:t xml:space="preserve"> Si l’indicateur du SNIS pourrait avancer, les informations ne sont pas mises en ligne sur le site web du Ministère de la Santé et donc l’indicateur n’avance pas. La mission anticipe que la revue à mi-parcours donnera lieu à une restructuration du projet en profitant de l’évaluation par les parties de l’état des défis et opportunités. </w:t>
      </w:r>
    </w:p>
    <w:p w14:paraId="0483C66F" w14:textId="77777777" w:rsidR="007850B2" w:rsidRPr="009D01FD" w:rsidRDefault="007850B2" w:rsidP="007850B2">
      <w:pPr>
        <w:pStyle w:val="ListParagraph"/>
        <w:autoSpaceDE w:val="0"/>
        <w:autoSpaceDN w:val="0"/>
        <w:adjustRightInd w:val="0"/>
        <w:spacing w:after="0" w:line="240" w:lineRule="auto"/>
        <w:ind w:left="360"/>
        <w:rPr>
          <w:sz w:val="22"/>
          <w:lang w:val="fr-FR"/>
        </w:rPr>
      </w:pPr>
    </w:p>
    <w:p w14:paraId="55D22D35" w14:textId="51153881" w:rsidR="002A434C" w:rsidRPr="009D01FD" w:rsidRDefault="0097470D" w:rsidP="00121B37">
      <w:pPr>
        <w:pStyle w:val="ListParagraph"/>
        <w:numPr>
          <w:ilvl w:val="0"/>
          <w:numId w:val="1"/>
        </w:numPr>
        <w:autoSpaceDE w:val="0"/>
        <w:autoSpaceDN w:val="0"/>
        <w:adjustRightInd w:val="0"/>
        <w:spacing w:after="0" w:line="240" w:lineRule="auto"/>
        <w:rPr>
          <w:sz w:val="22"/>
          <w:lang w:val="fr-FR"/>
        </w:rPr>
      </w:pPr>
      <w:r w:rsidRPr="009D01FD">
        <w:rPr>
          <w:sz w:val="22"/>
          <w:lang w:val="fr-FR"/>
        </w:rPr>
        <w:t>L</w:t>
      </w:r>
      <w:r w:rsidR="007850B2" w:rsidRPr="009D01FD">
        <w:rPr>
          <w:sz w:val="22"/>
          <w:lang w:val="fr-FR"/>
        </w:rPr>
        <w:t xml:space="preserve">’atteinte des objectifs de </w:t>
      </w:r>
      <w:r w:rsidR="002A434C" w:rsidRPr="009D01FD">
        <w:rPr>
          <w:sz w:val="22"/>
          <w:lang w:val="fr-FR"/>
        </w:rPr>
        <w:t xml:space="preserve">du projet </w:t>
      </w:r>
      <w:r w:rsidR="007850B2" w:rsidRPr="009D01FD">
        <w:rPr>
          <w:sz w:val="22"/>
          <w:lang w:val="fr-FR"/>
        </w:rPr>
        <w:t>reste</w:t>
      </w:r>
      <w:r w:rsidR="002A434C" w:rsidRPr="009D01FD">
        <w:rPr>
          <w:sz w:val="22"/>
          <w:lang w:val="fr-FR"/>
        </w:rPr>
        <w:t xml:space="preserve"> </w:t>
      </w:r>
      <w:r w:rsidR="002A434C" w:rsidRPr="009D01FD">
        <w:rPr>
          <w:sz w:val="22"/>
          <w:u w:val="single"/>
          <w:lang w:val="fr-FR"/>
        </w:rPr>
        <w:t xml:space="preserve">modérément </w:t>
      </w:r>
      <w:r w:rsidR="00F15FB5" w:rsidRPr="009D01FD">
        <w:rPr>
          <w:sz w:val="22"/>
          <w:u w:val="single"/>
          <w:lang w:val="fr-FR"/>
        </w:rPr>
        <w:t>insatisfaisante, car les indicateurs de résultats n’évoluent pas et deux composantes sont maintenant insatisfaisantes.</w:t>
      </w:r>
      <w:r w:rsidRPr="009D01FD">
        <w:rPr>
          <w:sz w:val="22"/>
          <w:lang w:val="fr-FR"/>
        </w:rPr>
        <w:t xml:space="preserve"> </w:t>
      </w:r>
      <w:r w:rsidR="00F15FB5" w:rsidRPr="009D01FD">
        <w:rPr>
          <w:sz w:val="22"/>
          <w:lang w:val="fr-FR"/>
        </w:rPr>
        <w:t>L</w:t>
      </w:r>
      <w:r w:rsidR="00B35FE8" w:rsidRPr="009D01FD">
        <w:rPr>
          <w:sz w:val="22"/>
          <w:lang w:val="fr-FR"/>
        </w:rPr>
        <w:t xml:space="preserve">a composante 3 est modérément </w:t>
      </w:r>
      <w:r w:rsidR="001C754B" w:rsidRPr="009D01FD">
        <w:rPr>
          <w:sz w:val="22"/>
          <w:lang w:val="fr-FR"/>
        </w:rPr>
        <w:t>in</w:t>
      </w:r>
      <w:r w:rsidR="00B35FE8" w:rsidRPr="009D01FD">
        <w:rPr>
          <w:sz w:val="22"/>
          <w:lang w:val="fr-FR"/>
        </w:rPr>
        <w:t>satisfaisante,</w:t>
      </w:r>
      <w:r w:rsidR="002A434C" w:rsidRPr="009D01FD">
        <w:rPr>
          <w:sz w:val="22"/>
          <w:lang w:val="fr-FR"/>
        </w:rPr>
        <w:t xml:space="preserve"> </w:t>
      </w:r>
      <w:r w:rsidR="001C754B" w:rsidRPr="009D01FD">
        <w:rPr>
          <w:sz w:val="22"/>
          <w:lang w:val="fr-FR"/>
        </w:rPr>
        <w:t xml:space="preserve">deux </w:t>
      </w:r>
      <w:r w:rsidR="002A434C" w:rsidRPr="009D01FD">
        <w:rPr>
          <w:sz w:val="22"/>
          <w:lang w:val="fr-FR"/>
        </w:rPr>
        <w:t>sous-composantes sont insatisfaisantes</w:t>
      </w:r>
      <w:r w:rsidR="00B35FE8" w:rsidRPr="009D01FD">
        <w:rPr>
          <w:sz w:val="22"/>
          <w:lang w:val="fr-FR"/>
        </w:rPr>
        <w:t xml:space="preserve"> (1a et 2c)</w:t>
      </w:r>
      <w:r w:rsidR="00165772" w:rsidRPr="009D01FD">
        <w:rPr>
          <w:sz w:val="22"/>
          <w:lang w:val="fr-FR"/>
        </w:rPr>
        <w:t xml:space="preserve">, </w:t>
      </w:r>
      <w:r w:rsidR="003618EE" w:rsidRPr="009D01FD">
        <w:rPr>
          <w:sz w:val="22"/>
          <w:lang w:val="fr-FR"/>
        </w:rPr>
        <w:t>quatre sous-composantes sont modérément satisfaisantes</w:t>
      </w:r>
      <w:r w:rsidR="00B35FE8" w:rsidRPr="009D01FD">
        <w:rPr>
          <w:sz w:val="22"/>
          <w:lang w:val="fr-FR"/>
        </w:rPr>
        <w:t xml:space="preserve"> (1b, 1c, 2a, 2b)</w:t>
      </w:r>
      <w:r w:rsidR="003618EE" w:rsidRPr="009D01FD">
        <w:rPr>
          <w:sz w:val="22"/>
          <w:lang w:val="fr-FR"/>
        </w:rPr>
        <w:t xml:space="preserve">, la sous-composante 1d </w:t>
      </w:r>
      <w:r w:rsidR="00EC2ED4" w:rsidRPr="009D01FD">
        <w:rPr>
          <w:sz w:val="22"/>
          <w:lang w:val="fr-FR"/>
        </w:rPr>
        <w:t>est satisfaisante</w:t>
      </w:r>
      <w:r w:rsidR="00B35FE8" w:rsidRPr="009D01FD">
        <w:rPr>
          <w:sz w:val="22"/>
          <w:lang w:val="fr-FR"/>
        </w:rPr>
        <w:t>.</w:t>
      </w:r>
      <w:r w:rsidR="003618EE" w:rsidRPr="009D01FD">
        <w:rPr>
          <w:sz w:val="22"/>
          <w:lang w:val="fr-FR"/>
        </w:rPr>
        <w:t xml:space="preserve"> </w:t>
      </w:r>
      <w:r w:rsidR="00165772" w:rsidRPr="009D01FD">
        <w:rPr>
          <w:sz w:val="22"/>
          <w:lang w:val="fr-FR"/>
        </w:rPr>
        <w:t xml:space="preserve">Une mission </w:t>
      </w:r>
      <w:r w:rsidR="000E44E3" w:rsidRPr="009D01FD">
        <w:rPr>
          <w:sz w:val="22"/>
          <w:lang w:val="fr-FR"/>
        </w:rPr>
        <w:t xml:space="preserve">sera organisée avant la fin de l’année calendaire en personne ou virtuellement </w:t>
      </w:r>
      <w:r w:rsidR="00165772" w:rsidRPr="009D01FD">
        <w:rPr>
          <w:sz w:val="22"/>
          <w:lang w:val="fr-FR"/>
        </w:rPr>
        <w:t>pour examiner les avancés et soutenir certaines activités en ayant besoin.</w:t>
      </w:r>
    </w:p>
    <w:p w14:paraId="3E546EBF" w14:textId="43620B3F" w:rsidR="00E71E59" w:rsidRPr="009D01FD" w:rsidRDefault="00E71E59" w:rsidP="00121B37">
      <w:pPr>
        <w:keepNext/>
        <w:keepLines/>
        <w:autoSpaceDE w:val="0"/>
        <w:autoSpaceDN w:val="0"/>
        <w:adjustRightInd w:val="0"/>
        <w:spacing w:after="0" w:line="240" w:lineRule="auto"/>
        <w:jc w:val="both"/>
        <w:rPr>
          <w:sz w:val="22"/>
          <w:lang w:val="fr-FR"/>
        </w:rPr>
      </w:pPr>
    </w:p>
    <w:p w14:paraId="48297C90" w14:textId="77777777" w:rsidR="00E949DB" w:rsidRPr="009D01FD" w:rsidRDefault="00E949DB" w:rsidP="00121B37">
      <w:pPr>
        <w:keepNext/>
        <w:keepLines/>
        <w:autoSpaceDE w:val="0"/>
        <w:autoSpaceDN w:val="0"/>
        <w:adjustRightInd w:val="0"/>
        <w:spacing w:after="0" w:line="240" w:lineRule="auto"/>
        <w:jc w:val="both"/>
        <w:outlineLvl w:val="0"/>
        <w:rPr>
          <w:b/>
          <w:sz w:val="22"/>
          <w:lang w:val="fr-FR"/>
        </w:rPr>
      </w:pPr>
      <w:r w:rsidRPr="009D01FD">
        <w:rPr>
          <w:b/>
          <w:sz w:val="22"/>
          <w:lang w:val="fr-FR"/>
        </w:rPr>
        <w:t>V. Prochaines étapes</w:t>
      </w:r>
    </w:p>
    <w:p w14:paraId="5C656AE9" w14:textId="77777777" w:rsidR="000418DD" w:rsidRPr="009D01FD" w:rsidRDefault="000418DD" w:rsidP="00121B37">
      <w:pPr>
        <w:pStyle w:val="ListParagraph"/>
        <w:keepNext/>
        <w:keepLines/>
        <w:autoSpaceDE w:val="0"/>
        <w:autoSpaceDN w:val="0"/>
        <w:adjustRightInd w:val="0"/>
        <w:spacing w:after="0" w:line="240" w:lineRule="auto"/>
        <w:ind w:left="360"/>
        <w:jc w:val="both"/>
        <w:rPr>
          <w:sz w:val="22"/>
          <w:lang w:val="fr-FR"/>
        </w:rPr>
      </w:pPr>
    </w:p>
    <w:p w14:paraId="37BDA332" w14:textId="10C3E6AD" w:rsidR="00BA4544" w:rsidRPr="009D01FD" w:rsidRDefault="007910A7" w:rsidP="00121B37">
      <w:pPr>
        <w:pStyle w:val="ListParagraph"/>
        <w:keepNext/>
        <w:keepLines/>
        <w:numPr>
          <w:ilvl w:val="0"/>
          <w:numId w:val="1"/>
        </w:numPr>
        <w:autoSpaceDE w:val="0"/>
        <w:autoSpaceDN w:val="0"/>
        <w:adjustRightInd w:val="0"/>
        <w:spacing w:after="0" w:line="240" w:lineRule="auto"/>
        <w:jc w:val="both"/>
        <w:rPr>
          <w:sz w:val="22"/>
          <w:lang w:val="fr-FR"/>
        </w:rPr>
      </w:pPr>
      <w:r w:rsidRPr="009D01FD">
        <w:rPr>
          <w:sz w:val="22"/>
          <w:lang w:val="fr-FR"/>
        </w:rPr>
        <w:t xml:space="preserve">La </w:t>
      </w:r>
      <w:r w:rsidR="00165772" w:rsidRPr="009D01FD">
        <w:rPr>
          <w:sz w:val="22"/>
          <w:lang w:val="fr-FR"/>
        </w:rPr>
        <w:t>mission d’évaluation à mi-parcours est prévue pour la deuxième quinzaine du mois de janvier 2018. La mission rappelle que le gouvernement doit préparer sa contribution pour la mission et propose que ceci soit fait avant le 15 novembre pour alimenter les discussions. Cette mission débouchera sur une restructuration du projet.</w:t>
      </w:r>
    </w:p>
    <w:p w14:paraId="7009E967" w14:textId="77777777" w:rsidR="000D7054" w:rsidRPr="009D01FD" w:rsidRDefault="000D7054" w:rsidP="00121B37">
      <w:pPr>
        <w:pStyle w:val="ListParagraph"/>
        <w:keepNext/>
        <w:keepLines/>
        <w:autoSpaceDE w:val="0"/>
        <w:autoSpaceDN w:val="0"/>
        <w:adjustRightInd w:val="0"/>
        <w:spacing w:after="0" w:line="240" w:lineRule="auto"/>
        <w:jc w:val="both"/>
        <w:rPr>
          <w:sz w:val="22"/>
          <w:lang w:val="fr-FR"/>
        </w:rPr>
      </w:pPr>
    </w:p>
    <w:p w14:paraId="53449635" w14:textId="4B3488E5" w:rsidR="007E0C9A" w:rsidRPr="009D01FD" w:rsidRDefault="003C1605" w:rsidP="00121B37">
      <w:pPr>
        <w:pStyle w:val="ListParagraph"/>
        <w:keepNext/>
        <w:keepLines/>
        <w:numPr>
          <w:ilvl w:val="0"/>
          <w:numId w:val="1"/>
        </w:numPr>
        <w:autoSpaceDE w:val="0"/>
        <w:autoSpaceDN w:val="0"/>
        <w:adjustRightInd w:val="0"/>
        <w:spacing w:after="0" w:line="240" w:lineRule="auto"/>
        <w:jc w:val="both"/>
        <w:rPr>
          <w:sz w:val="22"/>
          <w:lang w:val="fr-FR"/>
        </w:rPr>
      </w:pPr>
      <w:r w:rsidRPr="009D01FD">
        <w:rPr>
          <w:sz w:val="22"/>
          <w:lang w:val="fr-FR"/>
        </w:rPr>
        <w:t xml:space="preserve">Ce document a été discuté avec la partie gouvernementale et il a été convenu </w:t>
      </w:r>
      <w:r w:rsidR="006C21D8" w:rsidRPr="009D01FD">
        <w:rPr>
          <w:sz w:val="22"/>
          <w:lang w:val="fr-FR"/>
        </w:rPr>
        <w:t>d’un</w:t>
      </w:r>
      <w:r w:rsidRPr="009D01FD">
        <w:rPr>
          <w:sz w:val="22"/>
          <w:lang w:val="fr-FR"/>
        </w:rPr>
        <w:t xml:space="preserve"> commun accord de sa publication sur le site externe de la Banque mondiale.</w:t>
      </w:r>
    </w:p>
    <w:p w14:paraId="0252D594" w14:textId="01A4DEE0" w:rsidR="007E0C9A" w:rsidRPr="009D01FD" w:rsidRDefault="007E0C9A" w:rsidP="00121B37">
      <w:pPr>
        <w:keepNext/>
        <w:keepLines/>
        <w:autoSpaceDE w:val="0"/>
        <w:autoSpaceDN w:val="0"/>
        <w:adjustRightInd w:val="0"/>
        <w:spacing w:after="0" w:line="240" w:lineRule="auto"/>
        <w:jc w:val="both"/>
        <w:rPr>
          <w:sz w:val="22"/>
          <w:lang w:val="fr-FR"/>
        </w:rPr>
      </w:pPr>
    </w:p>
    <w:p w14:paraId="2D06E95B" w14:textId="5E2E407D" w:rsidR="007E0C9A" w:rsidRPr="009D01FD" w:rsidRDefault="007E0C9A" w:rsidP="00121B37">
      <w:pPr>
        <w:keepNext/>
        <w:keepLines/>
        <w:autoSpaceDE w:val="0"/>
        <w:autoSpaceDN w:val="0"/>
        <w:adjustRightInd w:val="0"/>
        <w:spacing w:after="0" w:line="240" w:lineRule="auto"/>
        <w:jc w:val="both"/>
        <w:rPr>
          <w:sz w:val="22"/>
          <w:lang w:val="fr-FR"/>
        </w:rPr>
      </w:pPr>
    </w:p>
    <w:p w14:paraId="2F6CEB94" w14:textId="2BFB7F90" w:rsidR="007E0C9A" w:rsidRPr="009D01FD" w:rsidRDefault="007E0C9A" w:rsidP="00121B37">
      <w:pPr>
        <w:keepNext/>
        <w:keepLines/>
        <w:autoSpaceDE w:val="0"/>
        <w:autoSpaceDN w:val="0"/>
        <w:adjustRightInd w:val="0"/>
        <w:spacing w:after="0" w:line="240" w:lineRule="auto"/>
        <w:jc w:val="both"/>
        <w:rPr>
          <w:sz w:val="22"/>
          <w:lang w:val="fr-FR"/>
        </w:rPr>
      </w:pPr>
    </w:p>
    <w:p w14:paraId="6A5977AC" w14:textId="77777777" w:rsidR="007E0C9A" w:rsidRPr="009D01FD" w:rsidRDefault="007E0C9A" w:rsidP="00121B37">
      <w:pPr>
        <w:keepNext/>
        <w:keepLines/>
        <w:autoSpaceDE w:val="0"/>
        <w:autoSpaceDN w:val="0"/>
        <w:adjustRightInd w:val="0"/>
        <w:spacing w:after="0" w:line="240" w:lineRule="auto"/>
        <w:jc w:val="both"/>
        <w:rPr>
          <w:sz w:val="22"/>
          <w:lang w:val="fr-FR"/>
        </w:rPr>
      </w:pPr>
    </w:p>
    <w:p w14:paraId="0BA41645" w14:textId="77777777" w:rsidR="00152551" w:rsidRPr="009D01FD" w:rsidRDefault="00152551" w:rsidP="00121B37">
      <w:pPr>
        <w:pStyle w:val="ListParagraph"/>
        <w:spacing w:after="0" w:line="240" w:lineRule="auto"/>
        <w:rPr>
          <w:sz w:val="22"/>
          <w:lang w:val="fr-FR"/>
        </w:rPr>
      </w:pPr>
    </w:p>
    <w:p w14:paraId="557D26AC" w14:textId="77777777" w:rsidR="00152551" w:rsidRPr="009D01FD" w:rsidRDefault="00152551" w:rsidP="00121B37">
      <w:pPr>
        <w:keepNext/>
        <w:keepLines/>
        <w:autoSpaceDE w:val="0"/>
        <w:autoSpaceDN w:val="0"/>
        <w:adjustRightInd w:val="0"/>
        <w:spacing w:after="0" w:line="240" w:lineRule="auto"/>
        <w:jc w:val="both"/>
        <w:rPr>
          <w:sz w:val="22"/>
          <w:lang w:val="fr-FR"/>
        </w:rPr>
        <w:sectPr w:rsidR="00152551" w:rsidRPr="009D01FD" w:rsidSect="002C1FA2">
          <w:footerReference w:type="default" r:id="rId9"/>
          <w:pgSz w:w="12240" w:h="15840"/>
          <w:pgMar w:top="1440" w:right="1440" w:bottom="1440" w:left="1440" w:header="720" w:footer="720" w:gutter="0"/>
          <w:cols w:space="720"/>
          <w:docGrid w:linePitch="360"/>
        </w:sectPr>
      </w:pPr>
    </w:p>
    <w:p w14:paraId="1B90D5A0" w14:textId="0D64FCA7" w:rsidR="006863CF" w:rsidRDefault="0053425A" w:rsidP="00A935E2">
      <w:pPr>
        <w:spacing w:after="0"/>
        <w:rPr>
          <w:b/>
          <w:lang w:val="fr-FR"/>
        </w:rPr>
      </w:pPr>
      <w:bookmarkStart w:id="0" w:name="_Ref469514878"/>
      <w:r w:rsidRPr="009D01FD">
        <w:rPr>
          <w:b/>
          <w:lang w:val="fr-FR"/>
        </w:rPr>
        <w:t>Annexe</w:t>
      </w:r>
      <w:r w:rsidRPr="009D01FD">
        <w:rPr>
          <w:lang w:val="fr-FR"/>
        </w:rPr>
        <w:t xml:space="preserve"> </w:t>
      </w:r>
      <w:r w:rsidRPr="009D01FD">
        <w:rPr>
          <w:lang w:val="fr-FR"/>
        </w:rPr>
        <w:fldChar w:fldCharType="begin"/>
      </w:r>
      <w:r w:rsidRPr="009D01FD">
        <w:rPr>
          <w:b/>
          <w:bCs/>
          <w:lang w:val="fr-FR"/>
        </w:rPr>
        <w:instrText xml:space="preserve"> SEQ Annexe \* ARABIC </w:instrText>
      </w:r>
      <w:r w:rsidRPr="009D01FD">
        <w:rPr>
          <w:lang w:val="fr-FR"/>
        </w:rPr>
        <w:fldChar w:fldCharType="separate"/>
      </w:r>
      <w:r w:rsidR="001D1293">
        <w:rPr>
          <w:b/>
          <w:bCs/>
          <w:noProof/>
          <w:lang w:val="fr-FR"/>
        </w:rPr>
        <w:t>1</w:t>
      </w:r>
      <w:r w:rsidRPr="009D01FD">
        <w:rPr>
          <w:lang w:val="fr-FR"/>
        </w:rPr>
        <w:fldChar w:fldCharType="end"/>
      </w:r>
      <w:bookmarkEnd w:id="0"/>
      <w:r w:rsidRPr="009D01FD">
        <w:rPr>
          <w:b/>
          <w:bCs/>
          <w:lang w:val="fr-FR"/>
        </w:rPr>
        <w:t>. Cadre de</w:t>
      </w:r>
      <w:r w:rsidR="0014036F" w:rsidRPr="009D01FD">
        <w:rPr>
          <w:b/>
          <w:lang w:val="fr-FR"/>
        </w:rPr>
        <w:t>s</w:t>
      </w:r>
      <w:r w:rsidRPr="009D01FD">
        <w:rPr>
          <w:lang w:val="fr-FR"/>
        </w:rPr>
        <w:t xml:space="preserve"> </w:t>
      </w:r>
      <w:r w:rsidR="0014036F" w:rsidRPr="009D01FD">
        <w:rPr>
          <w:b/>
          <w:lang w:val="fr-FR"/>
        </w:rPr>
        <w:t>résultats</w:t>
      </w:r>
      <w:bookmarkStart w:id="1" w:name="_Ref457331792"/>
    </w:p>
    <w:p w14:paraId="59EA6FD5" w14:textId="2F91D112" w:rsidR="002D1FA9" w:rsidRDefault="002D1FA9" w:rsidP="00A935E2">
      <w:pPr>
        <w:spacing w:after="0"/>
        <w:rPr>
          <w:lang w:val="fr-FR"/>
        </w:rPr>
      </w:pPr>
    </w:p>
    <w:tbl>
      <w:tblPr>
        <w:tblW w:w="5000" w:type="pct"/>
        <w:tblLook w:val="04A0" w:firstRow="1" w:lastRow="0" w:firstColumn="1" w:lastColumn="0" w:noHBand="0" w:noVBand="1"/>
      </w:tblPr>
      <w:tblGrid>
        <w:gridCol w:w="676"/>
        <w:gridCol w:w="3434"/>
        <w:gridCol w:w="1205"/>
        <w:gridCol w:w="1071"/>
        <w:gridCol w:w="617"/>
        <w:gridCol w:w="656"/>
        <w:gridCol w:w="674"/>
        <w:gridCol w:w="674"/>
        <w:gridCol w:w="656"/>
        <w:gridCol w:w="656"/>
        <w:gridCol w:w="656"/>
        <w:gridCol w:w="868"/>
        <w:gridCol w:w="1117"/>
      </w:tblGrid>
      <w:tr w:rsidR="002D1FA9" w:rsidRPr="007D04BC" w14:paraId="2EF582E6" w14:textId="77777777" w:rsidTr="002D1FA9">
        <w:trPr>
          <w:trHeight w:val="255"/>
        </w:trPr>
        <w:tc>
          <w:tcPr>
            <w:tcW w:w="5000" w:type="pct"/>
            <w:gridSpan w:val="13"/>
            <w:tcBorders>
              <w:top w:val="nil"/>
              <w:left w:val="nil"/>
              <w:bottom w:val="single" w:sz="4" w:space="0" w:color="auto"/>
              <w:right w:val="nil"/>
            </w:tcBorders>
            <w:shd w:val="clear" w:color="auto" w:fill="auto"/>
            <w:vAlign w:val="bottom"/>
            <w:hideMark/>
          </w:tcPr>
          <w:p w14:paraId="04EA6370" w14:textId="77777777" w:rsidR="002D1FA9" w:rsidRPr="002D1FA9" w:rsidRDefault="002D1FA9" w:rsidP="002D1FA9">
            <w:pPr>
              <w:spacing w:after="0" w:line="240" w:lineRule="auto"/>
              <w:rPr>
                <w:rFonts w:eastAsia="Times New Roman"/>
                <w:b/>
                <w:color w:val="000000"/>
                <w:sz w:val="20"/>
                <w:szCs w:val="20"/>
                <w:lang w:val="fr-FR"/>
              </w:rPr>
            </w:pPr>
            <w:r w:rsidRPr="002D1FA9">
              <w:rPr>
                <w:rFonts w:eastAsia="Times New Roman"/>
                <w:b/>
                <w:color w:val="000000"/>
                <w:sz w:val="20"/>
                <w:szCs w:val="20"/>
                <w:lang w:val="fr-FR"/>
              </w:rPr>
              <w:t>L’objectif de développement du projet proposé est de renforcer certains systèmes de gestion pour les services d’éducation et de santé dans des zones géographiques ciblées sur le territoire du Bénéficiaire.</w:t>
            </w:r>
          </w:p>
        </w:tc>
      </w:tr>
      <w:tr w:rsidR="002D1FA9" w:rsidRPr="002D1FA9" w14:paraId="1B291601" w14:textId="77777777" w:rsidTr="002D1FA9">
        <w:trPr>
          <w:trHeight w:val="255"/>
        </w:trPr>
        <w:tc>
          <w:tcPr>
            <w:tcW w:w="1586" w:type="pct"/>
            <w:gridSpan w:val="2"/>
            <w:tcBorders>
              <w:top w:val="single" w:sz="4" w:space="0" w:color="auto"/>
              <w:left w:val="single" w:sz="4" w:space="0" w:color="auto"/>
              <w:bottom w:val="single" w:sz="4" w:space="0" w:color="auto"/>
              <w:right w:val="nil"/>
            </w:tcBorders>
            <w:shd w:val="clear" w:color="auto" w:fill="auto"/>
            <w:vAlign w:val="bottom"/>
            <w:hideMark/>
          </w:tcPr>
          <w:p w14:paraId="1BAB88C6" w14:textId="77777777" w:rsidR="002D1FA9" w:rsidRPr="002D1FA9" w:rsidRDefault="002D1FA9" w:rsidP="002D1FA9">
            <w:pPr>
              <w:spacing w:after="0" w:line="240" w:lineRule="auto"/>
              <w:jc w:val="center"/>
              <w:rPr>
                <w:rFonts w:eastAsia="Times New Roman"/>
                <w:b/>
                <w:bCs/>
                <w:color w:val="000000"/>
                <w:sz w:val="20"/>
                <w:szCs w:val="20"/>
              </w:rPr>
            </w:pPr>
            <w:r w:rsidRPr="002D1FA9">
              <w:rPr>
                <w:rFonts w:eastAsia="Times New Roman"/>
                <w:b/>
                <w:bCs/>
                <w:color w:val="000000"/>
                <w:sz w:val="20"/>
                <w:szCs w:val="20"/>
              </w:rPr>
              <w:t xml:space="preserve">Ces résultats sont au </w:t>
            </w:r>
          </w:p>
        </w:tc>
        <w:tc>
          <w:tcPr>
            <w:tcW w:w="3414" w:type="pct"/>
            <w:gridSpan w:val="11"/>
            <w:tcBorders>
              <w:top w:val="single" w:sz="4" w:space="0" w:color="auto"/>
              <w:left w:val="single" w:sz="4" w:space="0" w:color="auto"/>
              <w:bottom w:val="single" w:sz="4" w:space="0" w:color="auto"/>
              <w:right w:val="nil"/>
            </w:tcBorders>
            <w:shd w:val="clear" w:color="auto" w:fill="auto"/>
            <w:vAlign w:val="center"/>
            <w:hideMark/>
          </w:tcPr>
          <w:p w14:paraId="1EAAD7E4" w14:textId="77777777" w:rsidR="002D1FA9" w:rsidRPr="002D1FA9" w:rsidRDefault="002D1FA9" w:rsidP="002D1FA9">
            <w:pPr>
              <w:spacing w:after="0" w:line="240" w:lineRule="auto"/>
              <w:jc w:val="center"/>
              <w:rPr>
                <w:rFonts w:eastAsia="Times New Roman"/>
                <w:color w:val="000000"/>
                <w:sz w:val="20"/>
                <w:szCs w:val="20"/>
              </w:rPr>
            </w:pPr>
            <w:r w:rsidRPr="002D1FA9">
              <w:rPr>
                <w:rFonts w:eastAsia="Times New Roman"/>
                <w:color w:val="000000"/>
                <w:sz w:val="20"/>
                <w:szCs w:val="20"/>
              </w:rPr>
              <w:t>Niveau du projet</w:t>
            </w:r>
          </w:p>
        </w:tc>
      </w:tr>
      <w:tr w:rsidR="002D1FA9" w:rsidRPr="007D04BC" w14:paraId="6B994D3D" w14:textId="77777777" w:rsidTr="002D1FA9">
        <w:trPr>
          <w:trHeight w:val="270"/>
        </w:trPr>
        <w:tc>
          <w:tcPr>
            <w:tcW w:w="5000" w:type="pct"/>
            <w:gridSpan w:val="13"/>
            <w:tcBorders>
              <w:top w:val="nil"/>
              <w:left w:val="single" w:sz="4" w:space="0" w:color="auto"/>
              <w:bottom w:val="single" w:sz="8" w:space="0" w:color="auto"/>
              <w:right w:val="nil"/>
            </w:tcBorders>
            <w:shd w:val="clear" w:color="auto" w:fill="auto"/>
            <w:vAlign w:val="bottom"/>
            <w:hideMark/>
          </w:tcPr>
          <w:p w14:paraId="123DE57B" w14:textId="77777777" w:rsidR="002D1FA9" w:rsidRPr="002D1FA9" w:rsidRDefault="002D1FA9" w:rsidP="002D1FA9">
            <w:pPr>
              <w:spacing w:after="0" w:line="240" w:lineRule="auto"/>
              <w:jc w:val="center"/>
              <w:rPr>
                <w:rFonts w:eastAsia="Times New Roman"/>
                <w:b/>
                <w:bCs/>
                <w:color w:val="000000"/>
                <w:sz w:val="20"/>
                <w:szCs w:val="20"/>
                <w:lang w:val="fr-FR"/>
              </w:rPr>
            </w:pPr>
            <w:r w:rsidRPr="002D1FA9">
              <w:rPr>
                <w:rFonts w:eastAsia="Times New Roman"/>
                <w:b/>
                <w:bCs/>
                <w:color w:val="000000"/>
                <w:sz w:val="20"/>
                <w:szCs w:val="20"/>
                <w:lang w:val="fr-FR"/>
              </w:rPr>
              <w:t>Indicateurs des objectifs de développement du projet</w:t>
            </w:r>
          </w:p>
        </w:tc>
      </w:tr>
      <w:tr w:rsidR="002D1FA9" w:rsidRPr="002D1FA9" w14:paraId="48DE641F" w14:textId="77777777" w:rsidTr="0037560C">
        <w:trPr>
          <w:trHeight w:val="270"/>
        </w:trPr>
        <w:tc>
          <w:tcPr>
            <w:tcW w:w="261" w:type="pct"/>
            <w:vMerge w:val="restart"/>
            <w:tcBorders>
              <w:top w:val="nil"/>
              <w:left w:val="single" w:sz="8" w:space="0" w:color="auto"/>
              <w:bottom w:val="single" w:sz="8" w:space="0" w:color="auto"/>
              <w:right w:val="single" w:sz="8" w:space="0" w:color="auto"/>
            </w:tcBorders>
            <w:shd w:val="clear" w:color="auto" w:fill="auto"/>
            <w:hideMark/>
          </w:tcPr>
          <w:p w14:paraId="733507C8" w14:textId="77777777" w:rsidR="002D1FA9" w:rsidRPr="002D1FA9" w:rsidRDefault="002D1FA9" w:rsidP="002D1FA9">
            <w:pPr>
              <w:spacing w:after="0" w:line="240" w:lineRule="auto"/>
              <w:jc w:val="center"/>
              <w:rPr>
                <w:rFonts w:eastAsia="Times New Roman"/>
                <w:b/>
                <w:bCs/>
                <w:color w:val="000000"/>
                <w:sz w:val="20"/>
                <w:szCs w:val="20"/>
                <w:lang w:val="fr-FR"/>
              </w:rPr>
            </w:pPr>
            <w:r w:rsidRPr="002D1FA9">
              <w:rPr>
                <w:rFonts w:eastAsia="Times New Roman"/>
                <w:b/>
                <w:bCs/>
                <w:color w:val="000000"/>
                <w:sz w:val="20"/>
                <w:szCs w:val="20"/>
                <w:lang w:val="fr-FR"/>
              </w:rPr>
              <w:t> </w:t>
            </w:r>
          </w:p>
        </w:tc>
        <w:tc>
          <w:tcPr>
            <w:tcW w:w="1325" w:type="pct"/>
            <w:vMerge w:val="restart"/>
            <w:tcBorders>
              <w:top w:val="nil"/>
              <w:left w:val="single" w:sz="8" w:space="0" w:color="auto"/>
              <w:bottom w:val="single" w:sz="8" w:space="0" w:color="auto"/>
              <w:right w:val="single" w:sz="8" w:space="0" w:color="auto"/>
            </w:tcBorders>
            <w:shd w:val="clear" w:color="auto" w:fill="auto"/>
            <w:vAlign w:val="bottom"/>
            <w:hideMark/>
          </w:tcPr>
          <w:p w14:paraId="54786FC7" w14:textId="77777777" w:rsidR="002D1FA9" w:rsidRPr="002D1FA9" w:rsidRDefault="002D1FA9" w:rsidP="002D1FA9">
            <w:pPr>
              <w:spacing w:after="0" w:line="240" w:lineRule="auto"/>
              <w:jc w:val="center"/>
              <w:rPr>
                <w:rFonts w:eastAsia="Times New Roman"/>
                <w:b/>
                <w:bCs/>
                <w:color w:val="314F4F"/>
                <w:sz w:val="20"/>
                <w:szCs w:val="20"/>
              </w:rPr>
            </w:pPr>
            <w:r w:rsidRPr="002D1FA9">
              <w:rPr>
                <w:rFonts w:eastAsia="Times New Roman"/>
                <w:b/>
                <w:bCs/>
                <w:color w:val="314F4F"/>
                <w:sz w:val="20"/>
                <w:szCs w:val="20"/>
              </w:rPr>
              <w:t xml:space="preserve">Nom de l’indicateur </w:t>
            </w:r>
          </w:p>
        </w:tc>
        <w:tc>
          <w:tcPr>
            <w:tcW w:w="465" w:type="pct"/>
            <w:vMerge w:val="restart"/>
            <w:tcBorders>
              <w:top w:val="nil"/>
              <w:left w:val="single" w:sz="8" w:space="0" w:color="auto"/>
              <w:bottom w:val="single" w:sz="8" w:space="0" w:color="auto"/>
              <w:right w:val="single" w:sz="8" w:space="0" w:color="auto"/>
            </w:tcBorders>
            <w:shd w:val="clear" w:color="auto" w:fill="auto"/>
            <w:vAlign w:val="bottom"/>
            <w:hideMark/>
          </w:tcPr>
          <w:p w14:paraId="2B650354" w14:textId="77777777" w:rsidR="002D1FA9" w:rsidRPr="002D1FA9" w:rsidRDefault="002D1FA9" w:rsidP="002D1FA9">
            <w:pPr>
              <w:spacing w:after="0" w:line="240" w:lineRule="auto"/>
              <w:jc w:val="center"/>
              <w:rPr>
                <w:rFonts w:eastAsia="Times New Roman"/>
                <w:b/>
                <w:bCs/>
                <w:color w:val="314F4F"/>
                <w:sz w:val="20"/>
                <w:szCs w:val="20"/>
              </w:rPr>
            </w:pPr>
            <w:r w:rsidRPr="002D1FA9">
              <w:rPr>
                <w:rFonts w:eastAsia="Times New Roman"/>
                <w:b/>
                <w:bCs/>
                <w:color w:val="314F4F"/>
                <w:sz w:val="20"/>
                <w:szCs w:val="20"/>
              </w:rPr>
              <w:t xml:space="preserve">Unité de mesure </w:t>
            </w:r>
          </w:p>
        </w:tc>
        <w:tc>
          <w:tcPr>
            <w:tcW w:w="413" w:type="pct"/>
            <w:vMerge w:val="restart"/>
            <w:tcBorders>
              <w:top w:val="nil"/>
              <w:left w:val="single" w:sz="8" w:space="0" w:color="auto"/>
              <w:bottom w:val="single" w:sz="8" w:space="0" w:color="auto"/>
              <w:right w:val="single" w:sz="8" w:space="0" w:color="auto"/>
            </w:tcBorders>
            <w:shd w:val="clear" w:color="auto" w:fill="auto"/>
            <w:vAlign w:val="bottom"/>
            <w:hideMark/>
          </w:tcPr>
          <w:p w14:paraId="5D3D85C8"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 xml:space="preserve">Référence </w:t>
            </w:r>
          </w:p>
        </w:tc>
        <w:tc>
          <w:tcPr>
            <w:tcW w:w="2105" w:type="pct"/>
            <w:gridSpan w:val="8"/>
            <w:tcBorders>
              <w:top w:val="single" w:sz="8" w:space="0" w:color="auto"/>
              <w:left w:val="nil"/>
              <w:bottom w:val="single" w:sz="8" w:space="0" w:color="auto"/>
              <w:right w:val="single" w:sz="8" w:space="0" w:color="auto"/>
            </w:tcBorders>
            <w:shd w:val="clear" w:color="auto" w:fill="auto"/>
            <w:vAlign w:val="bottom"/>
            <w:hideMark/>
          </w:tcPr>
          <w:p w14:paraId="1C422273" w14:textId="77777777" w:rsidR="002D1FA9" w:rsidRPr="002D1FA9" w:rsidRDefault="002D1FA9" w:rsidP="0037560C">
            <w:pPr>
              <w:spacing w:after="0" w:line="240" w:lineRule="auto"/>
              <w:jc w:val="center"/>
              <w:rPr>
                <w:rFonts w:eastAsia="Times New Roman"/>
                <w:b/>
                <w:bCs/>
                <w:color w:val="314F4F"/>
                <w:sz w:val="20"/>
                <w:szCs w:val="20"/>
              </w:rPr>
            </w:pPr>
            <w:r w:rsidRPr="002D1FA9">
              <w:rPr>
                <w:rFonts w:eastAsia="Times New Roman"/>
                <w:b/>
                <w:bCs/>
                <w:color w:val="314F4F"/>
                <w:sz w:val="20"/>
                <w:szCs w:val="20"/>
              </w:rPr>
              <w:t>Valeurs cibles cumulées</w:t>
            </w:r>
          </w:p>
        </w:tc>
        <w:tc>
          <w:tcPr>
            <w:tcW w:w="431" w:type="pct"/>
            <w:vMerge w:val="restart"/>
            <w:tcBorders>
              <w:top w:val="nil"/>
              <w:left w:val="single" w:sz="8" w:space="0" w:color="auto"/>
              <w:bottom w:val="single" w:sz="8" w:space="0" w:color="auto"/>
              <w:right w:val="single" w:sz="8" w:space="0" w:color="auto"/>
            </w:tcBorders>
            <w:shd w:val="clear" w:color="auto" w:fill="auto"/>
            <w:vAlign w:val="bottom"/>
            <w:hideMark/>
          </w:tcPr>
          <w:p w14:paraId="3030529F" w14:textId="77777777" w:rsidR="002D1FA9" w:rsidRPr="002D1FA9" w:rsidRDefault="002D1FA9" w:rsidP="0037560C">
            <w:pPr>
              <w:spacing w:after="0" w:line="240" w:lineRule="auto"/>
              <w:jc w:val="center"/>
              <w:rPr>
                <w:rFonts w:eastAsia="Times New Roman"/>
                <w:b/>
                <w:bCs/>
                <w:color w:val="314F4F"/>
                <w:sz w:val="20"/>
                <w:szCs w:val="20"/>
              </w:rPr>
            </w:pPr>
            <w:r w:rsidRPr="002D1FA9">
              <w:rPr>
                <w:rFonts w:eastAsia="Times New Roman"/>
                <w:b/>
                <w:bCs/>
                <w:color w:val="314F4F"/>
                <w:sz w:val="20"/>
                <w:szCs w:val="20"/>
              </w:rPr>
              <w:t>Fréquence</w:t>
            </w:r>
          </w:p>
        </w:tc>
      </w:tr>
      <w:tr w:rsidR="002D1FA9" w:rsidRPr="002D1FA9" w14:paraId="426EB456" w14:textId="77777777" w:rsidTr="0037560C">
        <w:trPr>
          <w:trHeight w:val="525"/>
        </w:trPr>
        <w:tc>
          <w:tcPr>
            <w:tcW w:w="261" w:type="pct"/>
            <w:vMerge/>
            <w:tcBorders>
              <w:top w:val="nil"/>
              <w:left w:val="single" w:sz="8" w:space="0" w:color="auto"/>
              <w:bottom w:val="single" w:sz="8" w:space="0" w:color="auto"/>
              <w:right w:val="single" w:sz="8" w:space="0" w:color="auto"/>
            </w:tcBorders>
            <w:vAlign w:val="center"/>
            <w:hideMark/>
          </w:tcPr>
          <w:p w14:paraId="16B3C23F" w14:textId="77777777" w:rsidR="002D1FA9" w:rsidRPr="002D1FA9" w:rsidRDefault="002D1FA9" w:rsidP="002D1FA9">
            <w:pPr>
              <w:spacing w:after="0" w:line="240" w:lineRule="auto"/>
              <w:rPr>
                <w:rFonts w:eastAsia="Times New Roman"/>
                <w:b/>
                <w:bCs/>
                <w:color w:val="000000"/>
                <w:sz w:val="20"/>
                <w:szCs w:val="20"/>
              </w:rPr>
            </w:pPr>
          </w:p>
        </w:tc>
        <w:tc>
          <w:tcPr>
            <w:tcW w:w="1325" w:type="pct"/>
            <w:vMerge/>
            <w:tcBorders>
              <w:top w:val="nil"/>
              <w:left w:val="single" w:sz="8" w:space="0" w:color="auto"/>
              <w:bottom w:val="single" w:sz="8" w:space="0" w:color="auto"/>
              <w:right w:val="single" w:sz="8" w:space="0" w:color="auto"/>
            </w:tcBorders>
            <w:vAlign w:val="center"/>
            <w:hideMark/>
          </w:tcPr>
          <w:p w14:paraId="092F9B38" w14:textId="77777777" w:rsidR="002D1FA9" w:rsidRPr="002D1FA9" w:rsidRDefault="002D1FA9" w:rsidP="002D1FA9">
            <w:pPr>
              <w:spacing w:after="0" w:line="240" w:lineRule="auto"/>
              <w:rPr>
                <w:rFonts w:eastAsia="Times New Roman"/>
                <w:b/>
                <w:bCs/>
                <w:color w:val="314F4F"/>
                <w:sz w:val="20"/>
                <w:szCs w:val="20"/>
              </w:rPr>
            </w:pPr>
          </w:p>
        </w:tc>
        <w:tc>
          <w:tcPr>
            <w:tcW w:w="465" w:type="pct"/>
            <w:vMerge/>
            <w:tcBorders>
              <w:top w:val="nil"/>
              <w:left w:val="single" w:sz="8" w:space="0" w:color="auto"/>
              <w:bottom w:val="single" w:sz="8" w:space="0" w:color="auto"/>
              <w:right w:val="single" w:sz="8" w:space="0" w:color="auto"/>
            </w:tcBorders>
            <w:vAlign w:val="center"/>
            <w:hideMark/>
          </w:tcPr>
          <w:p w14:paraId="02626CE5" w14:textId="77777777" w:rsidR="002D1FA9" w:rsidRPr="002D1FA9" w:rsidRDefault="002D1FA9" w:rsidP="002D1FA9">
            <w:pPr>
              <w:spacing w:after="0" w:line="240" w:lineRule="auto"/>
              <w:rPr>
                <w:rFonts w:eastAsia="Times New Roman"/>
                <w:b/>
                <w:bCs/>
                <w:color w:val="314F4F"/>
                <w:sz w:val="20"/>
                <w:szCs w:val="20"/>
              </w:rPr>
            </w:pPr>
          </w:p>
        </w:tc>
        <w:tc>
          <w:tcPr>
            <w:tcW w:w="413" w:type="pct"/>
            <w:vMerge/>
            <w:tcBorders>
              <w:top w:val="nil"/>
              <w:left w:val="single" w:sz="8" w:space="0" w:color="auto"/>
              <w:bottom w:val="single" w:sz="8" w:space="0" w:color="auto"/>
              <w:right w:val="single" w:sz="8" w:space="0" w:color="auto"/>
            </w:tcBorders>
            <w:vAlign w:val="bottom"/>
            <w:hideMark/>
          </w:tcPr>
          <w:p w14:paraId="14F82D7D" w14:textId="77777777" w:rsidR="002D1FA9" w:rsidRPr="002D1FA9" w:rsidRDefault="002D1FA9" w:rsidP="0037560C">
            <w:pPr>
              <w:spacing w:after="0" w:line="240" w:lineRule="auto"/>
              <w:jc w:val="right"/>
              <w:rPr>
                <w:rFonts w:eastAsia="Times New Roman"/>
                <w:b/>
                <w:bCs/>
                <w:color w:val="314F4F"/>
                <w:sz w:val="20"/>
                <w:szCs w:val="20"/>
              </w:rPr>
            </w:pPr>
          </w:p>
        </w:tc>
        <w:tc>
          <w:tcPr>
            <w:tcW w:w="238" w:type="pct"/>
            <w:tcBorders>
              <w:top w:val="nil"/>
              <w:left w:val="nil"/>
              <w:bottom w:val="single" w:sz="8" w:space="0" w:color="auto"/>
              <w:right w:val="nil"/>
            </w:tcBorders>
            <w:shd w:val="clear" w:color="auto" w:fill="auto"/>
            <w:vAlign w:val="bottom"/>
            <w:hideMark/>
          </w:tcPr>
          <w:p w14:paraId="0FF5D2E8"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2014</w:t>
            </w:r>
          </w:p>
        </w:tc>
        <w:tc>
          <w:tcPr>
            <w:tcW w:w="253" w:type="pct"/>
            <w:tcBorders>
              <w:top w:val="nil"/>
              <w:left w:val="single" w:sz="8" w:space="0" w:color="auto"/>
              <w:bottom w:val="single" w:sz="8" w:space="0" w:color="auto"/>
              <w:right w:val="single" w:sz="8" w:space="0" w:color="auto"/>
            </w:tcBorders>
            <w:shd w:val="clear" w:color="auto" w:fill="auto"/>
            <w:vAlign w:val="bottom"/>
            <w:hideMark/>
          </w:tcPr>
          <w:p w14:paraId="64A8C520"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2015</w:t>
            </w:r>
          </w:p>
        </w:tc>
        <w:tc>
          <w:tcPr>
            <w:tcW w:w="260" w:type="pct"/>
            <w:tcBorders>
              <w:top w:val="nil"/>
              <w:left w:val="nil"/>
              <w:bottom w:val="single" w:sz="8" w:space="0" w:color="auto"/>
              <w:right w:val="single" w:sz="8" w:space="0" w:color="auto"/>
            </w:tcBorders>
            <w:shd w:val="clear" w:color="auto" w:fill="auto"/>
            <w:vAlign w:val="bottom"/>
            <w:hideMark/>
          </w:tcPr>
          <w:p w14:paraId="399F5B54"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2016</w:t>
            </w:r>
          </w:p>
        </w:tc>
        <w:tc>
          <w:tcPr>
            <w:tcW w:w="260" w:type="pct"/>
            <w:tcBorders>
              <w:top w:val="nil"/>
              <w:left w:val="nil"/>
              <w:bottom w:val="single" w:sz="8" w:space="0" w:color="auto"/>
              <w:right w:val="single" w:sz="8" w:space="0" w:color="auto"/>
            </w:tcBorders>
            <w:shd w:val="clear" w:color="auto" w:fill="auto"/>
            <w:vAlign w:val="bottom"/>
            <w:hideMark/>
          </w:tcPr>
          <w:p w14:paraId="317F8546"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2017</w:t>
            </w:r>
          </w:p>
        </w:tc>
        <w:tc>
          <w:tcPr>
            <w:tcW w:w="253" w:type="pct"/>
            <w:tcBorders>
              <w:top w:val="nil"/>
              <w:left w:val="nil"/>
              <w:bottom w:val="single" w:sz="8" w:space="0" w:color="auto"/>
              <w:right w:val="single" w:sz="8" w:space="0" w:color="auto"/>
            </w:tcBorders>
            <w:shd w:val="clear" w:color="auto" w:fill="auto"/>
            <w:vAlign w:val="bottom"/>
            <w:hideMark/>
          </w:tcPr>
          <w:p w14:paraId="0428AD85"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2018</w:t>
            </w:r>
          </w:p>
        </w:tc>
        <w:tc>
          <w:tcPr>
            <w:tcW w:w="253" w:type="pct"/>
            <w:tcBorders>
              <w:top w:val="nil"/>
              <w:left w:val="nil"/>
              <w:bottom w:val="single" w:sz="8" w:space="0" w:color="auto"/>
              <w:right w:val="single" w:sz="8" w:space="0" w:color="auto"/>
            </w:tcBorders>
            <w:shd w:val="clear" w:color="auto" w:fill="auto"/>
            <w:vAlign w:val="bottom"/>
            <w:hideMark/>
          </w:tcPr>
          <w:p w14:paraId="279567B0"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2019</w:t>
            </w:r>
          </w:p>
        </w:tc>
        <w:tc>
          <w:tcPr>
            <w:tcW w:w="253" w:type="pct"/>
            <w:tcBorders>
              <w:top w:val="nil"/>
              <w:left w:val="nil"/>
              <w:bottom w:val="single" w:sz="8" w:space="0" w:color="auto"/>
              <w:right w:val="single" w:sz="8" w:space="0" w:color="auto"/>
            </w:tcBorders>
            <w:shd w:val="clear" w:color="auto" w:fill="auto"/>
            <w:vAlign w:val="bottom"/>
            <w:hideMark/>
          </w:tcPr>
          <w:p w14:paraId="29B79066"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2020</w:t>
            </w:r>
          </w:p>
        </w:tc>
        <w:tc>
          <w:tcPr>
            <w:tcW w:w="335" w:type="pct"/>
            <w:tcBorders>
              <w:top w:val="nil"/>
              <w:left w:val="nil"/>
              <w:bottom w:val="single" w:sz="8" w:space="0" w:color="auto"/>
              <w:right w:val="single" w:sz="8" w:space="0" w:color="auto"/>
            </w:tcBorders>
            <w:shd w:val="clear" w:color="auto" w:fill="auto"/>
            <w:vAlign w:val="bottom"/>
            <w:hideMark/>
          </w:tcPr>
          <w:p w14:paraId="022B5B25"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 xml:space="preserve">Cible finale </w:t>
            </w:r>
          </w:p>
        </w:tc>
        <w:tc>
          <w:tcPr>
            <w:tcW w:w="431" w:type="pct"/>
            <w:vMerge/>
            <w:tcBorders>
              <w:top w:val="nil"/>
              <w:left w:val="single" w:sz="8" w:space="0" w:color="auto"/>
              <w:bottom w:val="single" w:sz="8" w:space="0" w:color="auto"/>
              <w:right w:val="single" w:sz="8" w:space="0" w:color="auto"/>
            </w:tcBorders>
            <w:vAlign w:val="bottom"/>
            <w:hideMark/>
          </w:tcPr>
          <w:p w14:paraId="545455DC" w14:textId="77777777" w:rsidR="002D1FA9" w:rsidRPr="002D1FA9" w:rsidRDefault="002D1FA9" w:rsidP="0037560C">
            <w:pPr>
              <w:spacing w:after="0" w:line="240" w:lineRule="auto"/>
              <w:jc w:val="center"/>
              <w:rPr>
                <w:rFonts w:eastAsia="Times New Roman"/>
                <w:b/>
                <w:bCs/>
                <w:color w:val="314F4F"/>
                <w:sz w:val="20"/>
                <w:szCs w:val="20"/>
              </w:rPr>
            </w:pPr>
          </w:p>
        </w:tc>
      </w:tr>
      <w:tr w:rsidR="002D1FA9" w:rsidRPr="002D1FA9" w14:paraId="5A639BD8" w14:textId="77777777" w:rsidTr="0037560C">
        <w:trPr>
          <w:trHeight w:val="780"/>
        </w:trPr>
        <w:tc>
          <w:tcPr>
            <w:tcW w:w="261" w:type="pct"/>
            <w:tcBorders>
              <w:top w:val="nil"/>
              <w:left w:val="single" w:sz="8" w:space="0" w:color="auto"/>
              <w:bottom w:val="single" w:sz="8" w:space="0" w:color="auto"/>
              <w:right w:val="single" w:sz="8" w:space="0" w:color="auto"/>
            </w:tcBorders>
            <w:shd w:val="clear" w:color="auto" w:fill="auto"/>
            <w:vAlign w:val="bottom"/>
            <w:hideMark/>
          </w:tcPr>
          <w:p w14:paraId="2C0928CD" w14:textId="77777777" w:rsidR="002D1FA9" w:rsidRPr="002D1FA9" w:rsidRDefault="002D1FA9" w:rsidP="0037560C">
            <w:pPr>
              <w:spacing w:after="0" w:line="240" w:lineRule="auto"/>
              <w:rPr>
                <w:rFonts w:eastAsia="Times New Roman"/>
                <w:b/>
                <w:bCs/>
                <w:color w:val="000000"/>
                <w:sz w:val="20"/>
                <w:szCs w:val="20"/>
              </w:rPr>
            </w:pPr>
            <w:r w:rsidRPr="002D1FA9">
              <w:rPr>
                <w:rFonts w:eastAsia="Times New Roman"/>
                <w:b/>
                <w:bCs/>
                <w:color w:val="000000"/>
                <w:sz w:val="20"/>
                <w:szCs w:val="20"/>
              </w:rPr>
              <w:t>1</w:t>
            </w:r>
          </w:p>
        </w:tc>
        <w:tc>
          <w:tcPr>
            <w:tcW w:w="1325" w:type="pct"/>
            <w:tcBorders>
              <w:top w:val="nil"/>
              <w:left w:val="nil"/>
              <w:bottom w:val="single" w:sz="8" w:space="0" w:color="auto"/>
              <w:right w:val="single" w:sz="8" w:space="0" w:color="auto"/>
            </w:tcBorders>
            <w:shd w:val="clear" w:color="auto" w:fill="auto"/>
            <w:vAlign w:val="bottom"/>
            <w:hideMark/>
          </w:tcPr>
          <w:p w14:paraId="766F06FA"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Sous division dans les provinces ciblées avec des plans annuels et des rapports sur la base des données améliorées du SIGE disponible sur internet.</w:t>
            </w:r>
          </w:p>
        </w:tc>
        <w:tc>
          <w:tcPr>
            <w:tcW w:w="465" w:type="pct"/>
            <w:tcBorders>
              <w:top w:val="nil"/>
              <w:left w:val="nil"/>
              <w:bottom w:val="single" w:sz="8" w:space="0" w:color="auto"/>
              <w:right w:val="single" w:sz="8" w:space="0" w:color="auto"/>
            </w:tcBorders>
            <w:shd w:val="clear" w:color="auto" w:fill="auto"/>
            <w:vAlign w:val="bottom"/>
            <w:hideMark/>
          </w:tcPr>
          <w:p w14:paraId="1C6BA21A"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tcBorders>
              <w:top w:val="nil"/>
              <w:left w:val="nil"/>
              <w:bottom w:val="single" w:sz="8" w:space="0" w:color="auto"/>
              <w:right w:val="single" w:sz="8" w:space="0" w:color="auto"/>
            </w:tcBorders>
            <w:shd w:val="clear" w:color="auto" w:fill="auto"/>
            <w:vAlign w:val="bottom"/>
            <w:hideMark/>
          </w:tcPr>
          <w:p w14:paraId="68368DE5"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0</w:t>
            </w:r>
          </w:p>
        </w:tc>
        <w:tc>
          <w:tcPr>
            <w:tcW w:w="238" w:type="pct"/>
            <w:tcBorders>
              <w:top w:val="nil"/>
              <w:left w:val="nil"/>
              <w:bottom w:val="single" w:sz="8" w:space="0" w:color="auto"/>
              <w:right w:val="nil"/>
            </w:tcBorders>
            <w:shd w:val="clear" w:color="auto" w:fill="auto"/>
            <w:vAlign w:val="bottom"/>
            <w:hideMark/>
          </w:tcPr>
          <w:p w14:paraId="0FEE6AD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single" w:sz="8" w:space="0" w:color="auto"/>
              <w:bottom w:val="single" w:sz="8" w:space="0" w:color="auto"/>
              <w:right w:val="single" w:sz="8" w:space="0" w:color="auto"/>
            </w:tcBorders>
            <w:shd w:val="clear" w:color="auto" w:fill="auto"/>
            <w:vAlign w:val="bottom"/>
            <w:hideMark/>
          </w:tcPr>
          <w:p w14:paraId="4885ECCF"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54DAA33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auto"/>
              <w:right w:val="single" w:sz="8" w:space="0" w:color="auto"/>
            </w:tcBorders>
            <w:shd w:val="clear" w:color="auto" w:fill="auto"/>
            <w:vAlign w:val="bottom"/>
            <w:hideMark/>
          </w:tcPr>
          <w:p w14:paraId="62B3F235"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0</w:t>
            </w:r>
          </w:p>
        </w:tc>
        <w:tc>
          <w:tcPr>
            <w:tcW w:w="253" w:type="pct"/>
            <w:tcBorders>
              <w:top w:val="nil"/>
              <w:left w:val="nil"/>
              <w:bottom w:val="single" w:sz="8" w:space="0" w:color="auto"/>
              <w:right w:val="single" w:sz="8" w:space="0" w:color="auto"/>
            </w:tcBorders>
            <w:shd w:val="clear" w:color="auto" w:fill="auto"/>
            <w:vAlign w:val="bottom"/>
            <w:hideMark/>
          </w:tcPr>
          <w:p w14:paraId="2C5FBFCF"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704E38E5"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03E99B16"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 </w:t>
            </w:r>
          </w:p>
        </w:tc>
        <w:tc>
          <w:tcPr>
            <w:tcW w:w="335" w:type="pct"/>
            <w:tcBorders>
              <w:top w:val="nil"/>
              <w:left w:val="nil"/>
              <w:bottom w:val="single" w:sz="8" w:space="0" w:color="auto"/>
              <w:right w:val="single" w:sz="8" w:space="0" w:color="auto"/>
            </w:tcBorders>
            <w:shd w:val="clear" w:color="auto" w:fill="auto"/>
            <w:vAlign w:val="bottom"/>
            <w:hideMark/>
          </w:tcPr>
          <w:p w14:paraId="33EF5211"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90</w:t>
            </w:r>
          </w:p>
        </w:tc>
        <w:tc>
          <w:tcPr>
            <w:tcW w:w="431" w:type="pct"/>
            <w:tcBorders>
              <w:top w:val="nil"/>
              <w:left w:val="nil"/>
              <w:bottom w:val="single" w:sz="8" w:space="0" w:color="auto"/>
              <w:right w:val="single" w:sz="8" w:space="0" w:color="auto"/>
            </w:tcBorders>
            <w:shd w:val="clear" w:color="auto" w:fill="auto"/>
            <w:vAlign w:val="bottom"/>
            <w:hideMark/>
          </w:tcPr>
          <w:p w14:paraId="7F2C1D0E"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1E9FC905" w14:textId="77777777" w:rsidTr="0037560C">
        <w:trPr>
          <w:trHeight w:val="525"/>
        </w:trPr>
        <w:tc>
          <w:tcPr>
            <w:tcW w:w="261" w:type="pct"/>
            <w:tcBorders>
              <w:top w:val="nil"/>
              <w:left w:val="single" w:sz="8" w:space="0" w:color="auto"/>
              <w:bottom w:val="single" w:sz="8" w:space="0" w:color="auto"/>
              <w:right w:val="single" w:sz="8" w:space="0" w:color="auto"/>
            </w:tcBorders>
            <w:shd w:val="clear" w:color="auto" w:fill="auto"/>
            <w:vAlign w:val="bottom"/>
            <w:hideMark/>
          </w:tcPr>
          <w:p w14:paraId="3A5E8DC1" w14:textId="77777777" w:rsidR="002D1FA9" w:rsidRPr="002D1FA9" w:rsidRDefault="002D1FA9" w:rsidP="0037560C">
            <w:pPr>
              <w:spacing w:after="0" w:line="240" w:lineRule="auto"/>
              <w:rPr>
                <w:rFonts w:eastAsia="Times New Roman"/>
                <w:b/>
                <w:bCs/>
                <w:color w:val="000000"/>
                <w:sz w:val="20"/>
                <w:szCs w:val="20"/>
              </w:rPr>
            </w:pPr>
            <w:r w:rsidRPr="002D1FA9">
              <w:rPr>
                <w:rFonts w:eastAsia="Times New Roman"/>
                <w:b/>
                <w:bCs/>
                <w:color w:val="000000"/>
                <w:sz w:val="20"/>
                <w:szCs w:val="20"/>
              </w:rPr>
              <w:t>2</w:t>
            </w:r>
          </w:p>
        </w:tc>
        <w:tc>
          <w:tcPr>
            <w:tcW w:w="1325" w:type="pct"/>
            <w:tcBorders>
              <w:top w:val="nil"/>
              <w:left w:val="nil"/>
              <w:bottom w:val="single" w:sz="8" w:space="0" w:color="auto"/>
              <w:right w:val="single" w:sz="8" w:space="0" w:color="auto"/>
            </w:tcBorders>
            <w:shd w:val="clear" w:color="auto" w:fill="auto"/>
            <w:vAlign w:val="bottom"/>
            <w:hideMark/>
          </w:tcPr>
          <w:p w14:paraId="5870E83F"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Stratégie Etat-civil et statistiques vitales développé et adopté par les parties prenantes</w:t>
            </w:r>
          </w:p>
        </w:tc>
        <w:tc>
          <w:tcPr>
            <w:tcW w:w="465" w:type="pct"/>
            <w:tcBorders>
              <w:top w:val="nil"/>
              <w:left w:val="nil"/>
              <w:bottom w:val="single" w:sz="8" w:space="0" w:color="auto"/>
              <w:right w:val="single" w:sz="8" w:space="0" w:color="auto"/>
            </w:tcBorders>
            <w:shd w:val="clear" w:color="auto" w:fill="auto"/>
            <w:vAlign w:val="bottom"/>
            <w:hideMark/>
          </w:tcPr>
          <w:p w14:paraId="7E8AAF7F"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auto"/>
              <w:right w:val="single" w:sz="8" w:space="0" w:color="auto"/>
            </w:tcBorders>
            <w:shd w:val="clear" w:color="auto" w:fill="auto"/>
            <w:vAlign w:val="bottom"/>
            <w:hideMark/>
          </w:tcPr>
          <w:p w14:paraId="297B8995"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0</w:t>
            </w:r>
          </w:p>
        </w:tc>
        <w:tc>
          <w:tcPr>
            <w:tcW w:w="238" w:type="pct"/>
            <w:tcBorders>
              <w:top w:val="nil"/>
              <w:left w:val="nil"/>
              <w:bottom w:val="single" w:sz="8" w:space="0" w:color="auto"/>
              <w:right w:val="nil"/>
            </w:tcBorders>
            <w:shd w:val="clear" w:color="auto" w:fill="auto"/>
            <w:vAlign w:val="bottom"/>
            <w:hideMark/>
          </w:tcPr>
          <w:p w14:paraId="0359E91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single" w:sz="8" w:space="0" w:color="auto"/>
              <w:bottom w:val="single" w:sz="8" w:space="0" w:color="auto"/>
              <w:right w:val="single" w:sz="8" w:space="0" w:color="auto"/>
            </w:tcBorders>
            <w:shd w:val="clear" w:color="auto" w:fill="auto"/>
            <w:vAlign w:val="bottom"/>
            <w:hideMark/>
          </w:tcPr>
          <w:p w14:paraId="2B4F76D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28ED00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auto"/>
              <w:right w:val="single" w:sz="8" w:space="0" w:color="auto"/>
            </w:tcBorders>
            <w:shd w:val="clear" w:color="auto" w:fill="auto"/>
            <w:vAlign w:val="bottom"/>
            <w:hideMark/>
          </w:tcPr>
          <w:p w14:paraId="5BCF5FA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auto"/>
              <w:right w:val="single" w:sz="8" w:space="0" w:color="auto"/>
            </w:tcBorders>
            <w:shd w:val="clear" w:color="auto" w:fill="auto"/>
            <w:vAlign w:val="bottom"/>
            <w:hideMark/>
          </w:tcPr>
          <w:p w14:paraId="3D96667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4DE584F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792A2E1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auto"/>
              <w:right w:val="single" w:sz="8" w:space="0" w:color="auto"/>
            </w:tcBorders>
            <w:shd w:val="clear" w:color="auto" w:fill="auto"/>
            <w:vAlign w:val="bottom"/>
            <w:hideMark/>
          </w:tcPr>
          <w:p w14:paraId="623679E6"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1</w:t>
            </w:r>
          </w:p>
        </w:tc>
        <w:tc>
          <w:tcPr>
            <w:tcW w:w="431" w:type="pct"/>
            <w:tcBorders>
              <w:top w:val="nil"/>
              <w:left w:val="nil"/>
              <w:bottom w:val="single" w:sz="8" w:space="0" w:color="auto"/>
              <w:right w:val="single" w:sz="8" w:space="0" w:color="auto"/>
            </w:tcBorders>
            <w:shd w:val="clear" w:color="auto" w:fill="auto"/>
            <w:vAlign w:val="bottom"/>
            <w:hideMark/>
          </w:tcPr>
          <w:p w14:paraId="5EEF5514"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79C8BC28" w14:textId="77777777" w:rsidTr="0037560C">
        <w:trPr>
          <w:trHeight w:val="780"/>
        </w:trPr>
        <w:tc>
          <w:tcPr>
            <w:tcW w:w="261" w:type="pct"/>
            <w:tcBorders>
              <w:top w:val="nil"/>
              <w:left w:val="single" w:sz="8" w:space="0" w:color="auto"/>
              <w:bottom w:val="single" w:sz="8" w:space="0" w:color="auto"/>
              <w:right w:val="single" w:sz="8" w:space="0" w:color="auto"/>
            </w:tcBorders>
            <w:shd w:val="clear" w:color="auto" w:fill="auto"/>
            <w:vAlign w:val="bottom"/>
            <w:hideMark/>
          </w:tcPr>
          <w:p w14:paraId="72EF75BE" w14:textId="77777777" w:rsidR="002D1FA9" w:rsidRPr="002D1FA9" w:rsidRDefault="002D1FA9" w:rsidP="0037560C">
            <w:pPr>
              <w:spacing w:after="0" w:line="240" w:lineRule="auto"/>
              <w:rPr>
                <w:rFonts w:eastAsia="Times New Roman"/>
                <w:b/>
                <w:bCs/>
                <w:color w:val="000000"/>
                <w:sz w:val="20"/>
                <w:szCs w:val="20"/>
              </w:rPr>
            </w:pPr>
            <w:r w:rsidRPr="002D1FA9">
              <w:rPr>
                <w:rFonts w:eastAsia="Times New Roman"/>
                <w:b/>
                <w:bCs/>
                <w:color w:val="000000"/>
                <w:sz w:val="20"/>
                <w:szCs w:val="20"/>
              </w:rPr>
              <w:t>3</w:t>
            </w:r>
          </w:p>
        </w:tc>
        <w:tc>
          <w:tcPr>
            <w:tcW w:w="1325" w:type="pct"/>
            <w:tcBorders>
              <w:top w:val="nil"/>
              <w:left w:val="nil"/>
              <w:bottom w:val="single" w:sz="8" w:space="0" w:color="auto"/>
              <w:right w:val="single" w:sz="8" w:space="0" w:color="auto"/>
            </w:tcBorders>
            <w:shd w:val="clear" w:color="auto" w:fill="auto"/>
            <w:vAlign w:val="bottom"/>
            <w:hideMark/>
          </w:tcPr>
          <w:p w14:paraId="6784EB50"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Zones de santé dans les provinces ciblées avec des plans annuels et des rapports sur la base des données améliorées du SNIS disponible sur internet.</w:t>
            </w:r>
          </w:p>
        </w:tc>
        <w:tc>
          <w:tcPr>
            <w:tcW w:w="465" w:type="pct"/>
            <w:tcBorders>
              <w:top w:val="nil"/>
              <w:left w:val="nil"/>
              <w:bottom w:val="single" w:sz="8" w:space="0" w:color="auto"/>
              <w:right w:val="single" w:sz="8" w:space="0" w:color="auto"/>
            </w:tcBorders>
            <w:shd w:val="clear" w:color="auto" w:fill="auto"/>
            <w:vAlign w:val="bottom"/>
            <w:hideMark/>
          </w:tcPr>
          <w:p w14:paraId="71444E7A"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tcBorders>
              <w:top w:val="nil"/>
              <w:left w:val="nil"/>
              <w:bottom w:val="single" w:sz="8" w:space="0" w:color="000000"/>
              <w:right w:val="single" w:sz="8" w:space="0" w:color="000000"/>
            </w:tcBorders>
            <w:shd w:val="clear" w:color="auto" w:fill="auto"/>
            <w:vAlign w:val="bottom"/>
            <w:hideMark/>
          </w:tcPr>
          <w:p w14:paraId="6483862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auto"/>
              <w:right w:val="nil"/>
            </w:tcBorders>
            <w:shd w:val="clear" w:color="auto" w:fill="auto"/>
            <w:vAlign w:val="bottom"/>
            <w:hideMark/>
          </w:tcPr>
          <w:p w14:paraId="24BF168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single" w:sz="8" w:space="0" w:color="auto"/>
              <w:bottom w:val="single" w:sz="8" w:space="0" w:color="auto"/>
              <w:right w:val="single" w:sz="8" w:space="0" w:color="auto"/>
            </w:tcBorders>
            <w:shd w:val="clear" w:color="auto" w:fill="auto"/>
            <w:vAlign w:val="bottom"/>
            <w:hideMark/>
          </w:tcPr>
          <w:p w14:paraId="51D0435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3DB5061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auto"/>
              <w:right w:val="single" w:sz="8" w:space="0" w:color="auto"/>
            </w:tcBorders>
            <w:shd w:val="clear" w:color="auto" w:fill="auto"/>
            <w:vAlign w:val="bottom"/>
            <w:hideMark/>
          </w:tcPr>
          <w:p w14:paraId="64B7D99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auto"/>
              <w:right w:val="single" w:sz="8" w:space="0" w:color="auto"/>
            </w:tcBorders>
            <w:shd w:val="clear" w:color="auto" w:fill="auto"/>
            <w:vAlign w:val="bottom"/>
            <w:hideMark/>
          </w:tcPr>
          <w:p w14:paraId="7C22DD3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608CF6F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1AEA80D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auto"/>
              <w:right w:val="single" w:sz="8" w:space="0" w:color="auto"/>
            </w:tcBorders>
            <w:shd w:val="clear" w:color="auto" w:fill="auto"/>
            <w:vAlign w:val="bottom"/>
            <w:hideMark/>
          </w:tcPr>
          <w:p w14:paraId="315DE3F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90</w:t>
            </w:r>
          </w:p>
        </w:tc>
        <w:tc>
          <w:tcPr>
            <w:tcW w:w="431" w:type="pct"/>
            <w:tcBorders>
              <w:top w:val="nil"/>
              <w:left w:val="nil"/>
              <w:bottom w:val="single" w:sz="8" w:space="0" w:color="auto"/>
              <w:right w:val="single" w:sz="8" w:space="0" w:color="auto"/>
            </w:tcBorders>
            <w:shd w:val="clear" w:color="auto" w:fill="auto"/>
            <w:vAlign w:val="bottom"/>
            <w:hideMark/>
          </w:tcPr>
          <w:p w14:paraId="7A0054F9"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7D04BC" w14:paraId="25D10EEE" w14:textId="77777777" w:rsidTr="0037560C">
        <w:trPr>
          <w:trHeight w:val="1035"/>
        </w:trPr>
        <w:tc>
          <w:tcPr>
            <w:tcW w:w="261" w:type="pct"/>
            <w:tcBorders>
              <w:top w:val="nil"/>
              <w:left w:val="single" w:sz="8" w:space="0" w:color="auto"/>
              <w:bottom w:val="single" w:sz="8" w:space="0" w:color="auto"/>
              <w:right w:val="single" w:sz="8" w:space="0" w:color="auto"/>
            </w:tcBorders>
            <w:shd w:val="clear" w:color="auto" w:fill="auto"/>
            <w:vAlign w:val="bottom"/>
            <w:hideMark/>
          </w:tcPr>
          <w:p w14:paraId="24E7335C" w14:textId="77777777" w:rsidR="002D1FA9" w:rsidRPr="002D1FA9" w:rsidRDefault="002D1FA9" w:rsidP="0037560C">
            <w:pPr>
              <w:spacing w:after="0" w:line="240" w:lineRule="auto"/>
              <w:rPr>
                <w:rFonts w:eastAsia="Times New Roman"/>
                <w:b/>
                <w:bCs/>
                <w:color w:val="000000"/>
                <w:sz w:val="20"/>
                <w:szCs w:val="20"/>
              </w:rPr>
            </w:pPr>
            <w:r w:rsidRPr="002D1FA9">
              <w:rPr>
                <w:rFonts w:eastAsia="Times New Roman"/>
                <w:b/>
                <w:bCs/>
                <w:color w:val="000000"/>
                <w:sz w:val="20"/>
                <w:szCs w:val="20"/>
              </w:rPr>
              <w:t>4</w:t>
            </w:r>
          </w:p>
        </w:tc>
        <w:tc>
          <w:tcPr>
            <w:tcW w:w="1325" w:type="pct"/>
            <w:tcBorders>
              <w:top w:val="nil"/>
              <w:left w:val="nil"/>
              <w:bottom w:val="single" w:sz="8" w:space="0" w:color="auto"/>
              <w:right w:val="single" w:sz="8" w:space="0" w:color="auto"/>
            </w:tcBorders>
            <w:shd w:val="clear" w:color="auto" w:fill="auto"/>
            <w:vAlign w:val="bottom"/>
            <w:hideMark/>
          </w:tcPr>
          <w:p w14:paraId="54AA0864"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Proportion de points d’action prioritaires dans le premier plan d’action des Indicateurs de prestation de services (SDI) qui ont été complétés</w:t>
            </w:r>
          </w:p>
        </w:tc>
        <w:tc>
          <w:tcPr>
            <w:tcW w:w="465" w:type="pct"/>
            <w:tcBorders>
              <w:top w:val="nil"/>
              <w:left w:val="nil"/>
              <w:bottom w:val="single" w:sz="8" w:space="0" w:color="auto"/>
              <w:right w:val="single" w:sz="8" w:space="0" w:color="auto"/>
            </w:tcBorders>
            <w:shd w:val="clear" w:color="auto" w:fill="auto"/>
            <w:vAlign w:val="bottom"/>
            <w:hideMark/>
          </w:tcPr>
          <w:p w14:paraId="1A10D878"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tcBorders>
              <w:top w:val="nil"/>
              <w:left w:val="nil"/>
              <w:bottom w:val="single" w:sz="8" w:space="0" w:color="auto"/>
              <w:right w:val="single" w:sz="8" w:space="0" w:color="auto"/>
            </w:tcBorders>
            <w:shd w:val="clear" w:color="auto" w:fill="auto"/>
            <w:vAlign w:val="bottom"/>
            <w:hideMark/>
          </w:tcPr>
          <w:p w14:paraId="134D3BE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auto"/>
              <w:right w:val="nil"/>
            </w:tcBorders>
            <w:shd w:val="clear" w:color="auto" w:fill="auto"/>
            <w:vAlign w:val="bottom"/>
            <w:hideMark/>
          </w:tcPr>
          <w:p w14:paraId="14FFCB4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single" w:sz="8" w:space="0" w:color="auto"/>
              <w:bottom w:val="single" w:sz="8" w:space="0" w:color="auto"/>
              <w:right w:val="single" w:sz="8" w:space="0" w:color="auto"/>
            </w:tcBorders>
            <w:shd w:val="clear" w:color="auto" w:fill="auto"/>
            <w:vAlign w:val="bottom"/>
            <w:hideMark/>
          </w:tcPr>
          <w:p w14:paraId="3425819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1DEA275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auto"/>
              <w:right w:val="single" w:sz="8" w:space="0" w:color="auto"/>
            </w:tcBorders>
            <w:shd w:val="clear" w:color="auto" w:fill="auto"/>
            <w:vAlign w:val="bottom"/>
            <w:hideMark/>
          </w:tcPr>
          <w:p w14:paraId="3AF352F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auto"/>
              <w:right w:val="single" w:sz="8" w:space="0" w:color="auto"/>
            </w:tcBorders>
            <w:shd w:val="clear" w:color="auto" w:fill="auto"/>
            <w:vAlign w:val="bottom"/>
            <w:hideMark/>
          </w:tcPr>
          <w:p w14:paraId="23C300A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0AFD23F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2C58B88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auto"/>
              <w:right w:val="single" w:sz="8" w:space="0" w:color="auto"/>
            </w:tcBorders>
            <w:shd w:val="clear" w:color="auto" w:fill="auto"/>
            <w:vAlign w:val="bottom"/>
            <w:hideMark/>
          </w:tcPr>
          <w:p w14:paraId="62AB128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80</w:t>
            </w:r>
          </w:p>
        </w:tc>
        <w:tc>
          <w:tcPr>
            <w:tcW w:w="431" w:type="pct"/>
            <w:tcBorders>
              <w:top w:val="nil"/>
              <w:left w:val="nil"/>
              <w:bottom w:val="single" w:sz="8" w:space="0" w:color="auto"/>
              <w:right w:val="single" w:sz="8" w:space="0" w:color="auto"/>
            </w:tcBorders>
            <w:shd w:val="clear" w:color="auto" w:fill="auto"/>
            <w:vAlign w:val="bottom"/>
            <w:hideMark/>
          </w:tcPr>
          <w:p w14:paraId="57F324A1" w14:textId="44664237" w:rsidR="002D1FA9" w:rsidRPr="002D1FA9" w:rsidRDefault="002D1FA9" w:rsidP="0037560C">
            <w:pPr>
              <w:spacing w:after="0" w:line="240" w:lineRule="auto"/>
              <w:jc w:val="center"/>
              <w:rPr>
                <w:rFonts w:eastAsia="Times New Roman"/>
                <w:color w:val="000000"/>
                <w:sz w:val="20"/>
                <w:szCs w:val="20"/>
                <w:lang w:val="fr-FR"/>
              </w:rPr>
            </w:pPr>
            <w:r w:rsidRPr="002D1FA9">
              <w:rPr>
                <w:rFonts w:eastAsia="Times New Roman"/>
                <w:color w:val="000000"/>
                <w:sz w:val="20"/>
                <w:szCs w:val="20"/>
                <w:lang w:val="fr-FR"/>
              </w:rPr>
              <w:t>Suivi tous les 6 mois à partir de l’année 2</w:t>
            </w:r>
          </w:p>
        </w:tc>
      </w:tr>
      <w:tr w:rsidR="002D1FA9" w:rsidRPr="002D1FA9" w14:paraId="3332F2F5" w14:textId="77777777" w:rsidTr="0037560C">
        <w:trPr>
          <w:trHeight w:val="525"/>
        </w:trPr>
        <w:tc>
          <w:tcPr>
            <w:tcW w:w="261" w:type="pct"/>
            <w:tcBorders>
              <w:top w:val="nil"/>
              <w:left w:val="single" w:sz="8" w:space="0" w:color="auto"/>
              <w:bottom w:val="single" w:sz="8" w:space="0" w:color="auto"/>
              <w:right w:val="single" w:sz="8" w:space="0" w:color="auto"/>
            </w:tcBorders>
            <w:shd w:val="clear" w:color="auto" w:fill="auto"/>
            <w:vAlign w:val="bottom"/>
            <w:hideMark/>
          </w:tcPr>
          <w:p w14:paraId="60367D27" w14:textId="77777777" w:rsidR="002D1FA9" w:rsidRPr="002D1FA9" w:rsidRDefault="002D1FA9" w:rsidP="0037560C">
            <w:pPr>
              <w:spacing w:after="0" w:line="240" w:lineRule="auto"/>
              <w:rPr>
                <w:rFonts w:eastAsia="Times New Roman"/>
                <w:b/>
                <w:bCs/>
                <w:color w:val="000000"/>
                <w:sz w:val="20"/>
                <w:szCs w:val="20"/>
              </w:rPr>
            </w:pPr>
            <w:r w:rsidRPr="002D1FA9">
              <w:rPr>
                <w:rFonts w:eastAsia="Times New Roman"/>
                <w:b/>
                <w:bCs/>
                <w:color w:val="000000"/>
                <w:sz w:val="20"/>
                <w:szCs w:val="20"/>
              </w:rPr>
              <w:t>5</w:t>
            </w:r>
          </w:p>
        </w:tc>
        <w:tc>
          <w:tcPr>
            <w:tcW w:w="1325" w:type="pct"/>
            <w:tcBorders>
              <w:top w:val="nil"/>
              <w:left w:val="nil"/>
              <w:bottom w:val="single" w:sz="8" w:space="0" w:color="auto"/>
              <w:right w:val="single" w:sz="8" w:space="0" w:color="auto"/>
            </w:tcBorders>
            <w:shd w:val="clear" w:color="auto" w:fill="auto"/>
            <w:vAlign w:val="bottom"/>
            <w:hideMark/>
          </w:tcPr>
          <w:p w14:paraId="256C1FF4"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Stratégie nationale LMIS, intégrant les acquis de la phase pilote, adopté par les parties prenantes</w:t>
            </w:r>
          </w:p>
        </w:tc>
        <w:tc>
          <w:tcPr>
            <w:tcW w:w="465" w:type="pct"/>
            <w:tcBorders>
              <w:top w:val="nil"/>
              <w:left w:val="nil"/>
              <w:bottom w:val="single" w:sz="8" w:space="0" w:color="auto"/>
              <w:right w:val="single" w:sz="8" w:space="0" w:color="auto"/>
            </w:tcBorders>
            <w:shd w:val="clear" w:color="auto" w:fill="auto"/>
            <w:vAlign w:val="bottom"/>
            <w:hideMark/>
          </w:tcPr>
          <w:p w14:paraId="4012A4DD"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auto"/>
              <w:right w:val="single" w:sz="8" w:space="0" w:color="auto"/>
            </w:tcBorders>
            <w:shd w:val="clear" w:color="auto" w:fill="auto"/>
            <w:vAlign w:val="bottom"/>
            <w:hideMark/>
          </w:tcPr>
          <w:p w14:paraId="264B883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auto"/>
              <w:right w:val="nil"/>
            </w:tcBorders>
            <w:shd w:val="clear" w:color="auto" w:fill="auto"/>
            <w:vAlign w:val="bottom"/>
            <w:hideMark/>
          </w:tcPr>
          <w:p w14:paraId="3AB60006"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0</w:t>
            </w:r>
          </w:p>
        </w:tc>
        <w:tc>
          <w:tcPr>
            <w:tcW w:w="253" w:type="pct"/>
            <w:tcBorders>
              <w:top w:val="nil"/>
              <w:left w:val="single" w:sz="8" w:space="0" w:color="auto"/>
              <w:bottom w:val="single" w:sz="8" w:space="0" w:color="auto"/>
              <w:right w:val="single" w:sz="8" w:space="0" w:color="auto"/>
            </w:tcBorders>
            <w:shd w:val="clear" w:color="auto" w:fill="auto"/>
            <w:vAlign w:val="bottom"/>
            <w:hideMark/>
          </w:tcPr>
          <w:p w14:paraId="732BAFA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6DFFADA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auto"/>
              <w:right w:val="single" w:sz="8" w:space="0" w:color="auto"/>
            </w:tcBorders>
            <w:shd w:val="clear" w:color="auto" w:fill="auto"/>
            <w:vAlign w:val="bottom"/>
            <w:hideMark/>
          </w:tcPr>
          <w:p w14:paraId="04B6D5A4"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0</w:t>
            </w:r>
          </w:p>
        </w:tc>
        <w:tc>
          <w:tcPr>
            <w:tcW w:w="253" w:type="pct"/>
            <w:tcBorders>
              <w:top w:val="nil"/>
              <w:left w:val="nil"/>
              <w:bottom w:val="single" w:sz="8" w:space="0" w:color="auto"/>
              <w:right w:val="single" w:sz="8" w:space="0" w:color="auto"/>
            </w:tcBorders>
            <w:shd w:val="clear" w:color="auto" w:fill="auto"/>
            <w:vAlign w:val="bottom"/>
            <w:hideMark/>
          </w:tcPr>
          <w:p w14:paraId="752E9791"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17798F36"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 </w:t>
            </w:r>
          </w:p>
        </w:tc>
        <w:tc>
          <w:tcPr>
            <w:tcW w:w="253" w:type="pct"/>
            <w:tcBorders>
              <w:top w:val="nil"/>
              <w:left w:val="nil"/>
              <w:bottom w:val="single" w:sz="8" w:space="0" w:color="auto"/>
              <w:right w:val="single" w:sz="8" w:space="0" w:color="auto"/>
            </w:tcBorders>
            <w:shd w:val="clear" w:color="auto" w:fill="auto"/>
            <w:vAlign w:val="bottom"/>
            <w:hideMark/>
          </w:tcPr>
          <w:p w14:paraId="2D77D612" w14:textId="77777777" w:rsidR="002D1FA9" w:rsidRPr="002D1FA9" w:rsidRDefault="002D1FA9" w:rsidP="0037560C">
            <w:pPr>
              <w:spacing w:after="0" w:line="240" w:lineRule="auto"/>
              <w:jc w:val="right"/>
              <w:rPr>
                <w:rFonts w:eastAsia="Times New Roman"/>
                <w:sz w:val="20"/>
                <w:szCs w:val="20"/>
              </w:rPr>
            </w:pPr>
            <w:r w:rsidRPr="002D1FA9">
              <w:rPr>
                <w:rFonts w:eastAsia="Times New Roman"/>
                <w:sz w:val="20"/>
                <w:szCs w:val="20"/>
              </w:rPr>
              <w:t> </w:t>
            </w:r>
          </w:p>
        </w:tc>
        <w:tc>
          <w:tcPr>
            <w:tcW w:w="335" w:type="pct"/>
            <w:tcBorders>
              <w:top w:val="nil"/>
              <w:left w:val="nil"/>
              <w:bottom w:val="single" w:sz="8" w:space="0" w:color="auto"/>
              <w:right w:val="single" w:sz="8" w:space="0" w:color="auto"/>
            </w:tcBorders>
            <w:shd w:val="clear" w:color="auto" w:fill="auto"/>
            <w:vAlign w:val="bottom"/>
            <w:hideMark/>
          </w:tcPr>
          <w:p w14:paraId="695C470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431" w:type="pct"/>
            <w:tcBorders>
              <w:top w:val="nil"/>
              <w:left w:val="nil"/>
              <w:bottom w:val="single" w:sz="8" w:space="0" w:color="auto"/>
              <w:right w:val="single" w:sz="8" w:space="0" w:color="auto"/>
            </w:tcBorders>
            <w:shd w:val="clear" w:color="auto" w:fill="auto"/>
            <w:vAlign w:val="bottom"/>
            <w:hideMark/>
          </w:tcPr>
          <w:p w14:paraId="141CE2BC"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w:t>
            </w:r>
          </w:p>
        </w:tc>
      </w:tr>
      <w:tr w:rsidR="002D1FA9" w:rsidRPr="002D1FA9" w14:paraId="79E7E02F" w14:textId="77777777" w:rsidTr="002D1FA9">
        <w:trPr>
          <w:trHeight w:val="255"/>
        </w:trPr>
        <w:tc>
          <w:tcPr>
            <w:tcW w:w="261" w:type="pct"/>
            <w:tcBorders>
              <w:top w:val="nil"/>
              <w:left w:val="single" w:sz="8" w:space="0" w:color="auto"/>
              <w:bottom w:val="nil"/>
              <w:right w:val="nil"/>
            </w:tcBorders>
            <w:shd w:val="clear" w:color="auto" w:fill="auto"/>
            <w:vAlign w:val="bottom"/>
            <w:hideMark/>
          </w:tcPr>
          <w:p w14:paraId="449F5E5F" w14:textId="77777777" w:rsidR="002D1FA9" w:rsidRPr="002D1FA9" w:rsidRDefault="002D1FA9" w:rsidP="002D1FA9">
            <w:pPr>
              <w:spacing w:after="0" w:line="240" w:lineRule="auto"/>
              <w:rPr>
                <w:rFonts w:eastAsia="Times New Roman"/>
                <w:b/>
                <w:bCs/>
                <w:color w:val="FFFFFF"/>
                <w:sz w:val="20"/>
                <w:szCs w:val="20"/>
              </w:rPr>
            </w:pPr>
            <w:r w:rsidRPr="002D1FA9">
              <w:rPr>
                <w:rFonts w:eastAsia="Times New Roman"/>
                <w:b/>
                <w:bCs/>
                <w:color w:val="FFFFFF"/>
                <w:sz w:val="20"/>
                <w:szCs w:val="20"/>
              </w:rPr>
              <w:t>.</w:t>
            </w:r>
          </w:p>
        </w:tc>
        <w:tc>
          <w:tcPr>
            <w:tcW w:w="1325" w:type="pct"/>
            <w:tcBorders>
              <w:top w:val="nil"/>
              <w:left w:val="nil"/>
              <w:bottom w:val="nil"/>
              <w:right w:val="nil"/>
            </w:tcBorders>
            <w:shd w:val="clear" w:color="auto" w:fill="auto"/>
            <w:vAlign w:val="bottom"/>
            <w:hideMark/>
          </w:tcPr>
          <w:p w14:paraId="30F43349" w14:textId="77777777" w:rsidR="002D1FA9" w:rsidRPr="002D1FA9" w:rsidRDefault="002D1FA9" w:rsidP="002D1FA9">
            <w:pPr>
              <w:spacing w:after="0" w:line="240" w:lineRule="auto"/>
              <w:rPr>
                <w:rFonts w:eastAsia="Times New Roman"/>
                <w:b/>
                <w:bCs/>
                <w:color w:val="FFFFFF"/>
                <w:sz w:val="20"/>
                <w:szCs w:val="20"/>
              </w:rPr>
            </w:pPr>
          </w:p>
        </w:tc>
        <w:tc>
          <w:tcPr>
            <w:tcW w:w="465" w:type="pct"/>
            <w:tcBorders>
              <w:top w:val="nil"/>
              <w:left w:val="nil"/>
              <w:bottom w:val="nil"/>
              <w:right w:val="nil"/>
            </w:tcBorders>
            <w:shd w:val="clear" w:color="auto" w:fill="auto"/>
            <w:vAlign w:val="bottom"/>
            <w:hideMark/>
          </w:tcPr>
          <w:p w14:paraId="23604A05" w14:textId="77777777" w:rsidR="002D1FA9" w:rsidRPr="002D1FA9" w:rsidRDefault="002D1FA9" w:rsidP="002D1FA9">
            <w:pPr>
              <w:spacing w:after="0" w:line="240" w:lineRule="auto"/>
              <w:rPr>
                <w:rFonts w:eastAsia="Times New Roman"/>
                <w:sz w:val="20"/>
                <w:szCs w:val="20"/>
              </w:rPr>
            </w:pPr>
          </w:p>
        </w:tc>
        <w:tc>
          <w:tcPr>
            <w:tcW w:w="413" w:type="pct"/>
            <w:tcBorders>
              <w:top w:val="nil"/>
              <w:left w:val="nil"/>
              <w:bottom w:val="nil"/>
              <w:right w:val="nil"/>
            </w:tcBorders>
            <w:shd w:val="clear" w:color="auto" w:fill="auto"/>
            <w:vAlign w:val="bottom"/>
            <w:hideMark/>
          </w:tcPr>
          <w:p w14:paraId="400454C5" w14:textId="77777777" w:rsidR="002D1FA9" w:rsidRPr="002D1FA9" w:rsidRDefault="002D1FA9" w:rsidP="002D1FA9">
            <w:pPr>
              <w:spacing w:after="0" w:line="240" w:lineRule="auto"/>
              <w:rPr>
                <w:rFonts w:eastAsia="Times New Roman"/>
                <w:sz w:val="20"/>
                <w:szCs w:val="20"/>
              </w:rPr>
            </w:pPr>
          </w:p>
        </w:tc>
        <w:tc>
          <w:tcPr>
            <w:tcW w:w="238" w:type="pct"/>
            <w:tcBorders>
              <w:top w:val="nil"/>
              <w:left w:val="nil"/>
              <w:bottom w:val="nil"/>
              <w:right w:val="nil"/>
            </w:tcBorders>
            <w:shd w:val="clear" w:color="auto" w:fill="auto"/>
            <w:vAlign w:val="bottom"/>
            <w:hideMark/>
          </w:tcPr>
          <w:p w14:paraId="0134D0D4" w14:textId="77777777" w:rsidR="002D1FA9" w:rsidRPr="002D1FA9" w:rsidRDefault="002D1FA9" w:rsidP="002D1FA9">
            <w:pPr>
              <w:spacing w:after="0" w:line="240" w:lineRule="auto"/>
              <w:rPr>
                <w:rFonts w:eastAsia="Times New Roman"/>
                <w:sz w:val="20"/>
                <w:szCs w:val="20"/>
              </w:rPr>
            </w:pPr>
          </w:p>
        </w:tc>
        <w:tc>
          <w:tcPr>
            <w:tcW w:w="253" w:type="pct"/>
            <w:tcBorders>
              <w:top w:val="nil"/>
              <w:left w:val="nil"/>
              <w:bottom w:val="nil"/>
              <w:right w:val="nil"/>
            </w:tcBorders>
            <w:shd w:val="clear" w:color="auto" w:fill="auto"/>
            <w:vAlign w:val="bottom"/>
            <w:hideMark/>
          </w:tcPr>
          <w:p w14:paraId="623BFE86" w14:textId="77777777" w:rsidR="002D1FA9" w:rsidRPr="002D1FA9" w:rsidRDefault="002D1FA9" w:rsidP="002D1FA9">
            <w:pPr>
              <w:spacing w:after="0" w:line="240" w:lineRule="auto"/>
              <w:rPr>
                <w:rFonts w:eastAsia="Times New Roman"/>
                <w:sz w:val="20"/>
                <w:szCs w:val="20"/>
              </w:rPr>
            </w:pPr>
          </w:p>
        </w:tc>
        <w:tc>
          <w:tcPr>
            <w:tcW w:w="260" w:type="pct"/>
            <w:tcBorders>
              <w:top w:val="nil"/>
              <w:left w:val="nil"/>
              <w:bottom w:val="nil"/>
              <w:right w:val="nil"/>
            </w:tcBorders>
            <w:shd w:val="clear" w:color="auto" w:fill="auto"/>
            <w:vAlign w:val="bottom"/>
            <w:hideMark/>
          </w:tcPr>
          <w:p w14:paraId="32A04CA6" w14:textId="77777777" w:rsidR="002D1FA9" w:rsidRPr="002D1FA9" w:rsidRDefault="002D1FA9" w:rsidP="002D1FA9">
            <w:pPr>
              <w:spacing w:after="0" w:line="240" w:lineRule="auto"/>
              <w:rPr>
                <w:rFonts w:eastAsia="Times New Roman"/>
                <w:sz w:val="20"/>
                <w:szCs w:val="20"/>
              </w:rPr>
            </w:pPr>
          </w:p>
        </w:tc>
        <w:tc>
          <w:tcPr>
            <w:tcW w:w="260" w:type="pct"/>
            <w:tcBorders>
              <w:top w:val="nil"/>
              <w:left w:val="nil"/>
              <w:bottom w:val="nil"/>
              <w:right w:val="nil"/>
            </w:tcBorders>
            <w:shd w:val="clear" w:color="auto" w:fill="auto"/>
            <w:vAlign w:val="bottom"/>
            <w:hideMark/>
          </w:tcPr>
          <w:p w14:paraId="4AA945CF" w14:textId="77777777" w:rsidR="002D1FA9" w:rsidRPr="002D1FA9" w:rsidRDefault="002D1FA9" w:rsidP="002D1FA9">
            <w:pPr>
              <w:spacing w:after="0" w:line="240" w:lineRule="auto"/>
              <w:rPr>
                <w:rFonts w:eastAsia="Times New Roman"/>
                <w:sz w:val="20"/>
                <w:szCs w:val="20"/>
              </w:rPr>
            </w:pPr>
          </w:p>
        </w:tc>
        <w:tc>
          <w:tcPr>
            <w:tcW w:w="253" w:type="pct"/>
            <w:tcBorders>
              <w:top w:val="nil"/>
              <w:left w:val="nil"/>
              <w:bottom w:val="nil"/>
              <w:right w:val="nil"/>
            </w:tcBorders>
            <w:shd w:val="clear" w:color="auto" w:fill="auto"/>
            <w:vAlign w:val="bottom"/>
            <w:hideMark/>
          </w:tcPr>
          <w:p w14:paraId="5AE7F74E" w14:textId="77777777" w:rsidR="002D1FA9" w:rsidRPr="002D1FA9" w:rsidRDefault="002D1FA9" w:rsidP="002D1FA9">
            <w:pPr>
              <w:spacing w:after="0" w:line="240" w:lineRule="auto"/>
              <w:rPr>
                <w:rFonts w:eastAsia="Times New Roman"/>
                <w:sz w:val="20"/>
                <w:szCs w:val="20"/>
              </w:rPr>
            </w:pPr>
          </w:p>
        </w:tc>
        <w:tc>
          <w:tcPr>
            <w:tcW w:w="253" w:type="pct"/>
            <w:tcBorders>
              <w:top w:val="nil"/>
              <w:left w:val="nil"/>
              <w:bottom w:val="nil"/>
              <w:right w:val="nil"/>
            </w:tcBorders>
            <w:shd w:val="clear" w:color="auto" w:fill="auto"/>
            <w:vAlign w:val="bottom"/>
            <w:hideMark/>
          </w:tcPr>
          <w:p w14:paraId="100754C3" w14:textId="77777777" w:rsidR="002D1FA9" w:rsidRPr="002D1FA9" w:rsidRDefault="002D1FA9" w:rsidP="002D1FA9">
            <w:pPr>
              <w:spacing w:after="0" w:line="240" w:lineRule="auto"/>
              <w:rPr>
                <w:rFonts w:eastAsia="Times New Roman"/>
                <w:sz w:val="20"/>
                <w:szCs w:val="20"/>
              </w:rPr>
            </w:pPr>
          </w:p>
        </w:tc>
        <w:tc>
          <w:tcPr>
            <w:tcW w:w="253" w:type="pct"/>
            <w:tcBorders>
              <w:top w:val="nil"/>
              <w:left w:val="nil"/>
              <w:bottom w:val="nil"/>
              <w:right w:val="nil"/>
            </w:tcBorders>
            <w:shd w:val="clear" w:color="auto" w:fill="auto"/>
            <w:vAlign w:val="bottom"/>
            <w:hideMark/>
          </w:tcPr>
          <w:p w14:paraId="044B8620" w14:textId="77777777" w:rsidR="002D1FA9" w:rsidRPr="002D1FA9" w:rsidRDefault="002D1FA9" w:rsidP="002D1FA9">
            <w:pPr>
              <w:spacing w:after="0" w:line="240" w:lineRule="auto"/>
              <w:rPr>
                <w:rFonts w:eastAsia="Times New Roman"/>
                <w:sz w:val="20"/>
                <w:szCs w:val="20"/>
              </w:rPr>
            </w:pPr>
          </w:p>
        </w:tc>
        <w:tc>
          <w:tcPr>
            <w:tcW w:w="335" w:type="pct"/>
            <w:tcBorders>
              <w:top w:val="nil"/>
              <w:left w:val="nil"/>
              <w:bottom w:val="nil"/>
              <w:right w:val="nil"/>
            </w:tcBorders>
            <w:shd w:val="clear" w:color="auto" w:fill="auto"/>
            <w:vAlign w:val="bottom"/>
            <w:hideMark/>
          </w:tcPr>
          <w:p w14:paraId="60651F76" w14:textId="77777777" w:rsidR="002D1FA9" w:rsidRPr="002D1FA9" w:rsidRDefault="002D1FA9" w:rsidP="002D1FA9">
            <w:pPr>
              <w:spacing w:after="0" w:line="240" w:lineRule="auto"/>
              <w:rPr>
                <w:rFonts w:eastAsia="Times New Roman"/>
                <w:sz w:val="20"/>
                <w:szCs w:val="20"/>
              </w:rPr>
            </w:pPr>
          </w:p>
        </w:tc>
        <w:tc>
          <w:tcPr>
            <w:tcW w:w="431" w:type="pct"/>
            <w:tcBorders>
              <w:top w:val="nil"/>
              <w:left w:val="nil"/>
              <w:bottom w:val="nil"/>
              <w:right w:val="nil"/>
            </w:tcBorders>
            <w:shd w:val="clear" w:color="auto" w:fill="auto"/>
            <w:vAlign w:val="bottom"/>
            <w:hideMark/>
          </w:tcPr>
          <w:p w14:paraId="2274E7A8" w14:textId="77777777" w:rsidR="002D1FA9" w:rsidRPr="002D1FA9" w:rsidRDefault="002D1FA9" w:rsidP="002D1FA9">
            <w:pPr>
              <w:spacing w:after="0" w:line="240" w:lineRule="auto"/>
              <w:rPr>
                <w:rFonts w:eastAsia="Times New Roman"/>
                <w:sz w:val="20"/>
                <w:szCs w:val="20"/>
              </w:rPr>
            </w:pPr>
          </w:p>
        </w:tc>
      </w:tr>
      <w:tr w:rsidR="002D1FA9" w:rsidRPr="002D1FA9" w14:paraId="71FA79EA" w14:textId="77777777" w:rsidTr="002D1FA9">
        <w:trPr>
          <w:trHeight w:val="270"/>
        </w:trPr>
        <w:tc>
          <w:tcPr>
            <w:tcW w:w="5000" w:type="pct"/>
            <w:gridSpan w:val="13"/>
            <w:tcBorders>
              <w:top w:val="single" w:sz="4" w:space="0" w:color="auto"/>
              <w:left w:val="single" w:sz="4" w:space="0" w:color="auto"/>
              <w:bottom w:val="single" w:sz="4" w:space="0" w:color="auto"/>
              <w:right w:val="nil"/>
            </w:tcBorders>
            <w:shd w:val="clear" w:color="auto" w:fill="auto"/>
            <w:vAlign w:val="bottom"/>
            <w:hideMark/>
          </w:tcPr>
          <w:p w14:paraId="4F906834" w14:textId="77777777" w:rsidR="002D1FA9" w:rsidRPr="002D1FA9" w:rsidRDefault="002D1FA9" w:rsidP="002D1FA9">
            <w:pPr>
              <w:spacing w:after="0" w:line="240" w:lineRule="auto"/>
              <w:jc w:val="center"/>
              <w:rPr>
                <w:rFonts w:eastAsia="Times New Roman"/>
                <w:b/>
                <w:bCs/>
                <w:color w:val="000000"/>
                <w:sz w:val="20"/>
                <w:szCs w:val="20"/>
              </w:rPr>
            </w:pPr>
            <w:r w:rsidRPr="002D1FA9">
              <w:rPr>
                <w:rFonts w:eastAsia="Times New Roman"/>
                <w:b/>
                <w:bCs/>
                <w:color w:val="000000"/>
                <w:sz w:val="20"/>
                <w:szCs w:val="20"/>
              </w:rPr>
              <w:t>Indicateurs des résultats intermédiaires</w:t>
            </w:r>
          </w:p>
        </w:tc>
      </w:tr>
      <w:tr w:rsidR="002D1FA9" w:rsidRPr="002D1FA9" w14:paraId="771C3619" w14:textId="77777777" w:rsidTr="0037560C">
        <w:trPr>
          <w:trHeight w:val="270"/>
        </w:trPr>
        <w:tc>
          <w:tcPr>
            <w:tcW w:w="261" w:type="pct"/>
            <w:vMerge w:val="restart"/>
            <w:tcBorders>
              <w:top w:val="nil"/>
              <w:left w:val="single" w:sz="8" w:space="0" w:color="auto"/>
              <w:bottom w:val="single" w:sz="8" w:space="0" w:color="000000"/>
              <w:right w:val="single" w:sz="8" w:space="0" w:color="000000"/>
            </w:tcBorders>
            <w:shd w:val="clear" w:color="auto" w:fill="auto"/>
            <w:hideMark/>
          </w:tcPr>
          <w:p w14:paraId="3123FCD8" w14:textId="77777777" w:rsidR="002D1FA9" w:rsidRPr="002D1FA9" w:rsidRDefault="002D1FA9" w:rsidP="002D1FA9">
            <w:pPr>
              <w:spacing w:after="0" w:line="240" w:lineRule="auto"/>
              <w:jc w:val="center"/>
              <w:rPr>
                <w:rFonts w:eastAsia="Times New Roman"/>
                <w:b/>
                <w:bCs/>
                <w:color w:val="000000"/>
                <w:sz w:val="20"/>
                <w:szCs w:val="20"/>
              </w:rPr>
            </w:pPr>
            <w:r w:rsidRPr="002D1FA9">
              <w:rPr>
                <w:rFonts w:eastAsia="Times New Roman"/>
                <w:b/>
                <w:bCs/>
                <w:color w:val="000000"/>
                <w:sz w:val="20"/>
                <w:szCs w:val="20"/>
              </w:rPr>
              <w:t> </w:t>
            </w:r>
          </w:p>
        </w:tc>
        <w:tc>
          <w:tcPr>
            <w:tcW w:w="1325" w:type="pct"/>
            <w:tcBorders>
              <w:top w:val="nil"/>
              <w:left w:val="nil"/>
              <w:bottom w:val="nil"/>
              <w:right w:val="single" w:sz="8" w:space="0" w:color="000000"/>
            </w:tcBorders>
            <w:shd w:val="clear" w:color="auto" w:fill="auto"/>
            <w:vAlign w:val="bottom"/>
            <w:hideMark/>
          </w:tcPr>
          <w:p w14:paraId="4CA7C79B"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 </w:t>
            </w:r>
          </w:p>
        </w:tc>
        <w:tc>
          <w:tcPr>
            <w:tcW w:w="465" w:type="pct"/>
            <w:tcBorders>
              <w:top w:val="nil"/>
              <w:left w:val="nil"/>
              <w:bottom w:val="nil"/>
              <w:right w:val="single" w:sz="8" w:space="0" w:color="000000"/>
            </w:tcBorders>
            <w:shd w:val="clear" w:color="auto" w:fill="auto"/>
            <w:vAlign w:val="bottom"/>
            <w:hideMark/>
          </w:tcPr>
          <w:p w14:paraId="5BA156AE"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 </w:t>
            </w:r>
          </w:p>
        </w:tc>
        <w:tc>
          <w:tcPr>
            <w:tcW w:w="413" w:type="pct"/>
            <w:tcBorders>
              <w:top w:val="nil"/>
              <w:left w:val="nil"/>
              <w:bottom w:val="nil"/>
              <w:right w:val="single" w:sz="8" w:space="0" w:color="000000"/>
            </w:tcBorders>
            <w:shd w:val="clear" w:color="auto" w:fill="auto"/>
            <w:vAlign w:val="bottom"/>
            <w:hideMark/>
          </w:tcPr>
          <w:p w14:paraId="57873517"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 </w:t>
            </w:r>
          </w:p>
        </w:tc>
        <w:tc>
          <w:tcPr>
            <w:tcW w:w="2105" w:type="pct"/>
            <w:gridSpan w:val="8"/>
            <w:tcBorders>
              <w:top w:val="nil"/>
              <w:left w:val="nil"/>
              <w:bottom w:val="single" w:sz="8" w:space="0" w:color="000000"/>
              <w:right w:val="single" w:sz="8" w:space="0" w:color="000000"/>
            </w:tcBorders>
            <w:shd w:val="clear" w:color="auto" w:fill="auto"/>
            <w:vAlign w:val="bottom"/>
            <w:hideMark/>
          </w:tcPr>
          <w:p w14:paraId="790C9210" w14:textId="77777777" w:rsidR="002D1FA9" w:rsidRPr="002D1FA9" w:rsidRDefault="002D1FA9" w:rsidP="002D1FA9">
            <w:pPr>
              <w:spacing w:after="0" w:line="240" w:lineRule="auto"/>
              <w:jc w:val="center"/>
              <w:rPr>
                <w:rFonts w:eastAsia="Times New Roman"/>
                <w:b/>
                <w:bCs/>
                <w:color w:val="314F4F"/>
                <w:sz w:val="20"/>
                <w:szCs w:val="20"/>
              </w:rPr>
            </w:pPr>
            <w:r w:rsidRPr="002D1FA9">
              <w:rPr>
                <w:rFonts w:eastAsia="Times New Roman"/>
                <w:b/>
                <w:bCs/>
                <w:color w:val="314F4F"/>
                <w:sz w:val="20"/>
                <w:szCs w:val="20"/>
              </w:rPr>
              <w:t xml:space="preserve">Valeurs cibles cumulées </w:t>
            </w:r>
          </w:p>
        </w:tc>
        <w:tc>
          <w:tcPr>
            <w:tcW w:w="431"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724C606D" w14:textId="77777777" w:rsidR="002D1FA9" w:rsidRPr="002D1FA9" w:rsidRDefault="002D1FA9" w:rsidP="0037560C">
            <w:pPr>
              <w:spacing w:after="0" w:line="240" w:lineRule="auto"/>
              <w:jc w:val="center"/>
              <w:rPr>
                <w:rFonts w:eastAsia="Times New Roman"/>
                <w:b/>
                <w:bCs/>
                <w:color w:val="314F4F"/>
                <w:sz w:val="20"/>
                <w:szCs w:val="20"/>
              </w:rPr>
            </w:pPr>
            <w:r w:rsidRPr="002D1FA9">
              <w:rPr>
                <w:rFonts w:eastAsia="Times New Roman"/>
                <w:b/>
                <w:bCs/>
                <w:color w:val="314F4F"/>
                <w:sz w:val="20"/>
                <w:szCs w:val="20"/>
              </w:rPr>
              <w:t>Fréquence</w:t>
            </w:r>
          </w:p>
        </w:tc>
      </w:tr>
      <w:tr w:rsidR="002D1FA9" w:rsidRPr="002D1FA9" w14:paraId="69BCB708" w14:textId="77777777" w:rsidTr="0037560C">
        <w:trPr>
          <w:trHeight w:val="525"/>
        </w:trPr>
        <w:tc>
          <w:tcPr>
            <w:tcW w:w="261" w:type="pct"/>
            <w:vMerge/>
            <w:tcBorders>
              <w:top w:val="nil"/>
              <w:left w:val="single" w:sz="8" w:space="0" w:color="auto"/>
              <w:bottom w:val="single" w:sz="8" w:space="0" w:color="000000"/>
              <w:right w:val="single" w:sz="8" w:space="0" w:color="000000"/>
            </w:tcBorders>
            <w:vAlign w:val="center"/>
            <w:hideMark/>
          </w:tcPr>
          <w:p w14:paraId="10544AB5" w14:textId="77777777" w:rsidR="002D1FA9" w:rsidRPr="002D1FA9" w:rsidRDefault="002D1FA9" w:rsidP="002D1FA9">
            <w:pPr>
              <w:spacing w:after="0" w:line="240" w:lineRule="auto"/>
              <w:rPr>
                <w:rFonts w:eastAsia="Times New Roman"/>
                <w:b/>
                <w:bCs/>
                <w:color w:val="000000"/>
                <w:sz w:val="20"/>
                <w:szCs w:val="20"/>
              </w:rPr>
            </w:pPr>
          </w:p>
        </w:tc>
        <w:tc>
          <w:tcPr>
            <w:tcW w:w="1325" w:type="pct"/>
            <w:tcBorders>
              <w:top w:val="nil"/>
              <w:left w:val="nil"/>
              <w:bottom w:val="single" w:sz="8" w:space="0" w:color="000000"/>
              <w:right w:val="single" w:sz="8" w:space="0" w:color="000000"/>
            </w:tcBorders>
            <w:shd w:val="clear" w:color="auto" w:fill="auto"/>
            <w:vAlign w:val="bottom"/>
            <w:hideMark/>
          </w:tcPr>
          <w:p w14:paraId="0CC2AB58" w14:textId="77777777" w:rsidR="002D1FA9" w:rsidRPr="002D1FA9" w:rsidRDefault="002D1FA9" w:rsidP="002D1FA9">
            <w:pPr>
              <w:spacing w:after="0" w:line="240" w:lineRule="auto"/>
              <w:rPr>
                <w:rFonts w:eastAsia="Times New Roman"/>
                <w:b/>
                <w:bCs/>
                <w:color w:val="314F4F"/>
                <w:sz w:val="20"/>
                <w:szCs w:val="20"/>
              </w:rPr>
            </w:pPr>
            <w:r w:rsidRPr="002D1FA9">
              <w:rPr>
                <w:rFonts w:eastAsia="Times New Roman"/>
                <w:b/>
                <w:bCs/>
                <w:color w:val="314F4F"/>
                <w:sz w:val="20"/>
                <w:szCs w:val="20"/>
              </w:rPr>
              <w:t xml:space="preserve">Nom de l’indicateur </w:t>
            </w:r>
          </w:p>
        </w:tc>
        <w:tc>
          <w:tcPr>
            <w:tcW w:w="465" w:type="pct"/>
            <w:tcBorders>
              <w:top w:val="nil"/>
              <w:left w:val="nil"/>
              <w:bottom w:val="single" w:sz="8" w:space="0" w:color="000000"/>
              <w:right w:val="single" w:sz="8" w:space="0" w:color="000000"/>
            </w:tcBorders>
            <w:shd w:val="clear" w:color="auto" w:fill="auto"/>
            <w:vAlign w:val="bottom"/>
            <w:hideMark/>
          </w:tcPr>
          <w:p w14:paraId="2333FB2E" w14:textId="77777777" w:rsidR="002D1FA9" w:rsidRPr="002D1FA9" w:rsidRDefault="002D1FA9" w:rsidP="0037560C">
            <w:pPr>
              <w:spacing w:after="0" w:line="240" w:lineRule="auto"/>
              <w:rPr>
                <w:rFonts w:eastAsia="Times New Roman"/>
                <w:b/>
                <w:bCs/>
                <w:color w:val="314F4F"/>
                <w:sz w:val="20"/>
                <w:szCs w:val="20"/>
              </w:rPr>
            </w:pPr>
            <w:r w:rsidRPr="002D1FA9">
              <w:rPr>
                <w:rFonts w:eastAsia="Times New Roman"/>
                <w:b/>
                <w:bCs/>
                <w:color w:val="314F4F"/>
                <w:sz w:val="20"/>
                <w:szCs w:val="20"/>
              </w:rPr>
              <w:t>Unité de Mesure</w:t>
            </w:r>
          </w:p>
        </w:tc>
        <w:tc>
          <w:tcPr>
            <w:tcW w:w="413" w:type="pct"/>
            <w:tcBorders>
              <w:top w:val="nil"/>
              <w:left w:val="nil"/>
              <w:bottom w:val="single" w:sz="8" w:space="0" w:color="000000"/>
              <w:right w:val="single" w:sz="8" w:space="0" w:color="000000"/>
            </w:tcBorders>
            <w:shd w:val="clear" w:color="auto" w:fill="auto"/>
            <w:vAlign w:val="bottom"/>
            <w:hideMark/>
          </w:tcPr>
          <w:p w14:paraId="1C37CDA2" w14:textId="77777777" w:rsidR="002D1FA9" w:rsidRPr="002D1FA9" w:rsidRDefault="002D1FA9" w:rsidP="002D1FA9">
            <w:pPr>
              <w:spacing w:after="0" w:line="240" w:lineRule="auto"/>
              <w:jc w:val="center"/>
              <w:rPr>
                <w:rFonts w:eastAsia="Times New Roman"/>
                <w:b/>
                <w:bCs/>
                <w:color w:val="314F4F"/>
                <w:sz w:val="20"/>
                <w:szCs w:val="20"/>
              </w:rPr>
            </w:pPr>
            <w:r w:rsidRPr="002D1FA9">
              <w:rPr>
                <w:rFonts w:eastAsia="Times New Roman"/>
                <w:b/>
                <w:bCs/>
                <w:color w:val="314F4F"/>
                <w:sz w:val="20"/>
                <w:szCs w:val="20"/>
              </w:rPr>
              <w:t>Référence</w:t>
            </w:r>
          </w:p>
        </w:tc>
        <w:tc>
          <w:tcPr>
            <w:tcW w:w="238" w:type="pct"/>
            <w:tcBorders>
              <w:top w:val="nil"/>
              <w:left w:val="nil"/>
              <w:bottom w:val="single" w:sz="8" w:space="0" w:color="000000"/>
              <w:right w:val="nil"/>
            </w:tcBorders>
            <w:shd w:val="clear" w:color="auto" w:fill="auto"/>
            <w:vAlign w:val="bottom"/>
            <w:hideMark/>
          </w:tcPr>
          <w:p w14:paraId="23D882FD"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2014</w:t>
            </w:r>
          </w:p>
        </w:tc>
        <w:tc>
          <w:tcPr>
            <w:tcW w:w="253" w:type="pct"/>
            <w:tcBorders>
              <w:top w:val="nil"/>
              <w:left w:val="nil"/>
              <w:bottom w:val="single" w:sz="8" w:space="0" w:color="000000"/>
              <w:right w:val="single" w:sz="8" w:space="0" w:color="000000"/>
            </w:tcBorders>
            <w:shd w:val="clear" w:color="auto" w:fill="auto"/>
            <w:vAlign w:val="bottom"/>
            <w:hideMark/>
          </w:tcPr>
          <w:p w14:paraId="4425F429"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2015</w:t>
            </w:r>
          </w:p>
        </w:tc>
        <w:tc>
          <w:tcPr>
            <w:tcW w:w="260" w:type="pct"/>
            <w:tcBorders>
              <w:top w:val="nil"/>
              <w:left w:val="nil"/>
              <w:bottom w:val="single" w:sz="8" w:space="0" w:color="000000"/>
              <w:right w:val="single" w:sz="8" w:space="0" w:color="000000"/>
            </w:tcBorders>
            <w:shd w:val="clear" w:color="auto" w:fill="auto"/>
            <w:vAlign w:val="bottom"/>
            <w:hideMark/>
          </w:tcPr>
          <w:p w14:paraId="7F1490F9"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2016</w:t>
            </w:r>
          </w:p>
        </w:tc>
        <w:tc>
          <w:tcPr>
            <w:tcW w:w="260" w:type="pct"/>
            <w:tcBorders>
              <w:top w:val="nil"/>
              <w:left w:val="nil"/>
              <w:bottom w:val="single" w:sz="8" w:space="0" w:color="000000"/>
              <w:right w:val="single" w:sz="8" w:space="0" w:color="000000"/>
            </w:tcBorders>
            <w:shd w:val="clear" w:color="auto" w:fill="auto"/>
            <w:vAlign w:val="bottom"/>
            <w:hideMark/>
          </w:tcPr>
          <w:p w14:paraId="530A969E"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2017</w:t>
            </w:r>
          </w:p>
        </w:tc>
        <w:tc>
          <w:tcPr>
            <w:tcW w:w="253" w:type="pct"/>
            <w:tcBorders>
              <w:top w:val="nil"/>
              <w:left w:val="nil"/>
              <w:bottom w:val="single" w:sz="8" w:space="0" w:color="000000"/>
              <w:right w:val="single" w:sz="8" w:space="0" w:color="000000"/>
            </w:tcBorders>
            <w:shd w:val="clear" w:color="auto" w:fill="auto"/>
            <w:vAlign w:val="bottom"/>
            <w:hideMark/>
          </w:tcPr>
          <w:p w14:paraId="58411678"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2018</w:t>
            </w:r>
          </w:p>
        </w:tc>
        <w:tc>
          <w:tcPr>
            <w:tcW w:w="253" w:type="pct"/>
            <w:tcBorders>
              <w:top w:val="nil"/>
              <w:left w:val="nil"/>
              <w:bottom w:val="single" w:sz="8" w:space="0" w:color="000000"/>
              <w:right w:val="single" w:sz="8" w:space="0" w:color="000000"/>
            </w:tcBorders>
            <w:shd w:val="clear" w:color="auto" w:fill="auto"/>
            <w:vAlign w:val="bottom"/>
            <w:hideMark/>
          </w:tcPr>
          <w:p w14:paraId="5407E916"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2019</w:t>
            </w:r>
          </w:p>
        </w:tc>
        <w:tc>
          <w:tcPr>
            <w:tcW w:w="253" w:type="pct"/>
            <w:tcBorders>
              <w:top w:val="nil"/>
              <w:left w:val="nil"/>
              <w:bottom w:val="single" w:sz="8" w:space="0" w:color="000000"/>
              <w:right w:val="single" w:sz="8" w:space="0" w:color="000000"/>
            </w:tcBorders>
            <w:shd w:val="clear" w:color="auto" w:fill="auto"/>
            <w:vAlign w:val="bottom"/>
            <w:hideMark/>
          </w:tcPr>
          <w:p w14:paraId="4E85D59F"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2020</w:t>
            </w:r>
          </w:p>
        </w:tc>
        <w:tc>
          <w:tcPr>
            <w:tcW w:w="335" w:type="pct"/>
            <w:tcBorders>
              <w:top w:val="nil"/>
              <w:left w:val="nil"/>
              <w:bottom w:val="single" w:sz="8" w:space="0" w:color="000000"/>
              <w:right w:val="single" w:sz="8" w:space="0" w:color="000000"/>
            </w:tcBorders>
            <w:shd w:val="clear" w:color="auto" w:fill="auto"/>
            <w:vAlign w:val="bottom"/>
            <w:hideMark/>
          </w:tcPr>
          <w:p w14:paraId="7F610C6D" w14:textId="77777777" w:rsidR="002D1FA9" w:rsidRPr="002D1FA9" w:rsidRDefault="002D1FA9" w:rsidP="0037560C">
            <w:pPr>
              <w:spacing w:after="0" w:line="240" w:lineRule="auto"/>
              <w:jc w:val="right"/>
              <w:rPr>
                <w:rFonts w:eastAsia="Times New Roman"/>
                <w:b/>
                <w:bCs/>
                <w:color w:val="314F4F"/>
                <w:sz w:val="20"/>
                <w:szCs w:val="20"/>
              </w:rPr>
            </w:pPr>
            <w:r w:rsidRPr="002D1FA9">
              <w:rPr>
                <w:rFonts w:eastAsia="Times New Roman"/>
                <w:b/>
                <w:bCs/>
                <w:color w:val="314F4F"/>
                <w:sz w:val="20"/>
                <w:szCs w:val="20"/>
              </w:rPr>
              <w:t>Cible finale</w:t>
            </w:r>
          </w:p>
        </w:tc>
        <w:tc>
          <w:tcPr>
            <w:tcW w:w="431" w:type="pct"/>
            <w:vMerge/>
            <w:tcBorders>
              <w:top w:val="single" w:sz="8" w:space="0" w:color="auto"/>
              <w:left w:val="single" w:sz="8" w:space="0" w:color="auto"/>
              <w:bottom w:val="single" w:sz="8" w:space="0" w:color="auto"/>
              <w:right w:val="single" w:sz="8" w:space="0" w:color="auto"/>
            </w:tcBorders>
            <w:vAlign w:val="bottom"/>
            <w:hideMark/>
          </w:tcPr>
          <w:p w14:paraId="49269F5E" w14:textId="77777777" w:rsidR="002D1FA9" w:rsidRPr="002D1FA9" w:rsidRDefault="002D1FA9" w:rsidP="0037560C">
            <w:pPr>
              <w:spacing w:after="0" w:line="240" w:lineRule="auto"/>
              <w:jc w:val="center"/>
              <w:rPr>
                <w:rFonts w:eastAsia="Times New Roman"/>
                <w:b/>
                <w:bCs/>
                <w:color w:val="314F4F"/>
                <w:sz w:val="20"/>
                <w:szCs w:val="20"/>
              </w:rPr>
            </w:pPr>
          </w:p>
        </w:tc>
      </w:tr>
      <w:tr w:rsidR="002D1FA9" w:rsidRPr="002D1FA9" w14:paraId="0B855C23" w14:textId="77777777" w:rsidTr="0037560C">
        <w:trPr>
          <w:trHeight w:val="255"/>
        </w:trPr>
        <w:tc>
          <w:tcPr>
            <w:tcW w:w="261" w:type="pct"/>
            <w:vMerge w:val="restart"/>
            <w:tcBorders>
              <w:top w:val="nil"/>
              <w:left w:val="single" w:sz="8" w:space="0" w:color="auto"/>
              <w:bottom w:val="single" w:sz="8" w:space="0" w:color="000000"/>
              <w:right w:val="single" w:sz="8" w:space="0" w:color="000000"/>
            </w:tcBorders>
            <w:shd w:val="clear" w:color="auto" w:fill="auto"/>
            <w:vAlign w:val="center"/>
            <w:hideMark/>
          </w:tcPr>
          <w:p w14:paraId="07C69E9A"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w:t>
            </w:r>
          </w:p>
        </w:tc>
        <w:tc>
          <w:tcPr>
            <w:tcW w:w="132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69BF349D"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 xml:space="preserve">Territoires (Divisions et sous-divisions)  dans les zones ciblées couvertes par le SIGE avec les TIC et la carte scolaire numérique </w:t>
            </w:r>
          </w:p>
        </w:tc>
        <w:tc>
          <w:tcPr>
            <w:tcW w:w="46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67524D7D"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5B73A82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7F07922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vMerge w:val="restart"/>
            <w:tcBorders>
              <w:top w:val="nil"/>
              <w:left w:val="nil"/>
              <w:bottom w:val="single" w:sz="8" w:space="0" w:color="000000"/>
              <w:right w:val="single" w:sz="8" w:space="0" w:color="000000"/>
            </w:tcBorders>
            <w:shd w:val="clear" w:color="auto" w:fill="auto"/>
            <w:vAlign w:val="bottom"/>
            <w:hideMark/>
          </w:tcPr>
          <w:p w14:paraId="607F9B4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1A75691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254D267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1BCA7DC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4247F22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5D21276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5BF213A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90</w:t>
            </w:r>
          </w:p>
        </w:tc>
        <w:tc>
          <w:tcPr>
            <w:tcW w:w="431"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70E7E692"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1F4E84DA" w14:textId="77777777" w:rsidTr="0037560C">
        <w:trPr>
          <w:trHeight w:val="276"/>
        </w:trPr>
        <w:tc>
          <w:tcPr>
            <w:tcW w:w="261" w:type="pct"/>
            <w:vMerge/>
            <w:tcBorders>
              <w:top w:val="nil"/>
              <w:left w:val="single" w:sz="8" w:space="0" w:color="auto"/>
              <w:bottom w:val="single" w:sz="8" w:space="0" w:color="000000"/>
              <w:right w:val="single" w:sz="8" w:space="0" w:color="000000"/>
            </w:tcBorders>
            <w:vAlign w:val="center"/>
            <w:hideMark/>
          </w:tcPr>
          <w:p w14:paraId="162C702D" w14:textId="77777777" w:rsidR="002D1FA9" w:rsidRPr="002D1FA9" w:rsidRDefault="002D1FA9" w:rsidP="002D1FA9">
            <w:pPr>
              <w:spacing w:after="0" w:line="240" w:lineRule="auto"/>
              <w:rPr>
                <w:rFonts w:eastAsia="Times New Roman"/>
                <w:b/>
                <w:bCs/>
                <w:color w:val="000000"/>
                <w:sz w:val="20"/>
                <w:szCs w:val="20"/>
              </w:rPr>
            </w:pPr>
          </w:p>
        </w:tc>
        <w:tc>
          <w:tcPr>
            <w:tcW w:w="1325" w:type="pct"/>
            <w:vMerge/>
            <w:tcBorders>
              <w:top w:val="nil"/>
              <w:left w:val="single" w:sz="8" w:space="0" w:color="000000"/>
              <w:bottom w:val="single" w:sz="8" w:space="0" w:color="000000"/>
              <w:right w:val="single" w:sz="8" w:space="0" w:color="000000"/>
            </w:tcBorders>
            <w:vAlign w:val="bottom"/>
            <w:hideMark/>
          </w:tcPr>
          <w:p w14:paraId="41D8306F" w14:textId="77777777" w:rsidR="002D1FA9" w:rsidRPr="002D1FA9" w:rsidRDefault="002D1FA9" w:rsidP="0037560C">
            <w:pPr>
              <w:spacing w:after="0" w:line="240" w:lineRule="auto"/>
              <w:rPr>
                <w:rFonts w:eastAsia="Times New Roman"/>
                <w:color w:val="000000"/>
                <w:sz w:val="20"/>
                <w:szCs w:val="20"/>
              </w:rPr>
            </w:pPr>
          </w:p>
        </w:tc>
        <w:tc>
          <w:tcPr>
            <w:tcW w:w="465" w:type="pct"/>
            <w:vMerge/>
            <w:tcBorders>
              <w:top w:val="nil"/>
              <w:left w:val="single" w:sz="8" w:space="0" w:color="000000"/>
              <w:bottom w:val="single" w:sz="8" w:space="0" w:color="000000"/>
              <w:right w:val="single" w:sz="8" w:space="0" w:color="000000"/>
            </w:tcBorders>
            <w:vAlign w:val="bottom"/>
            <w:hideMark/>
          </w:tcPr>
          <w:p w14:paraId="1DC6F41C" w14:textId="77777777" w:rsidR="002D1FA9" w:rsidRPr="002D1FA9" w:rsidRDefault="002D1FA9" w:rsidP="0037560C">
            <w:pPr>
              <w:spacing w:after="0" w:line="240" w:lineRule="auto"/>
              <w:rPr>
                <w:rFonts w:eastAsia="Times New Roman"/>
                <w:color w:val="000000"/>
                <w:sz w:val="20"/>
                <w:szCs w:val="20"/>
              </w:rPr>
            </w:pPr>
          </w:p>
        </w:tc>
        <w:tc>
          <w:tcPr>
            <w:tcW w:w="413" w:type="pct"/>
            <w:vMerge/>
            <w:tcBorders>
              <w:top w:val="nil"/>
              <w:left w:val="single" w:sz="8" w:space="0" w:color="000000"/>
              <w:bottom w:val="single" w:sz="8" w:space="0" w:color="000000"/>
              <w:right w:val="single" w:sz="8" w:space="0" w:color="000000"/>
            </w:tcBorders>
            <w:vAlign w:val="bottom"/>
            <w:hideMark/>
          </w:tcPr>
          <w:p w14:paraId="748F8B38" w14:textId="77777777" w:rsidR="002D1FA9" w:rsidRPr="002D1FA9" w:rsidRDefault="002D1FA9" w:rsidP="0037560C">
            <w:pPr>
              <w:spacing w:after="0" w:line="240" w:lineRule="auto"/>
              <w:jc w:val="right"/>
              <w:rPr>
                <w:rFonts w:eastAsia="Times New Roman"/>
                <w:color w:val="000000"/>
                <w:sz w:val="20"/>
                <w:szCs w:val="20"/>
              </w:rPr>
            </w:pPr>
          </w:p>
        </w:tc>
        <w:tc>
          <w:tcPr>
            <w:tcW w:w="238" w:type="pct"/>
            <w:vMerge/>
            <w:tcBorders>
              <w:top w:val="nil"/>
              <w:left w:val="single" w:sz="8" w:space="0" w:color="000000"/>
              <w:bottom w:val="single" w:sz="8" w:space="0" w:color="000000"/>
              <w:right w:val="single" w:sz="8" w:space="0" w:color="000000"/>
            </w:tcBorders>
            <w:vAlign w:val="bottom"/>
            <w:hideMark/>
          </w:tcPr>
          <w:p w14:paraId="41DCD443" w14:textId="77777777" w:rsidR="002D1FA9" w:rsidRPr="002D1FA9" w:rsidRDefault="002D1FA9" w:rsidP="0037560C">
            <w:pPr>
              <w:spacing w:after="0" w:line="240" w:lineRule="auto"/>
              <w:jc w:val="right"/>
              <w:rPr>
                <w:rFonts w:eastAsia="Times New Roman"/>
                <w:color w:val="000000"/>
                <w:sz w:val="20"/>
                <w:szCs w:val="20"/>
              </w:rPr>
            </w:pPr>
          </w:p>
        </w:tc>
        <w:tc>
          <w:tcPr>
            <w:tcW w:w="253" w:type="pct"/>
            <w:vMerge/>
            <w:tcBorders>
              <w:top w:val="nil"/>
              <w:left w:val="nil"/>
              <w:bottom w:val="single" w:sz="8" w:space="0" w:color="000000"/>
              <w:right w:val="single" w:sz="8" w:space="0" w:color="000000"/>
            </w:tcBorders>
            <w:vAlign w:val="bottom"/>
            <w:hideMark/>
          </w:tcPr>
          <w:p w14:paraId="4FC7DDFD" w14:textId="77777777" w:rsidR="002D1FA9" w:rsidRPr="002D1FA9" w:rsidRDefault="002D1FA9" w:rsidP="0037560C">
            <w:pPr>
              <w:spacing w:after="0" w:line="240" w:lineRule="auto"/>
              <w:jc w:val="right"/>
              <w:rPr>
                <w:rFonts w:eastAsia="Times New Roman"/>
                <w:color w:val="000000"/>
                <w:sz w:val="20"/>
                <w:szCs w:val="20"/>
              </w:rPr>
            </w:pPr>
          </w:p>
        </w:tc>
        <w:tc>
          <w:tcPr>
            <w:tcW w:w="260" w:type="pct"/>
            <w:vMerge/>
            <w:tcBorders>
              <w:top w:val="nil"/>
              <w:left w:val="single" w:sz="8" w:space="0" w:color="000000"/>
              <w:bottom w:val="single" w:sz="8" w:space="0" w:color="000000"/>
              <w:right w:val="single" w:sz="8" w:space="0" w:color="000000"/>
            </w:tcBorders>
            <w:vAlign w:val="bottom"/>
            <w:hideMark/>
          </w:tcPr>
          <w:p w14:paraId="419C0FF9" w14:textId="77777777" w:rsidR="002D1FA9" w:rsidRPr="002D1FA9" w:rsidRDefault="002D1FA9" w:rsidP="0037560C">
            <w:pPr>
              <w:spacing w:after="0" w:line="240" w:lineRule="auto"/>
              <w:jc w:val="right"/>
              <w:rPr>
                <w:rFonts w:eastAsia="Times New Roman"/>
                <w:color w:val="000000"/>
                <w:sz w:val="20"/>
                <w:szCs w:val="20"/>
              </w:rPr>
            </w:pPr>
          </w:p>
        </w:tc>
        <w:tc>
          <w:tcPr>
            <w:tcW w:w="260" w:type="pct"/>
            <w:vMerge/>
            <w:tcBorders>
              <w:top w:val="nil"/>
              <w:left w:val="single" w:sz="8" w:space="0" w:color="000000"/>
              <w:bottom w:val="single" w:sz="8" w:space="0" w:color="000000"/>
              <w:right w:val="single" w:sz="8" w:space="0" w:color="000000"/>
            </w:tcBorders>
            <w:vAlign w:val="bottom"/>
            <w:hideMark/>
          </w:tcPr>
          <w:p w14:paraId="1B1D8DDD" w14:textId="77777777" w:rsidR="002D1FA9" w:rsidRPr="002D1FA9" w:rsidRDefault="002D1FA9" w:rsidP="0037560C">
            <w:pPr>
              <w:spacing w:after="0" w:line="240" w:lineRule="auto"/>
              <w:jc w:val="right"/>
              <w:rPr>
                <w:rFonts w:eastAsia="Times New Roman"/>
                <w:color w:val="000000"/>
                <w:sz w:val="20"/>
                <w:szCs w:val="20"/>
              </w:rPr>
            </w:pPr>
          </w:p>
        </w:tc>
        <w:tc>
          <w:tcPr>
            <w:tcW w:w="253" w:type="pct"/>
            <w:vMerge/>
            <w:tcBorders>
              <w:top w:val="nil"/>
              <w:left w:val="single" w:sz="8" w:space="0" w:color="000000"/>
              <w:bottom w:val="single" w:sz="8" w:space="0" w:color="000000"/>
              <w:right w:val="single" w:sz="8" w:space="0" w:color="000000"/>
            </w:tcBorders>
            <w:vAlign w:val="bottom"/>
            <w:hideMark/>
          </w:tcPr>
          <w:p w14:paraId="57D818EC" w14:textId="77777777" w:rsidR="002D1FA9" w:rsidRPr="002D1FA9" w:rsidRDefault="002D1FA9" w:rsidP="0037560C">
            <w:pPr>
              <w:spacing w:after="0" w:line="240" w:lineRule="auto"/>
              <w:jc w:val="right"/>
              <w:rPr>
                <w:rFonts w:eastAsia="Times New Roman"/>
                <w:color w:val="000000"/>
                <w:sz w:val="20"/>
                <w:szCs w:val="20"/>
              </w:rPr>
            </w:pPr>
          </w:p>
        </w:tc>
        <w:tc>
          <w:tcPr>
            <w:tcW w:w="253" w:type="pct"/>
            <w:vMerge/>
            <w:tcBorders>
              <w:top w:val="nil"/>
              <w:left w:val="single" w:sz="8" w:space="0" w:color="000000"/>
              <w:bottom w:val="single" w:sz="8" w:space="0" w:color="000000"/>
              <w:right w:val="single" w:sz="8" w:space="0" w:color="000000"/>
            </w:tcBorders>
            <w:vAlign w:val="bottom"/>
            <w:hideMark/>
          </w:tcPr>
          <w:p w14:paraId="1840F412" w14:textId="77777777" w:rsidR="002D1FA9" w:rsidRPr="002D1FA9" w:rsidRDefault="002D1FA9" w:rsidP="0037560C">
            <w:pPr>
              <w:spacing w:after="0" w:line="240" w:lineRule="auto"/>
              <w:jc w:val="right"/>
              <w:rPr>
                <w:rFonts w:eastAsia="Times New Roman"/>
                <w:color w:val="000000"/>
                <w:sz w:val="20"/>
                <w:szCs w:val="20"/>
              </w:rPr>
            </w:pPr>
          </w:p>
        </w:tc>
        <w:tc>
          <w:tcPr>
            <w:tcW w:w="253" w:type="pct"/>
            <w:vMerge/>
            <w:tcBorders>
              <w:top w:val="nil"/>
              <w:left w:val="single" w:sz="8" w:space="0" w:color="000000"/>
              <w:bottom w:val="single" w:sz="8" w:space="0" w:color="000000"/>
              <w:right w:val="single" w:sz="8" w:space="0" w:color="000000"/>
            </w:tcBorders>
            <w:vAlign w:val="bottom"/>
            <w:hideMark/>
          </w:tcPr>
          <w:p w14:paraId="0EE02451" w14:textId="77777777" w:rsidR="002D1FA9" w:rsidRPr="002D1FA9" w:rsidRDefault="002D1FA9" w:rsidP="0037560C">
            <w:pPr>
              <w:spacing w:after="0" w:line="240" w:lineRule="auto"/>
              <w:jc w:val="right"/>
              <w:rPr>
                <w:rFonts w:eastAsia="Times New Roman"/>
                <w:color w:val="000000"/>
                <w:sz w:val="20"/>
                <w:szCs w:val="20"/>
              </w:rPr>
            </w:pPr>
          </w:p>
        </w:tc>
        <w:tc>
          <w:tcPr>
            <w:tcW w:w="335" w:type="pct"/>
            <w:vMerge/>
            <w:tcBorders>
              <w:top w:val="nil"/>
              <w:left w:val="single" w:sz="8" w:space="0" w:color="000000"/>
              <w:bottom w:val="single" w:sz="8" w:space="0" w:color="000000"/>
              <w:right w:val="single" w:sz="8" w:space="0" w:color="000000"/>
            </w:tcBorders>
            <w:vAlign w:val="bottom"/>
            <w:hideMark/>
          </w:tcPr>
          <w:p w14:paraId="47DDFFBB" w14:textId="77777777" w:rsidR="002D1FA9" w:rsidRPr="002D1FA9" w:rsidRDefault="002D1FA9" w:rsidP="0037560C">
            <w:pPr>
              <w:spacing w:after="0" w:line="240" w:lineRule="auto"/>
              <w:jc w:val="right"/>
              <w:rPr>
                <w:rFonts w:eastAsia="Times New Roman"/>
                <w:color w:val="000000"/>
                <w:sz w:val="20"/>
                <w:szCs w:val="20"/>
              </w:rPr>
            </w:pPr>
          </w:p>
        </w:tc>
        <w:tc>
          <w:tcPr>
            <w:tcW w:w="431" w:type="pct"/>
            <w:vMerge/>
            <w:tcBorders>
              <w:top w:val="nil"/>
              <w:left w:val="single" w:sz="8" w:space="0" w:color="000000"/>
              <w:bottom w:val="single" w:sz="8" w:space="0" w:color="000000"/>
              <w:right w:val="single" w:sz="8" w:space="0" w:color="000000"/>
            </w:tcBorders>
            <w:vAlign w:val="bottom"/>
            <w:hideMark/>
          </w:tcPr>
          <w:p w14:paraId="2AA88DA4" w14:textId="77777777" w:rsidR="002D1FA9" w:rsidRPr="002D1FA9" w:rsidRDefault="002D1FA9" w:rsidP="0037560C">
            <w:pPr>
              <w:spacing w:after="0" w:line="240" w:lineRule="auto"/>
              <w:jc w:val="center"/>
              <w:rPr>
                <w:rFonts w:eastAsia="Times New Roman"/>
                <w:color w:val="000000"/>
                <w:sz w:val="20"/>
                <w:szCs w:val="20"/>
              </w:rPr>
            </w:pPr>
          </w:p>
        </w:tc>
      </w:tr>
      <w:tr w:rsidR="002D1FA9" w:rsidRPr="002D1FA9" w14:paraId="61E7E1C4" w14:textId="77777777" w:rsidTr="0037560C">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224B627C"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2</w:t>
            </w:r>
          </w:p>
        </w:tc>
        <w:tc>
          <w:tcPr>
            <w:tcW w:w="1325" w:type="pct"/>
            <w:tcBorders>
              <w:top w:val="single" w:sz="4" w:space="0" w:color="auto"/>
              <w:left w:val="single" w:sz="4" w:space="0" w:color="auto"/>
              <w:bottom w:val="single" w:sz="4" w:space="0" w:color="auto"/>
              <w:right w:val="nil"/>
            </w:tcBorders>
            <w:shd w:val="clear" w:color="auto" w:fill="auto"/>
            <w:vAlign w:val="bottom"/>
            <w:hideMark/>
          </w:tcPr>
          <w:p w14:paraId="410DE6DE"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Recommandations de l'évaluation OMS 2014 financées par le projet qui sont exécutées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4D5EB8DA"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45E653B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302783F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76FEF37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DD03BA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260" w:type="pct"/>
            <w:tcBorders>
              <w:top w:val="nil"/>
              <w:left w:val="nil"/>
              <w:bottom w:val="single" w:sz="8" w:space="0" w:color="000000"/>
              <w:right w:val="single" w:sz="8" w:space="0" w:color="000000"/>
            </w:tcBorders>
            <w:shd w:val="clear" w:color="auto" w:fill="auto"/>
            <w:vAlign w:val="bottom"/>
            <w:hideMark/>
          </w:tcPr>
          <w:p w14:paraId="288C904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3</w:t>
            </w:r>
          </w:p>
        </w:tc>
        <w:tc>
          <w:tcPr>
            <w:tcW w:w="253" w:type="pct"/>
            <w:tcBorders>
              <w:top w:val="nil"/>
              <w:left w:val="nil"/>
              <w:bottom w:val="single" w:sz="8" w:space="0" w:color="000000"/>
              <w:right w:val="single" w:sz="8" w:space="0" w:color="000000"/>
            </w:tcBorders>
            <w:shd w:val="clear" w:color="auto" w:fill="auto"/>
            <w:vAlign w:val="bottom"/>
            <w:hideMark/>
          </w:tcPr>
          <w:p w14:paraId="338849F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0E895AF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673D3A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648C902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20</w:t>
            </w:r>
          </w:p>
        </w:tc>
        <w:tc>
          <w:tcPr>
            <w:tcW w:w="431" w:type="pct"/>
            <w:tcBorders>
              <w:top w:val="nil"/>
              <w:left w:val="nil"/>
              <w:bottom w:val="single" w:sz="8" w:space="0" w:color="000000"/>
              <w:right w:val="single" w:sz="8" w:space="0" w:color="000000"/>
            </w:tcBorders>
            <w:shd w:val="clear" w:color="auto" w:fill="auto"/>
            <w:vAlign w:val="bottom"/>
            <w:hideMark/>
          </w:tcPr>
          <w:p w14:paraId="7F830F1E"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395F8723" w14:textId="77777777" w:rsidTr="0037560C">
        <w:trPr>
          <w:trHeight w:val="27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17CCFD63"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3</w:t>
            </w:r>
          </w:p>
        </w:tc>
        <w:tc>
          <w:tcPr>
            <w:tcW w:w="1325" w:type="pct"/>
            <w:tcBorders>
              <w:top w:val="nil"/>
              <w:left w:val="single" w:sz="4" w:space="0" w:color="auto"/>
              <w:bottom w:val="single" w:sz="4" w:space="0" w:color="auto"/>
              <w:right w:val="nil"/>
            </w:tcBorders>
            <w:shd w:val="clear" w:color="auto" w:fill="auto"/>
            <w:vAlign w:val="bottom"/>
            <w:hideMark/>
          </w:tcPr>
          <w:p w14:paraId="2E2188FF"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Enfants ayant reçu un acte de naissance</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579163CB"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7FAE55A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5E1A0CD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286B6E1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3C6B6E5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00745DA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0B3A11B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DC71E0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6AD7075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5642214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600,000</w:t>
            </w:r>
          </w:p>
        </w:tc>
        <w:tc>
          <w:tcPr>
            <w:tcW w:w="431" w:type="pct"/>
            <w:tcBorders>
              <w:top w:val="nil"/>
              <w:left w:val="nil"/>
              <w:bottom w:val="single" w:sz="8" w:space="0" w:color="000000"/>
              <w:right w:val="single" w:sz="8" w:space="0" w:color="000000"/>
            </w:tcBorders>
            <w:shd w:val="clear" w:color="auto" w:fill="auto"/>
            <w:vAlign w:val="bottom"/>
            <w:hideMark/>
          </w:tcPr>
          <w:p w14:paraId="42044889"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7020595D" w14:textId="77777777" w:rsidTr="0037560C">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20D01B9D"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4</w:t>
            </w:r>
          </w:p>
        </w:tc>
        <w:tc>
          <w:tcPr>
            <w:tcW w:w="1325" w:type="pct"/>
            <w:tcBorders>
              <w:top w:val="nil"/>
              <w:left w:val="single" w:sz="4" w:space="0" w:color="auto"/>
              <w:bottom w:val="nil"/>
              <w:right w:val="nil"/>
            </w:tcBorders>
            <w:shd w:val="clear" w:color="auto" w:fill="auto"/>
            <w:vAlign w:val="bottom"/>
            <w:hideMark/>
          </w:tcPr>
          <w:p w14:paraId="6AC01DF7"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Enfants ayant reçu un acte de naissance (moins de cinq ans d'âge)</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674A74F4"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2E75A7E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72B64A8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5655736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73850B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367E503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26D7CA2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F73569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6CECF6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06F8753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150000</w:t>
            </w:r>
          </w:p>
        </w:tc>
        <w:tc>
          <w:tcPr>
            <w:tcW w:w="431" w:type="pct"/>
            <w:tcBorders>
              <w:top w:val="nil"/>
              <w:left w:val="nil"/>
              <w:bottom w:val="single" w:sz="8" w:space="0" w:color="000000"/>
              <w:right w:val="single" w:sz="8" w:space="0" w:color="000000"/>
            </w:tcBorders>
            <w:shd w:val="clear" w:color="auto" w:fill="auto"/>
            <w:vAlign w:val="bottom"/>
            <w:hideMark/>
          </w:tcPr>
          <w:p w14:paraId="04B6B3E7"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32C93D3B" w14:textId="77777777" w:rsidTr="0037560C">
        <w:trPr>
          <w:trHeight w:val="525"/>
        </w:trPr>
        <w:tc>
          <w:tcPr>
            <w:tcW w:w="261" w:type="pct"/>
            <w:tcBorders>
              <w:top w:val="nil"/>
              <w:left w:val="single" w:sz="8" w:space="0" w:color="auto"/>
              <w:bottom w:val="single" w:sz="8" w:space="0" w:color="000000"/>
              <w:right w:val="nil"/>
            </w:tcBorders>
            <w:shd w:val="clear" w:color="auto" w:fill="auto"/>
            <w:vAlign w:val="center"/>
            <w:hideMark/>
          </w:tcPr>
          <w:p w14:paraId="24114AAF"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5</w:t>
            </w:r>
          </w:p>
        </w:tc>
        <w:tc>
          <w:tcPr>
            <w:tcW w:w="1325" w:type="pct"/>
            <w:tcBorders>
              <w:top w:val="single" w:sz="8" w:space="0" w:color="auto"/>
              <w:left w:val="single" w:sz="8" w:space="0" w:color="auto"/>
              <w:bottom w:val="single" w:sz="8" w:space="0" w:color="auto"/>
              <w:right w:val="nil"/>
            </w:tcBorders>
            <w:shd w:val="clear" w:color="auto" w:fill="auto"/>
            <w:vAlign w:val="bottom"/>
            <w:hideMark/>
          </w:tcPr>
          <w:p w14:paraId="466AE5D4"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Dossiers ECSV traités et clôturés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0DFFD015"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tcBorders>
              <w:top w:val="nil"/>
              <w:left w:val="nil"/>
              <w:bottom w:val="single" w:sz="8" w:space="0" w:color="000000"/>
              <w:right w:val="single" w:sz="8" w:space="0" w:color="000000"/>
            </w:tcBorders>
            <w:shd w:val="clear" w:color="auto" w:fill="auto"/>
            <w:vAlign w:val="bottom"/>
            <w:hideMark/>
          </w:tcPr>
          <w:p w14:paraId="29DE75D8"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565BAC7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15F5537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7F90A398"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6AE0FF78"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54B5852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52C2B61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12D0405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5A3FFA2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90</w:t>
            </w:r>
          </w:p>
        </w:tc>
        <w:tc>
          <w:tcPr>
            <w:tcW w:w="431" w:type="pct"/>
            <w:tcBorders>
              <w:top w:val="nil"/>
              <w:left w:val="nil"/>
              <w:bottom w:val="single" w:sz="8" w:space="0" w:color="000000"/>
              <w:right w:val="single" w:sz="8" w:space="0" w:color="000000"/>
            </w:tcBorders>
            <w:shd w:val="clear" w:color="auto" w:fill="auto"/>
            <w:vAlign w:val="bottom"/>
            <w:hideMark/>
          </w:tcPr>
          <w:p w14:paraId="636B9F40"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3F6E4966" w14:textId="77777777" w:rsidTr="0037560C">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6D3ED83F"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6</w:t>
            </w:r>
          </w:p>
        </w:tc>
        <w:tc>
          <w:tcPr>
            <w:tcW w:w="1325" w:type="pct"/>
            <w:tcBorders>
              <w:top w:val="nil"/>
              <w:left w:val="single" w:sz="4" w:space="0" w:color="auto"/>
              <w:bottom w:val="single" w:sz="4" w:space="0" w:color="auto"/>
              <w:right w:val="nil"/>
            </w:tcBorders>
            <w:shd w:val="clear" w:color="auto" w:fill="auto"/>
            <w:vAlign w:val="bottom"/>
            <w:hideMark/>
          </w:tcPr>
          <w:p w14:paraId="1EFAE498"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Couverture territoriale par un système d'information géoréférencé de la santé dans les zones ciblées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1A2070DD"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tcBorders>
              <w:top w:val="nil"/>
              <w:left w:val="nil"/>
              <w:bottom w:val="single" w:sz="8" w:space="0" w:color="000000"/>
              <w:right w:val="single" w:sz="8" w:space="0" w:color="000000"/>
            </w:tcBorders>
            <w:shd w:val="clear" w:color="auto" w:fill="auto"/>
            <w:vAlign w:val="bottom"/>
            <w:hideMark/>
          </w:tcPr>
          <w:p w14:paraId="6996995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51865EC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2AEEB18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21DCC48"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6C32B52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43.5</w:t>
            </w:r>
          </w:p>
        </w:tc>
        <w:tc>
          <w:tcPr>
            <w:tcW w:w="253" w:type="pct"/>
            <w:tcBorders>
              <w:top w:val="nil"/>
              <w:left w:val="nil"/>
              <w:bottom w:val="single" w:sz="8" w:space="0" w:color="000000"/>
              <w:right w:val="single" w:sz="8" w:space="0" w:color="000000"/>
            </w:tcBorders>
            <w:shd w:val="clear" w:color="auto" w:fill="auto"/>
            <w:vAlign w:val="bottom"/>
            <w:hideMark/>
          </w:tcPr>
          <w:p w14:paraId="705B9E0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05CB950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6E20A61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7591F42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90</w:t>
            </w:r>
          </w:p>
        </w:tc>
        <w:tc>
          <w:tcPr>
            <w:tcW w:w="431" w:type="pct"/>
            <w:tcBorders>
              <w:top w:val="nil"/>
              <w:left w:val="nil"/>
              <w:bottom w:val="single" w:sz="8" w:space="0" w:color="000000"/>
              <w:right w:val="single" w:sz="8" w:space="0" w:color="000000"/>
            </w:tcBorders>
            <w:shd w:val="clear" w:color="auto" w:fill="auto"/>
            <w:vAlign w:val="bottom"/>
            <w:hideMark/>
          </w:tcPr>
          <w:p w14:paraId="7B4FCCBC"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4DCB9B21" w14:textId="77777777" w:rsidTr="0037560C">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0502A6B3"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7</w:t>
            </w:r>
          </w:p>
        </w:tc>
        <w:tc>
          <w:tcPr>
            <w:tcW w:w="1325" w:type="pct"/>
            <w:tcBorders>
              <w:top w:val="nil"/>
              <w:left w:val="single" w:sz="4" w:space="0" w:color="auto"/>
              <w:bottom w:val="single" w:sz="4" w:space="0" w:color="auto"/>
              <w:right w:val="nil"/>
            </w:tcBorders>
            <w:shd w:val="clear" w:color="auto" w:fill="auto"/>
            <w:vAlign w:val="bottom"/>
            <w:hideMark/>
          </w:tcPr>
          <w:p w14:paraId="51C1CFEF"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Rapports SNIS soumis à temps (% des rapports attendus; don japonais)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1352D26D"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Pourcentage</w:t>
            </w:r>
          </w:p>
        </w:tc>
        <w:tc>
          <w:tcPr>
            <w:tcW w:w="413" w:type="pct"/>
            <w:tcBorders>
              <w:top w:val="nil"/>
              <w:left w:val="nil"/>
              <w:bottom w:val="single" w:sz="8" w:space="0" w:color="000000"/>
              <w:right w:val="single" w:sz="8" w:space="0" w:color="000000"/>
            </w:tcBorders>
            <w:shd w:val="clear" w:color="auto" w:fill="auto"/>
            <w:vAlign w:val="bottom"/>
            <w:hideMark/>
          </w:tcPr>
          <w:p w14:paraId="6B5F67D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461F0DC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305F619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562F5B0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25.8</w:t>
            </w:r>
          </w:p>
        </w:tc>
        <w:tc>
          <w:tcPr>
            <w:tcW w:w="260" w:type="pct"/>
            <w:tcBorders>
              <w:top w:val="nil"/>
              <w:left w:val="nil"/>
              <w:bottom w:val="single" w:sz="8" w:space="0" w:color="000000"/>
              <w:right w:val="single" w:sz="8" w:space="0" w:color="000000"/>
            </w:tcBorders>
            <w:shd w:val="clear" w:color="auto" w:fill="auto"/>
            <w:vAlign w:val="bottom"/>
            <w:hideMark/>
          </w:tcPr>
          <w:p w14:paraId="71C3394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28</w:t>
            </w:r>
          </w:p>
        </w:tc>
        <w:tc>
          <w:tcPr>
            <w:tcW w:w="253" w:type="pct"/>
            <w:tcBorders>
              <w:top w:val="nil"/>
              <w:left w:val="nil"/>
              <w:bottom w:val="single" w:sz="8" w:space="0" w:color="000000"/>
              <w:right w:val="single" w:sz="8" w:space="0" w:color="000000"/>
            </w:tcBorders>
            <w:shd w:val="clear" w:color="auto" w:fill="auto"/>
            <w:vAlign w:val="bottom"/>
            <w:hideMark/>
          </w:tcPr>
          <w:p w14:paraId="697A86E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1C95574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2841399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694A718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60</w:t>
            </w:r>
          </w:p>
        </w:tc>
        <w:tc>
          <w:tcPr>
            <w:tcW w:w="431" w:type="pct"/>
            <w:tcBorders>
              <w:top w:val="nil"/>
              <w:left w:val="nil"/>
              <w:bottom w:val="single" w:sz="8" w:space="0" w:color="000000"/>
              <w:right w:val="single" w:sz="8" w:space="0" w:color="000000"/>
            </w:tcBorders>
            <w:shd w:val="clear" w:color="auto" w:fill="auto"/>
            <w:vAlign w:val="bottom"/>
            <w:hideMark/>
          </w:tcPr>
          <w:p w14:paraId="67F21990"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Mensuelle</w:t>
            </w:r>
          </w:p>
        </w:tc>
      </w:tr>
      <w:tr w:rsidR="002D1FA9" w:rsidRPr="002D1FA9" w14:paraId="5C774EFF" w14:textId="77777777" w:rsidTr="0037560C">
        <w:trPr>
          <w:trHeight w:val="78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170B1775"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8</w:t>
            </w:r>
          </w:p>
        </w:tc>
        <w:tc>
          <w:tcPr>
            <w:tcW w:w="1325" w:type="pct"/>
            <w:tcBorders>
              <w:top w:val="nil"/>
              <w:left w:val="nil"/>
              <w:bottom w:val="nil"/>
              <w:right w:val="nil"/>
            </w:tcBorders>
            <w:shd w:val="clear" w:color="auto" w:fill="auto"/>
            <w:vAlign w:val="bottom"/>
            <w:hideMark/>
          </w:tcPr>
          <w:p w14:paraId="1F8FAE82"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Agents de la santé et de l'éducation formés en systèmes de gestion d'information dans les zones ciblées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6626843F"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6EAC489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626AA62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3075B8A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155</w:t>
            </w:r>
          </w:p>
        </w:tc>
        <w:tc>
          <w:tcPr>
            <w:tcW w:w="260" w:type="pct"/>
            <w:tcBorders>
              <w:top w:val="nil"/>
              <w:left w:val="nil"/>
              <w:bottom w:val="single" w:sz="8" w:space="0" w:color="000000"/>
              <w:right w:val="single" w:sz="8" w:space="0" w:color="000000"/>
            </w:tcBorders>
            <w:shd w:val="clear" w:color="auto" w:fill="auto"/>
            <w:vAlign w:val="bottom"/>
            <w:hideMark/>
          </w:tcPr>
          <w:p w14:paraId="2F38DFB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305</w:t>
            </w:r>
          </w:p>
        </w:tc>
        <w:tc>
          <w:tcPr>
            <w:tcW w:w="260" w:type="pct"/>
            <w:tcBorders>
              <w:top w:val="nil"/>
              <w:left w:val="nil"/>
              <w:bottom w:val="single" w:sz="8" w:space="0" w:color="000000"/>
              <w:right w:val="single" w:sz="8" w:space="0" w:color="000000"/>
            </w:tcBorders>
            <w:shd w:val="clear" w:color="auto" w:fill="auto"/>
            <w:vAlign w:val="bottom"/>
            <w:hideMark/>
          </w:tcPr>
          <w:p w14:paraId="33EC3B0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549</w:t>
            </w:r>
          </w:p>
        </w:tc>
        <w:tc>
          <w:tcPr>
            <w:tcW w:w="253" w:type="pct"/>
            <w:tcBorders>
              <w:top w:val="nil"/>
              <w:left w:val="nil"/>
              <w:bottom w:val="single" w:sz="8" w:space="0" w:color="000000"/>
              <w:right w:val="single" w:sz="8" w:space="0" w:color="000000"/>
            </w:tcBorders>
            <w:shd w:val="clear" w:color="auto" w:fill="auto"/>
            <w:vAlign w:val="bottom"/>
            <w:hideMark/>
          </w:tcPr>
          <w:p w14:paraId="08A1BF4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0330B8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014E685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38052506" w14:textId="38E67642"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w:t>
            </w:r>
            <w:r w:rsidR="0037560C">
              <w:rPr>
                <w:rFonts w:eastAsia="Times New Roman"/>
                <w:color w:val="000000"/>
                <w:sz w:val="20"/>
                <w:szCs w:val="20"/>
              </w:rPr>
              <w:t xml:space="preserve"> </w:t>
            </w:r>
            <w:r w:rsidRPr="002D1FA9">
              <w:rPr>
                <w:rFonts w:eastAsia="Times New Roman"/>
                <w:color w:val="000000"/>
                <w:sz w:val="20"/>
                <w:szCs w:val="20"/>
              </w:rPr>
              <w:t>480</w:t>
            </w:r>
          </w:p>
        </w:tc>
        <w:tc>
          <w:tcPr>
            <w:tcW w:w="431" w:type="pct"/>
            <w:tcBorders>
              <w:top w:val="nil"/>
              <w:left w:val="nil"/>
              <w:bottom w:val="single" w:sz="8" w:space="0" w:color="000000"/>
              <w:right w:val="single" w:sz="8" w:space="0" w:color="000000"/>
            </w:tcBorders>
            <w:shd w:val="clear" w:color="auto" w:fill="auto"/>
            <w:vAlign w:val="bottom"/>
            <w:hideMark/>
          </w:tcPr>
          <w:p w14:paraId="386A2E19"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Tous les 6 mois</w:t>
            </w:r>
          </w:p>
        </w:tc>
      </w:tr>
      <w:tr w:rsidR="002D1FA9" w:rsidRPr="002D1FA9" w14:paraId="218E8562" w14:textId="77777777" w:rsidTr="0037560C">
        <w:trPr>
          <w:trHeight w:val="525"/>
        </w:trPr>
        <w:tc>
          <w:tcPr>
            <w:tcW w:w="261" w:type="pct"/>
            <w:tcBorders>
              <w:top w:val="nil"/>
              <w:left w:val="single" w:sz="8" w:space="0" w:color="auto"/>
              <w:bottom w:val="single" w:sz="8" w:space="0" w:color="000000"/>
              <w:right w:val="nil"/>
            </w:tcBorders>
            <w:shd w:val="clear" w:color="auto" w:fill="auto"/>
            <w:vAlign w:val="center"/>
            <w:hideMark/>
          </w:tcPr>
          <w:p w14:paraId="681E6546"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8.1</w:t>
            </w:r>
          </w:p>
        </w:tc>
        <w:tc>
          <w:tcPr>
            <w:tcW w:w="1325" w:type="pct"/>
            <w:tcBorders>
              <w:top w:val="single" w:sz="8" w:space="0" w:color="auto"/>
              <w:left w:val="single" w:sz="8" w:space="0" w:color="auto"/>
              <w:bottom w:val="single" w:sz="8" w:space="0" w:color="auto"/>
              <w:right w:val="nil"/>
            </w:tcBorders>
            <w:shd w:val="clear" w:color="auto" w:fill="auto"/>
            <w:vAlign w:val="bottom"/>
            <w:hideMark/>
          </w:tcPr>
          <w:p w14:paraId="71202A0F"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Agents de l'éducation formés en systèmes de gestion d'information dans les zones ciblées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79FA7669"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189D88D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6E96785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1D93873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155</w:t>
            </w:r>
          </w:p>
        </w:tc>
        <w:tc>
          <w:tcPr>
            <w:tcW w:w="260" w:type="pct"/>
            <w:tcBorders>
              <w:top w:val="nil"/>
              <w:left w:val="nil"/>
              <w:bottom w:val="single" w:sz="8" w:space="0" w:color="000000"/>
              <w:right w:val="single" w:sz="8" w:space="0" w:color="000000"/>
            </w:tcBorders>
            <w:shd w:val="clear" w:color="auto" w:fill="auto"/>
            <w:vAlign w:val="bottom"/>
            <w:hideMark/>
          </w:tcPr>
          <w:p w14:paraId="3FB6E1C8"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175</w:t>
            </w:r>
          </w:p>
        </w:tc>
        <w:tc>
          <w:tcPr>
            <w:tcW w:w="260" w:type="pct"/>
            <w:tcBorders>
              <w:top w:val="nil"/>
              <w:left w:val="nil"/>
              <w:bottom w:val="single" w:sz="8" w:space="0" w:color="000000"/>
              <w:right w:val="single" w:sz="8" w:space="0" w:color="000000"/>
            </w:tcBorders>
            <w:shd w:val="clear" w:color="auto" w:fill="auto"/>
            <w:vAlign w:val="bottom"/>
            <w:hideMark/>
          </w:tcPr>
          <w:p w14:paraId="6600943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218</w:t>
            </w:r>
          </w:p>
        </w:tc>
        <w:tc>
          <w:tcPr>
            <w:tcW w:w="253" w:type="pct"/>
            <w:tcBorders>
              <w:top w:val="nil"/>
              <w:left w:val="nil"/>
              <w:bottom w:val="single" w:sz="8" w:space="0" w:color="000000"/>
              <w:right w:val="single" w:sz="8" w:space="0" w:color="000000"/>
            </w:tcBorders>
            <w:shd w:val="clear" w:color="auto" w:fill="auto"/>
            <w:vAlign w:val="bottom"/>
            <w:hideMark/>
          </w:tcPr>
          <w:p w14:paraId="3F42E4A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044B09B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DBFFDDB"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597A8EA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bottom"/>
            <w:hideMark/>
          </w:tcPr>
          <w:p w14:paraId="4DBE88AF" w14:textId="20392CEC" w:rsidR="002D1FA9" w:rsidRPr="002D1FA9" w:rsidRDefault="002D1FA9" w:rsidP="0037560C">
            <w:pPr>
              <w:spacing w:after="0" w:line="240" w:lineRule="auto"/>
              <w:jc w:val="center"/>
              <w:rPr>
                <w:rFonts w:eastAsia="Times New Roman"/>
                <w:color w:val="000000"/>
                <w:sz w:val="20"/>
                <w:szCs w:val="20"/>
              </w:rPr>
            </w:pPr>
          </w:p>
        </w:tc>
      </w:tr>
      <w:tr w:rsidR="002D1FA9" w:rsidRPr="002D1FA9" w14:paraId="79C6D72E" w14:textId="77777777" w:rsidTr="0037560C">
        <w:trPr>
          <w:trHeight w:val="525"/>
        </w:trPr>
        <w:tc>
          <w:tcPr>
            <w:tcW w:w="261" w:type="pct"/>
            <w:tcBorders>
              <w:top w:val="nil"/>
              <w:left w:val="single" w:sz="8" w:space="0" w:color="auto"/>
              <w:bottom w:val="single" w:sz="8" w:space="0" w:color="000000"/>
              <w:right w:val="nil"/>
            </w:tcBorders>
            <w:shd w:val="clear" w:color="auto" w:fill="auto"/>
            <w:vAlign w:val="center"/>
            <w:hideMark/>
          </w:tcPr>
          <w:p w14:paraId="739FB1FA"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8.2</w:t>
            </w:r>
          </w:p>
        </w:tc>
        <w:tc>
          <w:tcPr>
            <w:tcW w:w="1325" w:type="pct"/>
            <w:tcBorders>
              <w:top w:val="nil"/>
              <w:left w:val="single" w:sz="8" w:space="0" w:color="auto"/>
              <w:bottom w:val="single" w:sz="8" w:space="0" w:color="auto"/>
              <w:right w:val="nil"/>
            </w:tcBorders>
            <w:shd w:val="clear" w:color="auto" w:fill="auto"/>
            <w:vAlign w:val="bottom"/>
            <w:hideMark/>
          </w:tcPr>
          <w:p w14:paraId="507BB88F"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Agents de la santé formés en systèmes de gestion d'information dans les zones ciblées</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35641FCA"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5D245A0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569FA47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4575AA8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4E1C889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130</w:t>
            </w:r>
          </w:p>
        </w:tc>
        <w:tc>
          <w:tcPr>
            <w:tcW w:w="260" w:type="pct"/>
            <w:tcBorders>
              <w:top w:val="nil"/>
              <w:left w:val="nil"/>
              <w:bottom w:val="single" w:sz="8" w:space="0" w:color="000000"/>
              <w:right w:val="single" w:sz="8" w:space="0" w:color="000000"/>
            </w:tcBorders>
            <w:shd w:val="clear" w:color="auto" w:fill="auto"/>
            <w:vAlign w:val="bottom"/>
            <w:hideMark/>
          </w:tcPr>
          <w:p w14:paraId="37B1BB0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331</w:t>
            </w:r>
          </w:p>
        </w:tc>
        <w:tc>
          <w:tcPr>
            <w:tcW w:w="253" w:type="pct"/>
            <w:tcBorders>
              <w:top w:val="nil"/>
              <w:left w:val="nil"/>
              <w:bottom w:val="single" w:sz="8" w:space="0" w:color="000000"/>
              <w:right w:val="single" w:sz="8" w:space="0" w:color="000000"/>
            </w:tcBorders>
            <w:shd w:val="clear" w:color="auto" w:fill="auto"/>
            <w:vAlign w:val="bottom"/>
            <w:hideMark/>
          </w:tcPr>
          <w:p w14:paraId="386042F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5FF61EF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000F3278"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620FCA4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bottom"/>
            <w:hideMark/>
          </w:tcPr>
          <w:p w14:paraId="12D112B1" w14:textId="4C7D184D" w:rsidR="002D1FA9" w:rsidRPr="002D1FA9" w:rsidRDefault="002D1FA9" w:rsidP="0037560C">
            <w:pPr>
              <w:spacing w:after="0" w:line="240" w:lineRule="auto"/>
              <w:jc w:val="center"/>
              <w:rPr>
                <w:rFonts w:eastAsia="Times New Roman"/>
                <w:color w:val="000000"/>
                <w:sz w:val="20"/>
                <w:szCs w:val="20"/>
              </w:rPr>
            </w:pPr>
          </w:p>
        </w:tc>
      </w:tr>
      <w:tr w:rsidR="002D1FA9" w:rsidRPr="002D1FA9" w14:paraId="7C4A979B" w14:textId="77777777" w:rsidTr="0037560C">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5C39F978"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9</w:t>
            </w:r>
          </w:p>
        </w:tc>
        <w:tc>
          <w:tcPr>
            <w:tcW w:w="1325" w:type="pct"/>
            <w:tcBorders>
              <w:top w:val="nil"/>
              <w:left w:val="single" w:sz="4" w:space="0" w:color="auto"/>
              <w:bottom w:val="single" w:sz="4" w:space="0" w:color="auto"/>
              <w:right w:val="nil"/>
            </w:tcBorders>
            <w:shd w:val="clear" w:color="auto" w:fill="auto"/>
            <w:vAlign w:val="bottom"/>
            <w:hideMark/>
          </w:tcPr>
          <w:p w14:paraId="372450E1"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Plans d'actions développés et diffusés sur la base des enquêtes SDI</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073F8AE1"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2BBF83A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6D29593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6650160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96ADBC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037EEA3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36ED0ACA"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EC3BF0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76851D2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6BBB58C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w:t>
            </w:r>
          </w:p>
        </w:tc>
        <w:tc>
          <w:tcPr>
            <w:tcW w:w="431" w:type="pct"/>
            <w:tcBorders>
              <w:top w:val="nil"/>
              <w:left w:val="nil"/>
              <w:bottom w:val="single" w:sz="8" w:space="0" w:color="000000"/>
              <w:right w:val="single" w:sz="8" w:space="0" w:color="000000"/>
            </w:tcBorders>
            <w:shd w:val="clear" w:color="auto" w:fill="auto"/>
            <w:vAlign w:val="bottom"/>
            <w:hideMark/>
          </w:tcPr>
          <w:p w14:paraId="0D4A73D6"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18B1C6ED" w14:textId="77777777" w:rsidTr="0037560C">
        <w:trPr>
          <w:trHeight w:val="78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54A6FE5B"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10</w:t>
            </w:r>
          </w:p>
        </w:tc>
        <w:tc>
          <w:tcPr>
            <w:tcW w:w="1325" w:type="pct"/>
            <w:tcBorders>
              <w:top w:val="nil"/>
              <w:left w:val="single" w:sz="4" w:space="0" w:color="auto"/>
              <w:bottom w:val="single" w:sz="4" w:space="0" w:color="auto"/>
              <w:right w:val="nil"/>
            </w:tcBorders>
            <w:shd w:val="clear" w:color="auto" w:fill="auto"/>
            <w:vAlign w:val="bottom"/>
            <w:hideMark/>
          </w:tcPr>
          <w:p w14:paraId="2578DC60" w14:textId="77777777" w:rsidR="002D1FA9" w:rsidRPr="002D1FA9" w:rsidRDefault="002D1FA9" w:rsidP="0037560C">
            <w:pPr>
              <w:spacing w:after="0" w:line="240" w:lineRule="auto"/>
              <w:rPr>
                <w:rFonts w:eastAsia="Times New Roman"/>
                <w:sz w:val="20"/>
                <w:szCs w:val="20"/>
                <w:lang w:val="fr-FR"/>
              </w:rPr>
            </w:pPr>
            <w:r w:rsidRPr="002D1FA9">
              <w:rPr>
                <w:rFonts w:eastAsia="Times New Roman"/>
                <w:sz w:val="20"/>
                <w:szCs w:val="20"/>
                <w:lang w:val="fr-FR"/>
              </w:rPr>
              <w:t>Business plan pour une autorité de régulation des médicaments essentiels plus autonome développé et diffusé</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28AB1742"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tcBorders>
              <w:top w:val="nil"/>
              <w:left w:val="nil"/>
              <w:bottom w:val="single" w:sz="8" w:space="0" w:color="000000"/>
              <w:right w:val="single" w:sz="8" w:space="0" w:color="000000"/>
            </w:tcBorders>
            <w:shd w:val="clear" w:color="auto" w:fill="auto"/>
            <w:vAlign w:val="bottom"/>
            <w:hideMark/>
          </w:tcPr>
          <w:p w14:paraId="46A8044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36B93F0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7BB3FFE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436E282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7406255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2AD48DD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7536E4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16BA00C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78BC45C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431" w:type="pct"/>
            <w:tcBorders>
              <w:top w:val="nil"/>
              <w:left w:val="nil"/>
              <w:bottom w:val="single" w:sz="8" w:space="0" w:color="000000"/>
              <w:right w:val="single" w:sz="8" w:space="0" w:color="000000"/>
            </w:tcBorders>
            <w:shd w:val="clear" w:color="auto" w:fill="auto"/>
            <w:vAlign w:val="bottom"/>
            <w:hideMark/>
          </w:tcPr>
          <w:p w14:paraId="69CDD6AE"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69C9E091" w14:textId="77777777" w:rsidTr="0037560C">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77293348"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11</w:t>
            </w:r>
          </w:p>
        </w:tc>
        <w:tc>
          <w:tcPr>
            <w:tcW w:w="1325" w:type="pct"/>
            <w:tcBorders>
              <w:top w:val="nil"/>
              <w:left w:val="nil"/>
              <w:bottom w:val="single" w:sz="8" w:space="0" w:color="000000"/>
              <w:right w:val="nil"/>
            </w:tcBorders>
            <w:shd w:val="clear" w:color="auto" w:fill="auto"/>
            <w:vAlign w:val="bottom"/>
            <w:hideMark/>
          </w:tcPr>
          <w:p w14:paraId="02A15269"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Business plan pour la FEDECAME développé et diffusé</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01E3465D"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070F047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662A961F"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0ACE207D"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0C11B07"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B369730"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6852D664"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CF79EE2"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529714CC"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0905C80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431" w:type="pct"/>
            <w:tcBorders>
              <w:top w:val="nil"/>
              <w:left w:val="nil"/>
              <w:bottom w:val="single" w:sz="8" w:space="0" w:color="000000"/>
              <w:right w:val="single" w:sz="8" w:space="0" w:color="000000"/>
            </w:tcBorders>
            <w:shd w:val="clear" w:color="auto" w:fill="auto"/>
            <w:vAlign w:val="bottom"/>
            <w:hideMark/>
          </w:tcPr>
          <w:p w14:paraId="3DD68570"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1A9960BD" w14:textId="77777777" w:rsidTr="0037560C">
        <w:trPr>
          <w:trHeight w:val="78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00B91470"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12</w:t>
            </w:r>
          </w:p>
        </w:tc>
        <w:tc>
          <w:tcPr>
            <w:tcW w:w="1325" w:type="pct"/>
            <w:tcBorders>
              <w:top w:val="nil"/>
              <w:left w:val="nil"/>
              <w:bottom w:val="single" w:sz="8" w:space="0" w:color="000000"/>
              <w:right w:val="nil"/>
            </w:tcBorders>
            <w:shd w:val="clear" w:color="auto" w:fill="auto"/>
            <w:vAlign w:val="bottom"/>
            <w:hideMark/>
          </w:tcPr>
          <w:p w14:paraId="5751C688" w14:textId="77777777" w:rsidR="002D1FA9" w:rsidRPr="002D1FA9" w:rsidRDefault="002D1FA9" w:rsidP="0037560C">
            <w:pPr>
              <w:spacing w:after="0" w:line="240" w:lineRule="auto"/>
              <w:rPr>
                <w:rFonts w:eastAsia="Times New Roman"/>
                <w:color w:val="000000"/>
                <w:sz w:val="20"/>
                <w:szCs w:val="20"/>
                <w:lang w:val="fr-FR"/>
              </w:rPr>
            </w:pPr>
            <w:r w:rsidRPr="002D1FA9">
              <w:rPr>
                <w:rFonts w:eastAsia="Times New Roman"/>
                <w:color w:val="000000"/>
                <w:sz w:val="20"/>
                <w:szCs w:val="20"/>
                <w:lang w:val="fr-FR"/>
              </w:rPr>
              <w:t>Plan d'action pour l'optimisation de la logistique des médicaments essentiels dans les provinces ciblées développé et diffusé</w:t>
            </w:r>
          </w:p>
        </w:tc>
        <w:tc>
          <w:tcPr>
            <w:tcW w:w="465" w:type="pct"/>
            <w:tcBorders>
              <w:top w:val="nil"/>
              <w:left w:val="single" w:sz="8" w:space="0" w:color="000000"/>
              <w:bottom w:val="single" w:sz="8" w:space="0" w:color="000000"/>
              <w:right w:val="single" w:sz="8" w:space="0" w:color="000000"/>
            </w:tcBorders>
            <w:shd w:val="clear" w:color="auto" w:fill="auto"/>
            <w:vAlign w:val="bottom"/>
            <w:hideMark/>
          </w:tcPr>
          <w:p w14:paraId="773A31EF" w14:textId="77777777" w:rsidR="002D1FA9" w:rsidRPr="002D1FA9" w:rsidRDefault="002D1FA9" w:rsidP="0037560C">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0E9AA40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5D9339F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7422C27E"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748C43D9"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4413C13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44E80551"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1420BFF5"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770D113"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4E11B326" w14:textId="77777777" w:rsidR="002D1FA9" w:rsidRPr="002D1FA9" w:rsidRDefault="002D1FA9" w:rsidP="0037560C">
            <w:pPr>
              <w:spacing w:after="0" w:line="240" w:lineRule="auto"/>
              <w:jc w:val="right"/>
              <w:rPr>
                <w:rFonts w:eastAsia="Times New Roman"/>
                <w:color w:val="000000"/>
                <w:sz w:val="20"/>
                <w:szCs w:val="20"/>
              </w:rPr>
            </w:pPr>
            <w:r w:rsidRPr="002D1FA9">
              <w:rPr>
                <w:rFonts w:eastAsia="Times New Roman"/>
                <w:color w:val="000000"/>
                <w:sz w:val="20"/>
                <w:szCs w:val="20"/>
              </w:rPr>
              <w:t>2</w:t>
            </w:r>
          </w:p>
        </w:tc>
        <w:tc>
          <w:tcPr>
            <w:tcW w:w="431" w:type="pct"/>
            <w:tcBorders>
              <w:top w:val="nil"/>
              <w:left w:val="nil"/>
              <w:bottom w:val="single" w:sz="8" w:space="0" w:color="000000"/>
              <w:right w:val="single" w:sz="8" w:space="0" w:color="000000"/>
            </w:tcBorders>
            <w:shd w:val="clear" w:color="auto" w:fill="auto"/>
            <w:vAlign w:val="bottom"/>
            <w:hideMark/>
          </w:tcPr>
          <w:p w14:paraId="18128C34" w14:textId="77777777" w:rsidR="002D1FA9" w:rsidRPr="002D1FA9" w:rsidRDefault="002D1FA9" w:rsidP="0037560C">
            <w:pPr>
              <w:spacing w:after="0" w:line="240" w:lineRule="auto"/>
              <w:jc w:val="center"/>
              <w:rPr>
                <w:rFonts w:eastAsia="Times New Roman"/>
                <w:color w:val="000000"/>
                <w:sz w:val="20"/>
                <w:szCs w:val="20"/>
              </w:rPr>
            </w:pPr>
            <w:r w:rsidRPr="002D1FA9">
              <w:rPr>
                <w:rFonts w:eastAsia="Times New Roman"/>
                <w:color w:val="000000"/>
                <w:sz w:val="20"/>
                <w:szCs w:val="20"/>
              </w:rPr>
              <w:t>Annuelle</w:t>
            </w:r>
          </w:p>
        </w:tc>
      </w:tr>
      <w:tr w:rsidR="002D1FA9" w:rsidRPr="002D1FA9" w14:paraId="4B1F178F" w14:textId="77777777" w:rsidTr="00057E97">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0920EED5"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w:t>
            </w:r>
          </w:p>
        </w:tc>
        <w:tc>
          <w:tcPr>
            <w:tcW w:w="1325" w:type="pct"/>
            <w:tcBorders>
              <w:top w:val="single" w:sz="4" w:space="0" w:color="auto"/>
              <w:left w:val="single" w:sz="4" w:space="0" w:color="auto"/>
              <w:bottom w:val="single" w:sz="4" w:space="0" w:color="auto"/>
              <w:right w:val="nil"/>
            </w:tcBorders>
            <w:shd w:val="clear" w:color="auto" w:fill="auto"/>
            <w:vAlign w:val="center"/>
            <w:hideMark/>
          </w:tcPr>
          <w:p w14:paraId="4F770F62" w14:textId="77777777" w:rsidR="002D1FA9" w:rsidRPr="002D1FA9" w:rsidRDefault="002D1FA9" w:rsidP="002D1FA9">
            <w:pPr>
              <w:spacing w:after="0" w:line="240" w:lineRule="auto"/>
              <w:rPr>
                <w:rFonts w:eastAsia="Times New Roman"/>
                <w:sz w:val="20"/>
                <w:szCs w:val="20"/>
                <w:lang w:val="fr-FR"/>
              </w:rPr>
            </w:pPr>
            <w:r w:rsidRPr="002D1FA9">
              <w:rPr>
                <w:rFonts w:eastAsia="Times New Roman"/>
                <w:sz w:val="20"/>
                <w:szCs w:val="20"/>
                <w:lang w:val="fr-FR"/>
              </w:rPr>
              <w:t>Etudes financées par la Composante 3 terminées et diffusées</w:t>
            </w:r>
          </w:p>
        </w:tc>
        <w:tc>
          <w:tcPr>
            <w:tcW w:w="465" w:type="pct"/>
            <w:tcBorders>
              <w:top w:val="nil"/>
              <w:left w:val="single" w:sz="8" w:space="0" w:color="000000"/>
              <w:bottom w:val="single" w:sz="8" w:space="0" w:color="000000"/>
              <w:right w:val="single" w:sz="8" w:space="0" w:color="000000"/>
            </w:tcBorders>
            <w:shd w:val="clear" w:color="auto" w:fill="auto"/>
            <w:vAlign w:val="center"/>
            <w:hideMark/>
          </w:tcPr>
          <w:p w14:paraId="259610AC"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090A69C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6F89DD1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16F3088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049C03BC"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260" w:type="pct"/>
            <w:tcBorders>
              <w:top w:val="nil"/>
              <w:left w:val="nil"/>
              <w:bottom w:val="single" w:sz="8" w:space="0" w:color="000000"/>
              <w:right w:val="single" w:sz="8" w:space="0" w:color="000000"/>
            </w:tcBorders>
            <w:shd w:val="clear" w:color="auto" w:fill="auto"/>
            <w:vAlign w:val="bottom"/>
            <w:hideMark/>
          </w:tcPr>
          <w:p w14:paraId="7047F618"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2</w:t>
            </w:r>
          </w:p>
        </w:tc>
        <w:tc>
          <w:tcPr>
            <w:tcW w:w="253" w:type="pct"/>
            <w:tcBorders>
              <w:top w:val="nil"/>
              <w:left w:val="nil"/>
              <w:bottom w:val="single" w:sz="8" w:space="0" w:color="000000"/>
              <w:right w:val="single" w:sz="8" w:space="0" w:color="000000"/>
            </w:tcBorders>
            <w:shd w:val="clear" w:color="auto" w:fill="auto"/>
            <w:vAlign w:val="bottom"/>
            <w:hideMark/>
          </w:tcPr>
          <w:p w14:paraId="13B8FCC5"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AC5C365"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4FE5CB8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3DBD47EB"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7</w:t>
            </w:r>
          </w:p>
        </w:tc>
        <w:tc>
          <w:tcPr>
            <w:tcW w:w="431" w:type="pct"/>
            <w:tcBorders>
              <w:top w:val="nil"/>
              <w:left w:val="nil"/>
              <w:bottom w:val="single" w:sz="8" w:space="0" w:color="000000"/>
              <w:right w:val="single" w:sz="8" w:space="0" w:color="000000"/>
            </w:tcBorders>
            <w:shd w:val="clear" w:color="auto" w:fill="auto"/>
            <w:vAlign w:val="center"/>
            <w:hideMark/>
          </w:tcPr>
          <w:p w14:paraId="217CC85B"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Annuelle</w:t>
            </w:r>
          </w:p>
        </w:tc>
      </w:tr>
      <w:tr w:rsidR="002D1FA9" w:rsidRPr="002D1FA9" w14:paraId="1EB89E14" w14:textId="77777777" w:rsidTr="00057E97">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02D7B440"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13.1</w:t>
            </w:r>
          </w:p>
        </w:tc>
        <w:tc>
          <w:tcPr>
            <w:tcW w:w="1325" w:type="pct"/>
            <w:tcBorders>
              <w:top w:val="nil"/>
              <w:left w:val="nil"/>
              <w:bottom w:val="single" w:sz="8" w:space="0" w:color="000000"/>
              <w:right w:val="nil"/>
            </w:tcBorders>
            <w:shd w:val="clear" w:color="auto" w:fill="auto"/>
            <w:vAlign w:val="center"/>
            <w:hideMark/>
          </w:tcPr>
          <w:p w14:paraId="282AB2EC"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 xml:space="preserve">Etude relative à l'évaluation de la vulnérabilité en RDC (MINAS) </w:t>
            </w:r>
          </w:p>
        </w:tc>
        <w:tc>
          <w:tcPr>
            <w:tcW w:w="465" w:type="pct"/>
            <w:tcBorders>
              <w:top w:val="nil"/>
              <w:left w:val="single" w:sz="8" w:space="0" w:color="000000"/>
              <w:bottom w:val="single" w:sz="8" w:space="0" w:color="000000"/>
              <w:right w:val="single" w:sz="8" w:space="0" w:color="000000"/>
            </w:tcBorders>
            <w:shd w:val="clear" w:color="auto" w:fill="auto"/>
            <w:vAlign w:val="center"/>
            <w:hideMark/>
          </w:tcPr>
          <w:p w14:paraId="091EE002"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00844FCC"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6EF5F8E2"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253" w:type="pct"/>
            <w:tcBorders>
              <w:top w:val="nil"/>
              <w:left w:val="nil"/>
              <w:bottom w:val="single" w:sz="8" w:space="0" w:color="000000"/>
              <w:right w:val="single" w:sz="8" w:space="0" w:color="000000"/>
            </w:tcBorders>
            <w:shd w:val="clear" w:color="auto" w:fill="auto"/>
            <w:vAlign w:val="bottom"/>
            <w:hideMark/>
          </w:tcPr>
          <w:p w14:paraId="6D59E3A5"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C7F2BC0"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5BE3380"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0CCA8BAC"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515CF49D"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76210E89"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6D37A65D"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center"/>
            <w:hideMark/>
          </w:tcPr>
          <w:p w14:paraId="0AF61CB9"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w:t>
            </w:r>
          </w:p>
        </w:tc>
      </w:tr>
      <w:tr w:rsidR="002D1FA9" w:rsidRPr="002D1FA9" w14:paraId="15D0FDBF" w14:textId="77777777" w:rsidTr="00057E97">
        <w:trPr>
          <w:trHeight w:val="78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2B9539F0"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13.2</w:t>
            </w:r>
          </w:p>
        </w:tc>
        <w:tc>
          <w:tcPr>
            <w:tcW w:w="1325" w:type="pct"/>
            <w:tcBorders>
              <w:top w:val="nil"/>
              <w:left w:val="nil"/>
              <w:bottom w:val="single" w:sz="8" w:space="0" w:color="000000"/>
              <w:right w:val="single" w:sz="8" w:space="0" w:color="000000"/>
            </w:tcBorders>
            <w:shd w:val="clear" w:color="auto" w:fill="auto"/>
            <w:vAlign w:val="center"/>
            <w:hideMark/>
          </w:tcPr>
          <w:p w14:paraId="16DC6968"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 xml:space="preserve">Etude de faisabilité pour la transformation des centres de promotion sociale et l'augmentation de leur contribution à la protection sociale (MINAS) </w:t>
            </w:r>
          </w:p>
        </w:tc>
        <w:tc>
          <w:tcPr>
            <w:tcW w:w="465" w:type="pct"/>
            <w:tcBorders>
              <w:top w:val="nil"/>
              <w:left w:val="nil"/>
              <w:bottom w:val="single" w:sz="8" w:space="0" w:color="000000"/>
              <w:right w:val="single" w:sz="8" w:space="0" w:color="000000"/>
            </w:tcBorders>
            <w:shd w:val="clear" w:color="auto" w:fill="auto"/>
            <w:vAlign w:val="center"/>
            <w:hideMark/>
          </w:tcPr>
          <w:p w14:paraId="20C47D9F"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2D13F12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7116A44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0CA92C76"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511B574D"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20F0F3CD"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253" w:type="pct"/>
            <w:tcBorders>
              <w:top w:val="nil"/>
              <w:left w:val="nil"/>
              <w:bottom w:val="single" w:sz="8" w:space="0" w:color="000000"/>
              <w:right w:val="single" w:sz="8" w:space="0" w:color="000000"/>
            </w:tcBorders>
            <w:shd w:val="clear" w:color="auto" w:fill="auto"/>
            <w:vAlign w:val="bottom"/>
            <w:hideMark/>
          </w:tcPr>
          <w:p w14:paraId="56C5B63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79ED6041"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2292A7DC"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6F3E5B5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center"/>
            <w:hideMark/>
          </w:tcPr>
          <w:p w14:paraId="46431031"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w:t>
            </w:r>
          </w:p>
        </w:tc>
      </w:tr>
      <w:tr w:rsidR="002D1FA9" w:rsidRPr="002D1FA9" w14:paraId="34DA6AE3" w14:textId="77777777" w:rsidTr="00057E97">
        <w:trPr>
          <w:trHeight w:val="78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0DA348FA"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13.3</w:t>
            </w:r>
          </w:p>
        </w:tc>
        <w:tc>
          <w:tcPr>
            <w:tcW w:w="1325" w:type="pct"/>
            <w:tcBorders>
              <w:top w:val="nil"/>
              <w:left w:val="nil"/>
              <w:bottom w:val="single" w:sz="8" w:space="0" w:color="000000"/>
              <w:right w:val="single" w:sz="8" w:space="0" w:color="000000"/>
            </w:tcBorders>
            <w:shd w:val="clear" w:color="auto" w:fill="auto"/>
            <w:vAlign w:val="center"/>
            <w:hideMark/>
          </w:tcPr>
          <w:p w14:paraId="4C336853"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 xml:space="preserve">3. Etude sur la revue de l'expérience de la RDC des mécanismes de mutualisation des risques financiers pour améliorer l'accès aux services de santé (METPS) </w:t>
            </w:r>
          </w:p>
        </w:tc>
        <w:tc>
          <w:tcPr>
            <w:tcW w:w="465" w:type="pct"/>
            <w:tcBorders>
              <w:top w:val="nil"/>
              <w:left w:val="nil"/>
              <w:bottom w:val="single" w:sz="8" w:space="0" w:color="000000"/>
              <w:right w:val="single" w:sz="8" w:space="0" w:color="000000"/>
            </w:tcBorders>
            <w:shd w:val="clear" w:color="auto" w:fill="auto"/>
            <w:vAlign w:val="center"/>
            <w:hideMark/>
          </w:tcPr>
          <w:p w14:paraId="6B361942"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1573E26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19C152C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2891491A"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68AE35B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7E50CF4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7D2CD066"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B43D1C4"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3D317A8"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443F5E80"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center"/>
            <w:hideMark/>
          </w:tcPr>
          <w:p w14:paraId="4E191F81"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w:t>
            </w:r>
          </w:p>
        </w:tc>
      </w:tr>
      <w:tr w:rsidR="002D1FA9" w:rsidRPr="002D1FA9" w14:paraId="060A9668" w14:textId="77777777" w:rsidTr="00057E97">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3A4343D5"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13.4</w:t>
            </w:r>
          </w:p>
        </w:tc>
        <w:tc>
          <w:tcPr>
            <w:tcW w:w="1325" w:type="pct"/>
            <w:tcBorders>
              <w:top w:val="nil"/>
              <w:left w:val="nil"/>
              <w:bottom w:val="single" w:sz="8" w:space="0" w:color="000000"/>
              <w:right w:val="single" w:sz="8" w:space="0" w:color="000000"/>
            </w:tcBorders>
            <w:shd w:val="clear" w:color="auto" w:fill="auto"/>
            <w:vAlign w:val="center"/>
            <w:hideMark/>
          </w:tcPr>
          <w:p w14:paraId="418E1327"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 xml:space="preserve">Etude du marché du travail mettant un accent particulier sur le travail de qualité   </w:t>
            </w:r>
          </w:p>
        </w:tc>
        <w:tc>
          <w:tcPr>
            <w:tcW w:w="465" w:type="pct"/>
            <w:tcBorders>
              <w:top w:val="nil"/>
              <w:left w:val="nil"/>
              <w:bottom w:val="single" w:sz="8" w:space="0" w:color="000000"/>
              <w:right w:val="single" w:sz="8" w:space="0" w:color="000000"/>
            </w:tcBorders>
            <w:shd w:val="clear" w:color="auto" w:fill="auto"/>
            <w:vAlign w:val="center"/>
            <w:hideMark/>
          </w:tcPr>
          <w:p w14:paraId="028191AB"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3FBE001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7715A029"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13AE2BC6"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1BD20D8B"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645E5354"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1</w:t>
            </w:r>
          </w:p>
        </w:tc>
        <w:tc>
          <w:tcPr>
            <w:tcW w:w="253" w:type="pct"/>
            <w:tcBorders>
              <w:top w:val="nil"/>
              <w:left w:val="nil"/>
              <w:bottom w:val="single" w:sz="8" w:space="0" w:color="000000"/>
              <w:right w:val="single" w:sz="8" w:space="0" w:color="000000"/>
            </w:tcBorders>
            <w:shd w:val="clear" w:color="auto" w:fill="auto"/>
            <w:vAlign w:val="bottom"/>
            <w:hideMark/>
          </w:tcPr>
          <w:p w14:paraId="11AFA272"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19F7BC98"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500ACA24"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48F9A66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center"/>
            <w:hideMark/>
          </w:tcPr>
          <w:p w14:paraId="2C70FF9B"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w:t>
            </w:r>
          </w:p>
        </w:tc>
      </w:tr>
      <w:tr w:rsidR="002D1FA9" w:rsidRPr="002D1FA9" w14:paraId="7E9E2CA9" w14:textId="77777777" w:rsidTr="00057E97">
        <w:trPr>
          <w:trHeight w:val="525"/>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5F38D6FE"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13.5</w:t>
            </w:r>
          </w:p>
        </w:tc>
        <w:tc>
          <w:tcPr>
            <w:tcW w:w="1325" w:type="pct"/>
            <w:tcBorders>
              <w:top w:val="nil"/>
              <w:left w:val="nil"/>
              <w:bottom w:val="single" w:sz="8" w:space="0" w:color="000000"/>
              <w:right w:val="single" w:sz="8" w:space="0" w:color="000000"/>
            </w:tcBorders>
            <w:shd w:val="clear" w:color="auto" w:fill="auto"/>
            <w:vAlign w:val="center"/>
            <w:hideMark/>
          </w:tcPr>
          <w:p w14:paraId="229CA57E"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Etude de revue des dépenses publiques en protection sociale</w:t>
            </w:r>
          </w:p>
        </w:tc>
        <w:tc>
          <w:tcPr>
            <w:tcW w:w="465" w:type="pct"/>
            <w:tcBorders>
              <w:top w:val="nil"/>
              <w:left w:val="nil"/>
              <w:bottom w:val="single" w:sz="8" w:space="0" w:color="000000"/>
              <w:right w:val="single" w:sz="8" w:space="0" w:color="000000"/>
            </w:tcBorders>
            <w:shd w:val="clear" w:color="auto" w:fill="auto"/>
            <w:vAlign w:val="center"/>
            <w:hideMark/>
          </w:tcPr>
          <w:p w14:paraId="6E8596BB"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15F47A79"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5F0B3538"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4C05873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0B2091E9"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7B8A5E1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0647F538"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119711A1"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6B8C0E60"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77105E40"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center"/>
            <w:hideMark/>
          </w:tcPr>
          <w:p w14:paraId="49FCB450"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w:t>
            </w:r>
          </w:p>
        </w:tc>
      </w:tr>
      <w:tr w:rsidR="002D1FA9" w:rsidRPr="002D1FA9" w14:paraId="3273452F" w14:textId="77777777" w:rsidTr="00057E97">
        <w:trPr>
          <w:trHeight w:val="780"/>
        </w:trPr>
        <w:tc>
          <w:tcPr>
            <w:tcW w:w="261" w:type="pct"/>
            <w:tcBorders>
              <w:top w:val="nil"/>
              <w:left w:val="single" w:sz="8" w:space="0" w:color="auto"/>
              <w:bottom w:val="single" w:sz="8" w:space="0" w:color="000000"/>
              <w:right w:val="single" w:sz="8" w:space="0" w:color="000000"/>
            </w:tcBorders>
            <w:shd w:val="clear" w:color="auto" w:fill="auto"/>
            <w:vAlign w:val="center"/>
            <w:hideMark/>
          </w:tcPr>
          <w:p w14:paraId="15245A2A"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13.6</w:t>
            </w:r>
          </w:p>
        </w:tc>
        <w:tc>
          <w:tcPr>
            <w:tcW w:w="1325" w:type="pct"/>
            <w:tcBorders>
              <w:top w:val="nil"/>
              <w:left w:val="nil"/>
              <w:bottom w:val="single" w:sz="8" w:space="0" w:color="000000"/>
              <w:right w:val="single" w:sz="8" w:space="0" w:color="000000"/>
            </w:tcBorders>
            <w:shd w:val="clear" w:color="auto" w:fill="auto"/>
            <w:vAlign w:val="center"/>
            <w:hideMark/>
          </w:tcPr>
          <w:p w14:paraId="2EA3C005"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L’audit institutionnel et organisationnel du Secrétariat Général au Ministère de l’Emploi, du travail et de la prévoyance sociale</w:t>
            </w:r>
          </w:p>
        </w:tc>
        <w:tc>
          <w:tcPr>
            <w:tcW w:w="465" w:type="pct"/>
            <w:tcBorders>
              <w:top w:val="nil"/>
              <w:left w:val="nil"/>
              <w:bottom w:val="single" w:sz="8" w:space="0" w:color="000000"/>
              <w:right w:val="single" w:sz="8" w:space="0" w:color="000000"/>
            </w:tcBorders>
            <w:shd w:val="clear" w:color="auto" w:fill="auto"/>
            <w:vAlign w:val="center"/>
            <w:hideMark/>
          </w:tcPr>
          <w:p w14:paraId="5B0A5396"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Nombre </w:t>
            </w:r>
          </w:p>
        </w:tc>
        <w:tc>
          <w:tcPr>
            <w:tcW w:w="413" w:type="pct"/>
            <w:tcBorders>
              <w:top w:val="nil"/>
              <w:left w:val="nil"/>
              <w:bottom w:val="single" w:sz="8" w:space="0" w:color="000000"/>
              <w:right w:val="single" w:sz="8" w:space="0" w:color="000000"/>
            </w:tcBorders>
            <w:shd w:val="clear" w:color="auto" w:fill="auto"/>
            <w:vAlign w:val="bottom"/>
            <w:hideMark/>
          </w:tcPr>
          <w:p w14:paraId="36357E2E"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tcBorders>
              <w:top w:val="nil"/>
              <w:left w:val="nil"/>
              <w:bottom w:val="single" w:sz="8" w:space="0" w:color="000000"/>
              <w:right w:val="single" w:sz="8" w:space="0" w:color="000000"/>
            </w:tcBorders>
            <w:shd w:val="clear" w:color="auto" w:fill="auto"/>
            <w:vAlign w:val="bottom"/>
            <w:hideMark/>
          </w:tcPr>
          <w:p w14:paraId="3D3678A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6DBEDB74"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4DF5F3F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60" w:type="pct"/>
            <w:tcBorders>
              <w:top w:val="nil"/>
              <w:left w:val="nil"/>
              <w:bottom w:val="single" w:sz="8" w:space="0" w:color="000000"/>
              <w:right w:val="single" w:sz="8" w:space="0" w:color="000000"/>
            </w:tcBorders>
            <w:shd w:val="clear" w:color="auto" w:fill="auto"/>
            <w:vAlign w:val="bottom"/>
            <w:hideMark/>
          </w:tcPr>
          <w:p w14:paraId="6F9D2A4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tcBorders>
              <w:top w:val="nil"/>
              <w:left w:val="nil"/>
              <w:bottom w:val="single" w:sz="8" w:space="0" w:color="000000"/>
              <w:right w:val="single" w:sz="8" w:space="0" w:color="000000"/>
            </w:tcBorders>
            <w:shd w:val="clear" w:color="auto" w:fill="auto"/>
            <w:vAlign w:val="bottom"/>
            <w:hideMark/>
          </w:tcPr>
          <w:p w14:paraId="7B6B3CE1"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5C0B7D58"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tcBorders>
              <w:top w:val="nil"/>
              <w:left w:val="nil"/>
              <w:bottom w:val="single" w:sz="8" w:space="0" w:color="000000"/>
              <w:right w:val="single" w:sz="8" w:space="0" w:color="000000"/>
            </w:tcBorders>
            <w:shd w:val="clear" w:color="auto" w:fill="auto"/>
            <w:vAlign w:val="bottom"/>
            <w:hideMark/>
          </w:tcPr>
          <w:p w14:paraId="3FD491AE"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tcBorders>
              <w:top w:val="nil"/>
              <w:left w:val="nil"/>
              <w:bottom w:val="single" w:sz="8" w:space="0" w:color="000000"/>
              <w:right w:val="single" w:sz="8" w:space="0" w:color="000000"/>
            </w:tcBorders>
            <w:shd w:val="clear" w:color="auto" w:fill="auto"/>
            <w:vAlign w:val="bottom"/>
            <w:hideMark/>
          </w:tcPr>
          <w:p w14:paraId="58E58B96"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431" w:type="pct"/>
            <w:tcBorders>
              <w:top w:val="nil"/>
              <w:left w:val="nil"/>
              <w:bottom w:val="single" w:sz="8" w:space="0" w:color="000000"/>
              <w:right w:val="single" w:sz="8" w:space="0" w:color="000000"/>
            </w:tcBorders>
            <w:shd w:val="clear" w:color="auto" w:fill="auto"/>
            <w:vAlign w:val="center"/>
            <w:hideMark/>
          </w:tcPr>
          <w:p w14:paraId="7928EF5A"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Annulé</w:t>
            </w:r>
          </w:p>
        </w:tc>
      </w:tr>
      <w:tr w:rsidR="002D1FA9" w:rsidRPr="002D1FA9" w14:paraId="7A094BC6" w14:textId="77777777" w:rsidTr="00057E97">
        <w:trPr>
          <w:trHeight w:val="255"/>
        </w:trPr>
        <w:tc>
          <w:tcPr>
            <w:tcW w:w="261" w:type="pct"/>
            <w:vMerge w:val="restart"/>
            <w:tcBorders>
              <w:top w:val="nil"/>
              <w:left w:val="single" w:sz="8" w:space="0" w:color="auto"/>
              <w:bottom w:val="single" w:sz="8" w:space="0" w:color="000000"/>
              <w:right w:val="single" w:sz="8" w:space="0" w:color="000000"/>
            </w:tcBorders>
            <w:shd w:val="clear" w:color="auto" w:fill="auto"/>
            <w:vAlign w:val="center"/>
            <w:hideMark/>
          </w:tcPr>
          <w:p w14:paraId="0B31EEB9"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14</w:t>
            </w:r>
          </w:p>
        </w:tc>
        <w:tc>
          <w:tcPr>
            <w:tcW w:w="1325" w:type="pct"/>
            <w:vMerge w:val="restart"/>
            <w:tcBorders>
              <w:top w:val="nil"/>
              <w:left w:val="single" w:sz="8" w:space="0" w:color="000000"/>
              <w:bottom w:val="nil"/>
              <w:right w:val="single" w:sz="8" w:space="0" w:color="000000"/>
            </w:tcBorders>
            <w:shd w:val="clear" w:color="auto" w:fill="auto"/>
            <w:vAlign w:val="center"/>
            <w:hideMark/>
          </w:tcPr>
          <w:p w14:paraId="159FF019"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Bénéficiaires directs du projet</w:t>
            </w:r>
          </w:p>
        </w:tc>
        <w:tc>
          <w:tcPr>
            <w:tcW w:w="46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3CAAE19"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Nombre</w:t>
            </w:r>
          </w:p>
        </w:tc>
        <w:tc>
          <w:tcPr>
            <w:tcW w:w="41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0185C5B6"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03FE7551"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vMerge w:val="restart"/>
            <w:tcBorders>
              <w:top w:val="nil"/>
              <w:left w:val="nil"/>
              <w:bottom w:val="single" w:sz="8" w:space="0" w:color="000000"/>
              <w:right w:val="single" w:sz="8" w:space="0" w:color="auto"/>
            </w:tcBorders>
            <w:shd w:val="clear" w:color="auto" w:fill="auto"/>
            <w:vAlign w:val="bottom"/>
            <w:hideMark/>
          </w:tcPr>
          <w:p w14:paraId="53E75F9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155</w:t>
            </w:r>
          </w:p>
        </w:tc>
        <w:tc>
          <w:tcPr>
            <w:tcW w:w="260" w:type="pct"/>
            <w:vMerge w:val="restart"/>
            <w:tcBorders>
              <w:top w:val="nil"/>
              <w:left w:val="single" w:sz="8" w:space="0" w:color="auto"/>
              <w:bottom w:val="single" w:sz="8" w:space="0" w:color="000000"/>
              <w:right w:val="single" w:sz="8" w:space="0" w:color="auto"/>
            </w:tcBorders>
            <w:shd w:val="clear" w:color="auto" w:fill="auto"/>
            <w:vAlign w:val="bottom"/>
            <w:hideMark/>
          </w:tcPr>
          <w:p w14:paraId="6E4C28C3"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305</w:t>
            </w:r>
          </w:p>
        </w:tc>
        <w:tc>
          <w:tcPr>
            <w:tcW w:w="260" w:type="pct"/>
            <w:vMerge w:val="restart"/>
            <w:tcBorders>
              <w:top w:val="nil"/>
              <w:left w:val="nil"/>
              <w:bottom w:val="single" w:sz="8" w:space="0" w:color="000000"/>
              <w:right w:val="nil"/>
            </w:tcBorders>
            <w:shd w:val="clear" w:color="auto" w:fill="auto"/>
            <w:vAlign w:val="bottom"/>
            <w:hideMark/>
          </w:tcPr>
          <w:p w14:paraId="7AC4C529"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549</w:t>
            </w:r>
          </w:p>
        </w:tc>
        <w:tc>
          <w:tcPr>
            <w:tcW w:w="253" w:type="pct"/>
            <w:vMerge w:val="restart"/>
            <w:tcBorders>
              <w:top w:val="nil"/>
              <w:left w:val="single" w:sz="8" w:space="0" w:color="auto"/>
              <w:bottom w:val="single" w:sz="8" w:space="0" w:color="000000"/>
              <w:right w:val="single" w:sz="8" w:space="0" w:color="auto"/>
            </w:tcBorders>
            <w:shd w:val="clear" w:color="auto" w:fill="auto"/>
            <w:vAlign w:val="bottom"/>
            <w:hideMark/>
          </w:tcPr>
          <w:p w14:paraId="69CCADB4"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vMerge w:val="restart"/>
            <w:tcBorders>
              <w:top w:val="nil"/>
              <w:left w:val="single" w:sz="8" w:space="0" w:color="auto"/>
              <w:bottom w:val="single" w:sz="8" w:space="0" w:color="000000"/>
              <w:right w:val="single" w:sz="8" w:space="0" w:color="auto"/>
            </w:tcBorders>
            <w:shd w:val="clear" w:color="auto" w:fill="auto"/>
            <w:vAlign w:val="bottom"/>
            <w:hideMark/>
          </w:tcPr>
          <w:p w14:paraId="6C30BD50"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vMerge w:val="restart"/>
            <w:tcBorders>
              <w:top w:val="nil"/>
              <w:left w:val="single" w:sz="8" w:space="0" w:color="auto"/>
              <w:bottom w:val="single" w:sz="8" w:space="0" w:color="000000"/>
              <w:right w:val="single" w:sz="8" w:space="0" w:color="auto"/>
            </w:tcBorders>
            <w:shd w:val="clear" w:color="auto" w:fill="auto"/>
            <w:vAlign w:val="bottom"/>
            <w:hideMark/>
          </w:tcPr>
          <w:p w14:paraId="24DB879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vMerge w:val="restart"/>
            <w:tcBorders>
              <w:top w:val="nil"/>
              <w:left w:val="nil"/>
              <w:bottom w:val="single" w:sz="8" w:space="0" w:color="000000"/>
              <w:right w:val="single" w:sz="8" w:space="0" w:color="000000"/>
            </w:tcBorders>
            <w:shd w:val="clear" w:color="auto" w:fill="auto"/>
            <w:vAlign w:val="bottom"/>
            <w:hideMark/>
          </w:tcPr>
          <w:p w14:paraId="14EEA56C"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603,130</w:t>
            </w: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24CDEBA"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Annuelle</w:t>
            </w:r>
          </w:p>
        </w:tc>
      </w:tr>
      <w:tr w:rsidR="002D1FA9" w:rsidRPr="002D1FA9" w14:paraId="3A3B9A75" w14:textId="77777777" w:rsidTr="00057E97">
        <w:trPr>
          <w:trHeight w:val="276"/>
        </w:trPr>
        <w:tc>
          <w:tcPr>
            <w:tcW w:w="261" w:type="pct"/>
            <w:vMerge/>
            <w:tcBorders>
              <w:top w:val="nil"/>
              <w:left w:val="single" w:sz="8" w:space="0" w:color="auto"/>
              <w:bottom w:val="single" w:sz="8" w:space="0" w:color="000000"/>
              <w:right w:val="single" w:sz="8" w:space="0" w:color="000000"/>
            </w:tcBorders>
            <w:vAlign w:val="center"/>
            <w:hideMark/>
          </w:tcPr>
          <w:p w14:paraId="51ACF2B3" w14:textId="77777777" w:rsidR="002D1FA9" w:rsidRPr="002D1FA9" w:rsidRDefault="002D1FA9" w:rsidP="002D1FA9">
            <w:pPr>
              <w:spacing w:after="0" w:line="240" w:lineRule="auto"/>
              <w:rPr>
                <w:rFonts w:eastAsia="Times New Roman"/>
                <w:b/>
                <w:bCs/>
                <w:color w:val="000000"/>
                <w:sz w:val="20"/>
                <w:szCs w:val="20"/>
              </w:rPr>
            </w:pPr>
          </w:p>
        </w:tc>
        <w:tc>
          <w:tcPr>
            <w:tcW w:w="1325" w:type="pct"/>
            <w:vMerge/>
            <w:tcBorders>
              <w:top w:val="nil"/>
              <w:left w:val="single" w:sz="8" w:space="0" w:color="000000"/>
              <w:bottom w:val="nil"/>
              <w:right w:val="single" w:sz="8" w:space="0" w:color="000000"/>
            </w:tcBorders>
            <w:vAlign w:val="center"/>
            <w:hideMark/>
          </w:tcPr>
          <w:p w14:paraId="72E79BF5" w14:textId="77777777" w:rsidR="002D1FA9" w:rsidRPr="002D1FA9" w:rsidRDefault="002D1FA9" w:rsidP="002D1FA9">
            <w:pPr>
              <w:spacing w:after="0" w:line="240" w:lineRule="auto"/>
              <w:rPr>
                <w:rFonts w:eastAsia="Times New Roman"/>
                <w:color w:val="000000"/>
                <w:sz w:val="20"/>
                <w:szCs w:val="20"/>
              </w:rPr>
            </w:pPr>
          </w:p>
        </w:tc>
        <w:tc>
          <w:tcPr>
            <w:tcW w:w="465" w:type="pct"/>
            <w:vMerge/>
            <w:tcBorders>
              <w:top w:val="nil"/>
              <w:left w:val="single" w:sz="8" w:space="0" w:color="000000"/>
              <w:bottom w:val="single" w:sz="8" w:space="0" w:color="000000"/>
              <w:right w:val="single" w:sz="8" w:space="0" w:color="000000"/>
            </w:tcBorders>
            <w:vAlign w:val="center"/>
            <w:hideMark/>
          </w:tcPr>
          <w:p w14:paraId="3A570B87" w14:textId="77777777" w:rsidR="002D1FA9" w:rsidRPr="002D1FA9" w:rsidRDefault="002D1FA9" w:rsidP="002D1FA9">
            <w:pPr>
              <w:spacing w:after="0" w:line="240" w:lineRule="auto"/>
              <w:rPr>
                <w:rFonts w:eastAsia="Times New Roman"/>
                <w:color w:val="000000"/>
                <w:sz w:val="20"/>
                <w:szCs w:val="20"/>
              </w:rPr>
            </w:pPr>
          </w:p>
        </w:tc>
        <w:tc>
          <w:tcPr>
            <w:tcW w:w="413" w:type="pct"/>
            <w:vMerge/>
            <w:tcBorders>
              <w:top w:val="nil"/>
              <w:left w:val="single" w:sz="8" w:space="0" w:color="000000"/>
              <w:bottom w:val="single" w:sz="8" w:space="0" w:color="000000"/>
              <w:right w:val="single" w:sz="8" w:space="0" w:color="000000"/>
            </w:tcBorders>
            <w:vAlign w:val="bottom"/>
            <w:hideMark/>
          </w:tcPr>
          <w:p w14:paraId="386207E5" w14:textId="77777777" w:rsidR="002D1FA9" w:rsidRPr="002D1FA9" w:rsidRDefault="002D1FA9" w:rsidP="00057E97">
            <w:pPr>
              <w:spacing w:after="0" w:line="240" w:lineRule="auto"/>
              <w:jc w:val="right"/>
              <w:rPr>
                <w:rFonts w:eastAsia="Times New Roman"/>
                <w:color w:val="000000"/>
                <w:sz w:val="20"/>
                <w:szCs w:val="20"/>
              </w:rPr>
            </w:pPr>
          </w:p>
        </w:tc>
        <w:tc>
          <w:tcPr>
            <w:tcW w:w="238" w:type="pct"/>
            <w:vMerge/>
            <w:tcBorders>
              <w:top w:val="nil"/>
              <w:left w:val="single" w:sz="8" w:space="0" w:color="000000"/>
              <w:bottom w:val="single" w:sz="8" w:space="0" w:color="000000"/>
              <w:right w:val="single" w:sz="8" w:space="0" w:color="000000"/>
            </w:tcBorders>
            <w:vAlign w:val="bottom"/>
            <w:hideMark/>
          </w:tcPr>
          <w:p w14:paraId="23D5AB78"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nil"/>
              <w:bottom w:val="single" w:sz="8" w:space="0" w:color="000000"/>
              <w:right w:val="single" w:sz="8" w:space="0" w:color="auto"/>
            </w:tcBorders>
            <w:vAlign w:val="bottom"/>
            <w:hideMark/>
          </w:tcPr>
          <w:p w14:paraId="571FD4D0" w14:textId="77777777" w:rsidR="002D1FA9" w:rsidRPr="002D1FA9" w:rsidRDefault="002D1FA9" w:rsidP="00057E97">
            <w:pPr>
              <w:spacing w:after="0" w:line="240" w:lineRule="auto"/>
              <w:jc w:val="right"/>
              <w:rPr>
                <w:rFonts w:eastAsia="Times New Roman"/>
                <w:color w:val="000000"/>
                <w:sz w:val="20"/>
                <w:szCs w:val="20"/>
              </w:rPr>
            </w:pPr>
          </w:p>
        </w:tc>
        <w:tc>
          <w:tcPr>
            <w:tcW w:w="260" w:type="pct"/>
            <w:vMerge/>
            <w:tcBorders>
              <w:top w:val="nil"/>
              <w:left w:val="single" w:sz="8" w:space="0" w:color="auto"/>
              <w:bottom w:val="single" w:sz="8" w:space="0" w:color="000000"/>
              <w:right w:val="single" w:sz="8" w:space="0" w:color="auto"/>
            </w:tcBorders>
            <w:vAlign w:val="bottom"/>
            <w:hideMark/>
          </w:tcPr>
          <w:p w14:paraId="7B340E91" w14:textId="77777777" w:rsidR="002D1FA9" w:rsidRPr="002D1FA9" w:rsidRDefault="002D1FA9" w:rsidP="00057E97">
            <w:pPr>
              <w:spacing w:after="0" w:line="240" w:lineRule="auto"/>
              <w:jc w:val="right"/>
              <w:rPr>
                <w:rFonts w:eastAsia="Times New Roman"/>
                <w:color w:val="000000"/>
                <w:sz w:val="20"/>
                <w:szCs w:val="20"/>
              </w:rPr>
            </w:pPr>
          </w:p>
        </w:tc>
        <w:tc>
          <w:tcPr>
            <w:tcW w:w="260" w:type="pct"/>
            <w:vMerge/>
            <w:tcBorders>
              <w:top w:val="nil"/>
              <w:left w:val="nil"/>
              <w:bottom w:val="single" w:sz="8" w:space="0" w:color="000000"/>
              <w:right w:val="nil"/>
            </w:tcBorders>
            <w:vAlign w:val="bottom"/>
            <w:hideMark/>
          </w:tcPr>
          <w:p w14:paraId="171FDD2B"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single" w:sz="8" w:space="0" w:color="auto"/>
              <w:bottom w:val="single" w:sz="8" w:space="0" w:color="000000"/>
              <w:right w:val="single" w:sz="8" w:space="0" w:color="auto"/>
            </w:tcBorders>
            <w:vAlign w:val="bottom"/>
            <w:hideMark/>
          </w:tcPr>
          <w:p w14:paraId="3C748447"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single" w:sz="8" w:space="0" w:color="auto"/>
              <w:bottom w:val="single" w:sz="8" w:space="0" w:color="000000"/>
              <w:right w:val="single" w:sz="8" w:space="0" w:color="auto"/>
            </w:tcBorders>
            <w:vAlign w:val="bottom"/>
            <w:hideMark/>
          </w:tcPr>
          <w:p w14:paraId="5D036079"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single" w:sz="8" w:space="0" w:color="auto"/>
              <w:bottom w:val="single" w:sz="8" w:space="0" w:color="000000"/>
              <w:right w:val="single" w:sz="8" w:space="0" w:color="auto"/>
            </w:tcBorders>
            <w:vAlign w:val="bottom"/>
            <w:hideMark/>
          </w:tcPr>
          <w:p w14:paraId="6598E323" w14:textId="77777777" w:rsidR="002D1FA9" w:rsidRPr="002D1FA9" w:rsidRDefault="002D1FA9" w:rsidP="00057E97">
            <w:pPr>
              <w:spacing w:after="0" w:line="240" w:lineRule="auto"/>
              <w:jc w:val="right"/>
              <w:rPr>
                <w:rFonts w:eastAsia="Times New Roman"/>
                <w:color w:val="000000"/>
                <w:sz w:val="20"/>
                <w:szCs w:val="20"/>
              </w:rPr>
            </w:pPr>
          </w:p>
        </w:tc>
        <w:tc>
          <w:tcPr>
            <w:tcW w:w="335" w:type="pct"/>
            <w:vMerge/>
            <w:tcBorders>
              <w:top w:val="nil"/>
              <w:left w:val="nil"/>
              <w:bottom w:val="single" w:sz="8" w:space="0" w:color="000000"/>
              <w:right w:val="single" w:sz="8" w:space="0" w:color="000000"/>
            </w:tcBorders>
            <w:vAlign w:val="bottom"/>
            <w:hideMark/>
          </w:tcPr>
          <w:p w14:paraId="354EA61C" w14:textId="77777777" w:rsidR="002D1FA9" w:rsidRPr="002D1FA9" w:rsidRDefault="002D1FA9" w:rsidP="00057E97">
            <w:pPr>
              <w:spacing w:after="0" w:line="240" w:lineRule="auto"/>
              <w:jc w:val="right"/>
              <w:rPr>
                <w:rFonts w:eastAsia="Times New Roman"/>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hideMark/>
          </w:tcPr>
          <w:p w14:paraId="25474555" w14:textId="77777777" w:rsidR="002D1FA9" w:rsidRPr="002D1FA9" w:rsidRDefault="002D1FA9" w:rsidP="002D1FA9">
            <w:pPr>
              <w:spacing w:after="0" w:line="240" w:lineRule="auto"/>
              <w:rPr>
                <w:rFonts w:eastAsia="Times New Roman"/>
                <w:color w:val="000000"/>
                <w:sz w:val="20"/>
                <w:szCs w:val="20"/>
              </w:rPr>
            </w:pPr>
          </w:p>
        </w:tc>
      </w:tr>
      <w:tr w:rsidR="002D1FA9" w:rsidRPr="002D1FA9" w14:paraId="650A41FA" w14:textId="77777777" w:rsidTr="00057E97">
        <w:trPr>
          <w:trHeight w:val="276"/>
        </w:trPr>
        <w:tc>
          <w:tcPr>
            <w:tcW w:w="261" w:type="pct"/>
            <w:vMerge/>
            <w:tcBorders>
              <w:top w:val="nil"/>
              <w:left w:val="single" w:sz="8" w:space="0" w:color="auto"/>
              <w:bottom w:val="single" w:sz="8" w:space="0" w:color="000000"/>
              <w:right w:val="single" w:sz="8" w:space="0" w:color="000000"/>
            </w:tcBorders>
            <w:vAlign w:val="center"/>
            <w:hideMark/>
          </w:tcPr>
          <w:p w14:paraId="1BA14669" w14:textId="77777777" w:rsidR="002D1FA9" w:rsidRPr="002D1FA9" w:rsidRDefault="002D1FA9" w:rsidP="002D1FA9">
            <w:pPr>
              <w:spacing w:after="0" w:line="240" w:lineRule="auto"/>
              <w:rPr>
                <w:rFonts w:eastAsia="Times New Roman"/>
                <w:b/>
                <w:bCs/>
                <w:color w:val="000000"/>
                <w:sz w:val="20"/>
                <w:szCs w:val="20"/>
              </w:rPr>
            </w:pPr>
          </w:p>
        </w:tc>
        <w:tc>
          <w:tcPr>
            <w:tcW w:w="1325" w:type="pct"/>
            <w:vMerge/>
            <w:tcBorders>
              <w:top w:val="nil"/>
              <w:left w:val="single" w:sz="8" w:space="0" w:color="000000"/>
              <w:bottom w:val="nil"/>
              <w:right w:val="single" w:sz="8" w:space="0" w:color="000000"/>
            </w:tcBorders>
            <w:vAlign w:val="center"/>
            <w:hideMark/>
          </w:tcPr>
          <w:p w14:paraId="1516DDB3" w14:textId="77777777" w:rsidR="002D1FA9" w:rsidRPr="002D1FA9" w:rsidRDefault="002D1FA9" w:rsidP="002D1FA9">
            <w:pPr>
              <w:spacing w:after="0" w:line="240" w:lineRule="auto"/>
              <w:rPr>
                <w:rFonts w:eastAsia="Times New Roman"/>
                <w:color w:val="000000"/>
                <w:sz w:val="20"/>
                <w:szCs w:val="20"/>
              </w:rPr>
            </w:pPr>
          </w:p>
        </w:tc>
        <w:tc>
          <w:tcPr>
            <w:tcW w:w="465" w:type="pct"/>
            <w:vMerge/>
            <w:tcBorders>
              <w:top w:val="nil"/>
              <w:left w:val="single" w:sz="8" w:space="0" w:color="000000"/>
              <w:bottom w:val="single" w:sz="8" w:space="0" w:color="000000"/>
              <w:right w:val="single" w:sz="8" w:space="0" w:color="000000"/>
            </w:tcBorders>
            <w:vAlign w:val="center"/>
            <w:hideMark/>
          </w:tcPr>
          <w:p w14:paraId="2943CE4E" w14:textId="77777777" w:rsidR="002D1FA9" w:rsidRPr="002D1FA9" w:rsidRDefault="002D1FA9" w:rsidP="002D1FA9">
            <w:pPr>
              <w:spacing w:after="0" w:line="240" w:lineRule="auto"/>
              <w:rPr>
                <w:rFonts w:eastAsia="Times New Roman"/>
                <w:color w:val="000000"/>
                <w:sz w:val="20"/>
                <w:szCs w:val="20"/>
              </w:rPr>
            </w:pPr>
          </w:p>
        </w:tc>
        <w:tc>
          <w:tcPr>
            <w:tcW w:w="413" w:type="pct"/>
            <w:vMerge/>
            <w:tcBorders>
              <w:top w:val="nil"/>
              <w:left w:val="single" w:sz="8" w:space="0" w:color="000000"/>
              <w:bottom w:val="single" w:sz="8" w:space="0" w:color="000000"/>
              <w:right w:val="single" w:sz="8" w:space="0" w:color="000000"/>
            </w:tcBorders>
            <w:vAlign w:val="bottom"/>
            <w:hideMark/>
          </w:tcPr>
          <w:p w14:paraId="294E5B9B" w14:textId="77777777" w:rsidR="002D1FA9" w:rsidRPr="002D1FA9" w:rsidRDefault="002D1FA9" w:rsidP="00057E97">
            <w:pPr>
              <w:spacing w:after="0" w:line="240" w:lineRule="auto"/>
              <w:jc w:val="right"/>
              <w:rPr>
                <w:rFonts w:eastAsia="Times New Roman"/>
                <w:color w:val="000000"/>
                <w:sz w:val="20"/>
                <w:szCs w:val="20"/>
              </w:rPr>
            </w:pPr>
          </w:p>
        </w:tc>
        <w:tc>
          <w:tcPr>
            <w:tcW w:w="238" w:type="pct"/>
            <w:vMerge/>
            <w:tcBorders>
              <w:top w:val="nil"/>
              <w:left w:val="single" w:sz="8" w:space="0" w:color="000000"/>
              <w:bottom w:val="single" w:sz="8" w:space="0" w:color="000000"/>
              <w:right w:val="single" w:sz="8" w:space="0" w:color="000000"/>
            </w:tcBorders>
            <w:vAlign w:val="bottom"/>
            <w:hideMark/>
          </w:tcPr>
          <w:p w14:paraId="3E1D17E9"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nil"/>
              <w:bottom w:val="single" w:sz="8" w:space="0" w:color="000000"/>
              <w:right w:val="single" w:sz="8" w:space="0" w:color="auto"/>
            </w:tcBorders>
            <w:vAlign w:val="bottom"/>
            <w:hideMark/>
          </w:tcPr>
          <w:p w14:paraId="7D2B0DDF" w14:textId="77777777" w:rsidR="002D1FA9" w:rsidRPr="002D1FA9" w:rsidRDefault="002D1FA9" w:rsidP="00057E97">
            <w:pPr>
              <w:spacing w:after="0" w:line="240" w:lineRule="auto"/>
              <w:jc w:val="right"/>
              <w:rPr>
                <w:rFonts w:eastAsia="Times New Roman"/>
                <w:color w:val="000000"/>
                <w:sz w:val="20"/>
                <w:szCs w:val="20"/>
              </w:rPr>
            </w:pPr>
          </w:p>
        </w:tc>
        <w:tc>
          <w:tcPr>
            <w:tcW w:w="260" w:type="pct"/>
            <w:vMerge/>
            <w:tcBorders>
              <w:top w:val="nil"/>
              <w:left w:val="single" w:sz="8" w:space="0" w:color="auto"/>
              <w:bottom w:val="single" w:sz="8" w:space="0" w:color="000000"/>
              <w:right w:val="single" w:sz="8" w:space="0" w:color="auto"/>
            </w:tcBorders>
            <w:vAlign w:val="bottom"/>
            <w:hideMark/>
          </w:tcPr>
          <w:p w14:paraId="77C0281B" w14:textId="77777777" w:rsidR="002D1FA9" w:rsidRPr="002D1FA9" w:rsidRDefault="002D1FA9" w:rsidP="00057E97">
            <w:pPr>
              <w:spacing w:after="0" w:line="240" w:lineRule="auto"/>
              <w:jc w:val="right"/>
              <w:rPr>
                <w:rFonts w:eastAsia="Times New Roman"/>
                <w:color w:val="000000"/>
                <w:sz w:val="20"/>
                <w:szCs w:val="20"/>
              </w:rPr>
            </w:pPr>
          </w:p>
        </w:tc>
        <w:tc>
          <w:tcPr>
            <w:tcW w:w="260" w:type="pct"/>
            <w:vMerge/>
            <w:tcBorders>
              <w:top w:val="nil"/>
              <w:left w:val="nil"/>
              <w:bottom w:val="single" w:sz="8" w:space="0" w:color="000000"/>
              <w:right w:val="nil"/>
            </w:tcBorders>
            <w:vAlign w:val="bottom"/>
            <w:hideMark/>
          </w:tcPr>
          <w:p w14:paraId="21CF9D01"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single" w:sz="8" w:space="0" w:color="auto"/>
              <w:bottom w:val="single" w:sz="8" w:space="0" w:color="000000"/>
              <w:right w:val="single" w:sz="8" w:space="0" w:color="auto"/>
            </w:tcBorders>
            <w:vAlign w:val="bottom"/>
            <w:hideMark/>
          </w:tcPr>
          <w:p w14:paraId="34C6F952"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single" w:sz="8" w:space="0" w:color="auto"/>
              <w:bottom w:val="single" w:sz="8" w:space="0" w:color="000000"/>
              <w:right w:val="single" w:sz="8" w:space="0" w:color="auto"/>
            </w:tcBorders>
            <w:vAlign w:val="bottom"/>
            <w:hideMark/>
          </w:tcPr>
          <w:p w14:paraId="50577CFB" w14:textId="77777777" w:rsidR="002D1FA9" w:rsidRPr="002D1FA9" w:rsidRDefault="002D1FA9" w:rsidP="00057E97">
            <w:pPr>
              <w:spacing w:after="0" w:line="240" w:lineRule="auto"/>
              <w:jc w:val="right"/>
              <w:rPr>
                <w:rFonts w:eastAsia="Times New Roman"/>
                <w:color w:val="000000"/>
                <w:sz w:val="20"/>
                <w:szCs w:val="20"/>
              </w:rPr>
            </w:pPr>
          </w:p>
        </w:tc>
        <w:tc>
          <w:tcPr>
            <w:tcW w:w="253" w:type="pct"/>
            <w:vMerge/>
            <w:tcBorders>
              <w:top w:val="nil"/>
              <w:left w:val="single" w:sz="8" w:space="0" w:color="auto"/>
              <w:bottom w:val="single" w:sz="8" w:space="0" w:color="000000"/>
              <w:right w:val="single" w:sz="8" w:space="0" w:color="auto"/>
            </w:tcBorders>
            <w:vAlign w:val="bottom"/>
            <w:hideMark/>
          </w:tcPr>
          <w:p w14:paraId="476279E2" w14:textId="77777777" w:rsidR="002D1FA9" w:rsidRPr="002D1FA9" w:rsidRDefault="002D1FA9" w:rsidP="00057E97">
            <w:pPr>
              <w:spacing w:after="0" w:line="240" w:lineRule="auto"/>
              <w:jc w:val="right"/>
              <w:rPr>
                <w:rFonts w:eastAsia="Times New Roman"/>
                <w:color w:val="000000"/>
                <w:sz w:val="20"/>
                <w:szCs w:val="20"/>
              </w:rPr>
            </w:pPr>
          </w:p>
        </w:tc>
        <w:tc>
          <w:tcPr>
            <w:tcW w:w="335" w:type="pct"/>
            <w:vMerge/>
            <w:tcBorders>
              <w:top w:val="nil"/>
              <w:left w:val="nil"/>
              <w:bottom w:val="single" w:sz="8" w:space="0" w:color="000000"/>
              <w:right w:val="single" w:sz="8" w:space="0" w:color="000000"/>
            </w:tcBorders>
            <w:vAlign w:val="bottom"/>
            <w:hideMark/>
          </w:tcPr>
          <w:p w14:paraId="27EA9EA2" w14:textId="77777777" w:rsidR="002D1FA9" w:rsidRPr="002D1FA9" w:rsidRDefault="002D1FA9" w:rsidP="00057E97">
            <w:pPr>
              <w:spacing w:after="0" w:line="240" w:lineRule="auto"/>
              <w:jc w:val="right"/>
              <w:rPr>
                <w:rFonts w:eastAsia="Times New Roman"/>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hideMark/>
          </w:tcPr>
          <w:p w14:paraId="6ED463EC" w14:textId="77777777" w:rsidR="002D1FA9" w:rsidRPr="002D1FA9" w:rsidRDefault="002D1FA9" w:rsidP="002D1FA9">
            <w:pPr>
              <w:spacing w:after="0" w:line="240" w:lineRule="auto"/>
              <w:rPr>
                <w:rFonts w:eastAsia="Times New Roman"/>
                <w:color w:val="000000"/>
                <w:sz w:val="20"/>
                <w:szCs w:val="20"/>
              </w:rPr>
            </w:pPr>
          </w:p>
        </w:tc>
      </w:tr>
      <w:tr w:rsidR="002D1FA9" w:rsidRPr="002D1FA9" w14:paraId="2DB1812F" w14:textId="77777777" w:rsidTr="00057E97">
        <w:trPr>
          <w:trHeight w:val="255"/>
        </w:trPr>
        <w:tc>
          <w:tcPr>
            <w:tcW w:w="261" w:type="pct"/>
            <w:vMerge w:val="restart"/>
            <w:tcBorders>
              <w:top w:val="nil"/>
              <w:left w:val="single" w:sz="8" w:space="0" w:color="auto"/>
              <w:bottom w:val="single" w:sz="8" w:space="0" w:color="000000"/>
              <w:right w:val="nil"/>
            </w:tcBorders>
            <w:shd w:val="clear" w:color="auto" w:fill="auto"/>
            <w:vAlign w:val="center"/>
            <w:hideMark/>
          </w:tcPr>
          <w:p w14:paraId="55920DBA" w14:textId="77777777" w:rsidR="002D1FA9" w:rsidRPr="002D1FA9" w:rsidRDefault="002D1FA9" w:rsidP="002D1FA9">
            <w:pPr>
              <w:spacing w:after="0" w:line="240" w:lineRule="auto"/>
              <w:rPr>
                <w:rFonts w:eastAsia="Times New Roman"/>
                <w:b/>
                <w:bCs/>
                <w:color w:val="000000"/>
                <w:sz w:val="20"/>
                <w:szCs w:val="20"/>
              </w:rPr>
            </w:pPr>
            <w:r w:rsidRPr="002D1FA9">
              <w:rPr>
                <w:rFonts w:eastAsia="Times New Roman"/>
                <w:b/>
                <w:bCs/>
                <w:color w:val="000000"/>
                <w:sz w:val="20"/>
                <w:szCs w:val="20"/>
              </w:rPr>
              <w:t>15</w:t>
            </w:r>
          </w:p>
        </w:tc>
        <w:tc>
          <w:tcPr>
            <w:tcW w:w="13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2586B7"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Bénéficiaires directs du projet, sexe féminin</w:t>
            </w:r>
          </w:p>
        </w:tc>
        <w:tc>
          <w:tcPr>
            <w:tcW w:w="46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DADF4C5" w14:textId="77777777" w:rsidR="002D1FA9" w:rsidRPr="002D1FA9" w:rsidRDefault="002D1FA9" w:rsidP="002D1FA9">
            <w:pPr>
              <w:spacing w:after="0" w:line="240" w:lineRule="auto"/>
              <w:rPr>
                <w:rFonts w:eastAsia="Times New Roman"/>
                <w:color w:val="000000"/>
                <w:sz w:val="20"/>
                <w:szCs w:val="20"/>
                <w:lang w:val="fr-FR"/>
              </w:rPr>
            </w:pPr>
            <w:r w:rsidRPr="002D1FA9">
              <w:rPr>
                <w:rFonts w:eastAsia="Times New Roman"/>
                <w:color w:val="000000"/>
                <w:sz w:val="20"/>
                <w:szCs w:val="20"/>
                <w:lang w:val="fr-FR"/>
              </w:rPr>
              <w:t>Pourcentage Supplément de sous-type</w:t>
            </w:r>
          </w:p>
        </w:tc>
        <w:tc>
          <w:tcPr>
            <w:tcW w:w="41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5593FEAF"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38"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299E669A"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0</w:t>
            </w:r>
          </w:p>
        </w:tc>
        <w:tc>
          <w:tcPr>
            <w:tcW w:w="253" w:type="pct"/>
            <w:vMerge w:val="restart"/>
            <w:tcBorders>
              <w:top w:val="nil"/>
              <w:left w:val="nil"/>
              <w:bottom w:val="single" w:sz="8" w:space="0" w:color="000000"/>
              <w:right w:val="single" w:sz="8" w:space="0" w:color="auto"/>
            </w:tcBorders>
            <w:shd w:val="clear" w:color="auto" w:fill="auto"/>
            <w:noWrap/>
            <w:vAlign w:val="bottom"/>
            <w:hideMark/>
          </w:tcPr>
          <w:p w14:paraId="3CD2F26B" w14:textId="77777777" w:rsidR="002D1FA9" w:rsidRPr="002D1FA9" w:rsidRDefault="002D1FA9" w:rsidP="00057E97">
            <w:pPr>
              <w:spacing w:after="0" w:line="240" w:lineRule="auto"/>
              <w:jc w:val="right"/>
              <w:rPr>
                <w:rFonts w:ascii="Calibri" w:eastAsia="Times New Roman" w:hAnsi="Calibri" w:cs="Calibri"/>
                <w:color w:val="000000"/>
                <w:sz w:val="20"/>
                <w:szCs w:val="20"/>
              </w:rPr>
            </w:pPr>
            <w:r w:rsidRPr="002D1FA9">
              <w:rPr>
                <w:rFonts w:ascii="Calibri" w:eastAsia="Times New Roman" w:hAnsi="Calibri" w:cs="Calibri"/>
                <w:color w:val="000000"/>
                <w:sz w:val="20"/>
                <w:szCs w:val="20"/>
              </w:rPr>
              <w:t>11.6</w:t>
            </w:r>
          </w:p>
        </w:tc>
        <w:tc>
          <w:tcPr>
            <w:tcW w:w="260" w:type="pct"/>
            <w:vMerge w:val="restart"/>
            <w:tcBorders>
              <w:top w:val="nil"/>
              <w:left w:val="single" w:sz="8" w:space="0" w:color="auto"/>
              <w:bottom w:val="single" w:sz="8" w:space="0" w:color="000000"/>
              <w:right w:val="single" w:sz="8" w:space="0" w:color="000000"/>
            </w:tcBorders>
            <w:shd w:val="clear" w:color="auto" w:fill="auto"/>
            <w:noWrap/>
            <w:vAlign w:val="bottom"/>
            <w:hideMark/>
          </w:tcPr>
          <w:p w14:paraId="03AACFDC" w14:textId="77777777" w:rsidR="002D1FA9" w:rsidRPr="002D1FA9" w:rsidRDefault="002D1FA9" w:rsidP="00057E97">
            <w:pPr>
              <w:spacing w:after="0" w:line="240" w:lineRule="auto"/>
              <w:jc w:val="right"/>
              <w:rPr>
                <w:rFonts w:ascii="Calibri" w:eastAsia="Times New Roman" w:hAnsi="Calibri" w:cs="Calibri"/>
                <w:color w:val="000000"/>
                <w:sz w:val="20"/>
                <w:szCs w:val="20"/>
              </w:rPr>
            </w:pPr>
            <w:r w:rsidRPr="002D1FA9">
              <w:rPr>
                <w:rFonts w:ascii="Calibri" w:eastAsia="Times New Roman" w:hAnsi="Calibri" w:cs="Calibri"/>
                <w:color w:val="000000"/>
                <w:sz w:val="20"/>
                <w:szCs w:val="20"/>
              </w:rPr>
              <w:t>6.9</w:t>
            </w:r>
          </w:p>
        </w:tc>
        <w:tc>
          <w:tcPr>
            <w:tcW w:w="260" w:type="pct"/>
            <w:vMerge w:val="restart"/>
            <w:tcBorders>
              <w:top w:val="nil"/>
              <w:left w:val="single" w:sz="8" w:space="0" w:color="auto"/>
              <w:bottom w:val="single" w:sz="8" w:space="0" w:color="000000"/>
              <w:right w:val="single" w:sz="8" w:space="0" w:color="000000"/>
            </w:tcBorders>
            <w:shd w:val="clear" w:color="auto" w:fill="auto"/>
            <w:noWrap/>
            <w:vAlign w:val="bottom"/>
            <w:hideMark/>
          </w:tcPr>
          <w:p w14:paraId="4AF4EE5B" w14:textId="77777777" w:rsidR="002D1FA9" w:rsidRPr="002D1FA9" w:rsidRDefault="002D1FA9" w:rsidP="00057E97">
            <w:pPr>
              <w:spacing w:after="0" w:line="240" w:lineRule="auto"/>
              <w:jc w:val="right"/>
              <w:rPr>
                <w:rFonts w:ascii="Calibri" w:eastAsia="Times New Roman" w:hAnsi="Calibri" w:cs="Calibri"/>
                <w:color w:val="000000"/>
                <w:sz w:val="20"/>
                <w:szCs w:val="20"/>
              </w:rPr>
            </w:pPr>
            <w:r w:rsidRPr="002D1FA9">
              <w:rPr>
                <w:rFonts w:ascii="Calibri" w:eastAsia="Times New Roman" w:hAnsi="Calibri" w:cs="Calibri"/>
                <w:color w:val="000000"/>
                <w:sz w:val="20"/>
                <w:szCs w:val="20"/>
              </w:rPr>
              <w:t>9.8</w:t>
            </w:r>
          </w:p>
        </w:tc>
        <w:tc>
          <w:tcPr>
            <w:tcW w:w="25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3169052E"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24F893AC"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253"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6F45FEC7"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 </w:t>
            </w:r>
          </w:p>
        </w:tc>
        <w:tc>
          <w:tcPr>
            <w:tcW w:w="33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6B4C1B91" w14:textId="77777777" w:rsidR="002D1FA9" w:rsidRPr="002D1FA9" w:rsidRDefault="002D1FA9" w:rsidP="00057E97">
            <w:pPr>
              <w:spacing w:after="0" w:line="240" w:lineRule="auto"/>
              <w:jc w:val="right"/>
              <w:rPr>
                <w:rFonts w:eastAsia="Times New Roman"/>
                <w:color w:val="000000"/>
                <w:sz w:val="20"/>
                <w:szCs w:val="20"/>
              </w:rPr>
            </w:pPr>
            <w:r w:rsidRPr="002D1FA9">
              <w:rPr>
                <w:rFonts w:eastAsia="Times New Roman"/>
                <w:color w:val="000000"/>
                <w:sz w:val="20"/>
                <w:szCs w:val="20"/>
              </w:rPr>
              <w:t>45</w:t>
            </w: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1CA6C81" w14:textId="77777777" w:rsidR="002D1FA9" w:rsidRPr="002D1FA9" w:rsidRDefault="002D1FA9" w:rsidP="002D1FA9">
            <w:pPr>
              <w:spacing w:after="0" w:line="240" w:lineRule="auto"/>
              <w:rPr>
                <w:rFonts w:eastAsia="Times New Roman"/>
                <w:color w:val="000000"/>
                <w:sz w:val="20"/>
                <w:szCs w:val="20"/>
              </w:rPr>
            </w:pPr>
            <w:r w:rsidRPr="002D1FA9">
              <w:rPr>
                <w:rFonts w:eastAsia="Times New Roman"/>
                <w:color w:val="000000"/>
                <w:sz w:val="20"/>
                <w:szCs w:val="20"/>
              </w:rPr>
              <w:t xml:space="preserve">Annuelle </w:t>
            </w:r>
          </w:p>
        </w:tc>
      </w:tr>
      <w:tr w:rsidR="002D1FA9" w:rsidRPr="002D1FA9" w14:paraId="26075017" w14:textId="77777777" w:rsidTr="002D1FA9">
        <w:trPr>
          <w:trHeight w:val="276"/>
        </w:trPr>
        <w:tc>
          <w:tcPr>
            <w:tcW w:w="261" w:type="pct"/>
            <w:vMerge/>
            <w:tcBorders>
              <w:top w:val="nil"/>
              <w:left w:val="single" w:sz="8" w:space="0" w:color="auto"/>
              <w:bottom w:val="single" w:sz="8" w:space="0" w:color="000000"/>
              <w:right w:val="nil"/>
            </w:tcBorders>
            <w:vAlign w:val="center"/>
            <w:hideMark/>
          </w:tcPr>
          <w:p w14:paraId="0DB5A645" w14:textId="77777777" w:rsidR="002D1FA9" w:rsidRPr="002D1FA9" w:rsidRDefault="002D1FA9" w:rsidP="002D1FA9">
            <w:pPr>
              <w:spacing w:after="0" w:line="240" w:lineRule="auto"/>
              <w:rPr>
                <w:rFonts w:eastAsia="Times New Roman"/>
                <w:b/>
                <w:bCs/>
                <w:color w:val="000000"/>
                <w:sz w:val="20"/>
                <w:szCs w:val="20"/>
              </w:rPr>
            </w:pPr>
          </w:p>
        </w:tc>
        <w:tc>
          <w:tcPr>
            <w:tcW w:w="1325" w:type="pct"/>
            <w:vMerge/>
            <w:tcBorders>
              <w:top w:val="single" w:sz="8" w:space="0" w:color="auto"/>
              <w:left w:val="single" w:sz="8" w:space="0" w:color="auto"/>
              <w:bottom w:val="single" w:sz="8" w:space="0" w:color="000000"/>
              <w:right w:val="single" w:sz="8" w:space="0" w:color="auto"/>
            </w:tcBorders>
            <w:vAlign w:val="center"/>
            <w:hideMark/>
          </w:tcPr>
          <w:p w14:paraId="0CB84F68" w14:textId="77777777" w:rsidR="002D1FA9" w:rsidRPr="002D1FA9" w:rsidRDefault="002D1FA9" w:rsidP="002D1FA9">
            <w:pPr>
              <w:spacing w:after="0" w:line="240" w:lineRule="auto"/>
              <w:rPr>
                <w:rFonts w:eastAsia="Times New Roman"/>
                <w:color w:val="000000"/>
                <w:sz w:val="20"/>
                <w:szCs w:val="20"/>
              </w:rPr>
            </w:pPr>
          </w:p>
        </w:tc>
        <w:tc>
          <w:tcPr>
            <w:tcW w:w="465" w:type="pct"/>
            <w:vMerge/>
            <w:tcBorders>
              <w:top w:val="nil"/>
              <w:left w:val="single" w:sz="8" w:space="0" w:color="000000"/>
              <w:bottom w:val="single" w:sz="8" w:space="0" w:color="000000"/>
              <w:right w:val="single" w:sz="8" w:space="0" w:color="000000"/>
            </w:tcBorders>
            <w:vAlign w:val="center"/>
            <w:hideMark/>
          </w:tcPr>
          <w:p w14:paraId="15CAEDF3" w14:textId="77777777" w:rsidR="002D1FA9" w:rsidRPr="002D1FA9" w:rsidRDefault="002D1FA9" w:rsidP="002D1FA9">
            <w:pPr>
              <w:spacing w:after="0" w:line="240" w:lineRule="auto"/>
              <w:rPr>
                <w:rFonts w:eastAsia="Times New Roman"/>
                <w:color w:val="000000"/>
                <w:sz w:val="20"/>
                <w:szCs w:val="20"/>
              </w:rPr>
            </w:pPr>
          </w:p>
        </w:tc>
        <w:tc>
          <w:tcPr>
            <w:tcW w:w="413" w:type="pct"/>
            <w:vMerge/>
            <w:tcBorders>
              <w:top w:val="nil"/>
              <w:left w:val="single" w:sz="8" w:space="0" w:color="000000"/>
              <w:bottom w:val="single" w:sz="8" w:space="0" w:color="000000"/>
              <w:right w:val="single" w:sz="8" w:space="0" w:color="000000"/>
            </w:tcBorders>
            <w:vAlign w:val="center"/>
            <w:hideMark/>
          </w:tcPr>
          <w:p w14:paraId="25173A5A" w14:textId="77777777" w:rsidR="002D1FA9" w:rsidRPr="002D1FA9" w:rsidRDefault="002D1FA9" w:rsidP="002D1FA9">
            <w:pPr>
              <w:spacing w:after="0" w:line="240" w:lineRule="auto"/>
              <w:rPr>
                <w:rFonts w:eastAsia="Times New Roman"/>
                <w:color w:val="000000"/>
                <w:sz w:val="20"/>
                <w:szCs w:val="20"/>
              </w:rPr>
            </w:pPr>
          </w:p>
        </w:tc>
        <w:tc>
          <w:tcPr>
            <w:tcW w:w="238" w:type="pct"/>
            <w:vMerge/>
            <w:tcBorders>
              <w:top w:val="nil"/>
              <w:left w:val="single" w:sz="8" w:space="0" w:color="000000"/>
              <w:bottom w:val="single" w:sz="8" w:space="0" w:color="000000"/>
              <w:right w:val="single" w:sz="8" w:space="0" w:color="000000"/>
            </w:tcBorders>
            <w:vAlign w:val="center"/>
            <w:hideMark/>
          </w:tcPr>
          <w:p w14:paraId="07265595" w14:textId="77777777" w:rsidR="002D1FA9" w:rsidRPr="002D1FA9" w:rsidRDefault="002D1FA9" w:rsidP="002D1FA9">
            <w:pPr>
              <w:spacing w:after="0" w:line="240" w:lineRule="auto"/>
              <w:rPr>
                <w:rFonts w:eastAsia="Times New Roman"/>
                <w:color w:val="000000"/>
                <w:sz w:val="20"/>
                <w:szCs w:val="20"/>
              </w:rPr>
            </w:pPr>
          </w:p>
        </w:tc>
        <w:tc>
          <w:tcPr>
            <w:tcW w:w="253" w:type="pct"/>
            <w:vMerge/>
            <w:tcBorders>
              <w:top w:val="nil"/>
              <w:left w:val="nil"/>
              <w:bottom w:val="single" w:sz="8" w:space="0" w:color="000000"/>
              <w:right w:val="single" w:sz="8" w:space="0" w:color="auto"/>
            </w:tcBorders>
            <w:vAlign w:val="center"/>
            <w:hideMark/>
          </w:tcPr>
          <w:p w14:paraId="64ADE229" w14:textId="77777777" w:rsidR="002D1FA9" w:rsidRPr="002D1FA9" w:rsidRDefault="002D1FA9" w:rsidP="002D1FA9">
            <w:pPr>
              <w:spacing w:after="0" w:line="240" w:lineRule="auto"/>
              <w:rPr>
                <w:rFonts w:ascii="Calibri" w:eastAsia="Times New Roman" w:hAnsi="Calibri" w:cs="Calibri"/>
                <w:color w:val="000000"/>
                <w:sz w:val="20"/>
                <w:szCs w:val="20"/>
              </w:rPr>
            </w:pPr>
          </w:p>
        </w:tc>
        <w:tc>
          <w:tcPr>
            <w:tcW w:w="260" w:type="pct"/>
            <w:vMerge/>
            <w:tcBorders>
              <w:top w:val="nil"/>
              <w:left w:val="single" w:sz="8" w:space="0" w:color="auto"/>
              <w:bottom w:val="single" w:sz="8" w:space="0" w:color="000000"/>
              <w:right w:val="single" w:sz="8" w:space="0" w:color="000000"/>
            </w:tcBorders>
            <w:vAlign w:val="center"/>
            <w:hideMark/>
          </w:tcPr>
          <w:p w14:paraId="7DCA1F19" w14:textId="77777777" w:rsidR="002D1FA9" w:rsidRPr="002D1FA9" w:rsidRDefault="002D1FA9" w:rsidP="002D1FA9">
            <w:pPr>
              <w:spacing w:after="0" w:line="240" w:lineRule="auto"/>
              <w:rPr>
                <w:rFonts w:ascii="Calibri" w:eastAsia="Times New Roman" w:hAnsi="Calibri" w:cs="Calibri"/>
                <w:color w:val="000000"/>
                <w:sz w:val="20"/>
                <w:szCs w:val="20"/>
              </w:rPr>
            </w:pPr>
          </w:p>
        </w:tc>
        <w:tc>
          <w:tcPr>
            <w:tcW w:w="260" w:type="pct"/>
            <w:vMerge/>
            <w:tcBorders>
              <w:top w:val="nil"/>
              <w:left w:val="single" w:sz="8" w:space="0" w:color="auto"/>
              <w:bottom w:val="single" w:sz="8" w:space="0" w:color="000000"/>
              <w:right w:val="single" w:sz="8" w:space="0" w:color="000000"/>
            </w:tcBorders>
            <w:vAlign w:val="center"/>
            <w:hideMark/>
          </w:tcPr>
          <w:p w14:paraId="4E180AFA" w14:textId="77777777" w:rsidR="002D1FA9" w:rsidRPr="002D1FA9" w:rsidRDefault="002D1FA9" w:rsidP="002D1FA9">
            <w:pPr>
              <w:spacing w:after="0" w:line="240" w:lineRule="auto"/>
              <w:rPr>
                <w:rFonts w:ascii="Calibri" w:eastAsia="Times New Roman" w:hAnsi="Calibri" w:cs="Calibri"/>
                <w:color w:val="000000"/>
                <w:sz w:val="20"/>
                <w:szCs w:val="20"/>
              </w:rPr>
            </w:pPr>
          </w:p>
        </w:tc>
        <w:tc>
          <w:tcPr>
            <w:tcW w:w="253" w:type="pct"/>
            <w:vMerge/>
            <w:tcBorders>
              <w:top w:val="nil"/>
              <w:left w:val="single" w:sz="8" w:space="0" w:color="000000"/>
              <w:bottom w:val="single" w:sz="8" w:space="0" w:color="000000"/>
              <w:right w:val="single" w:sz="8" w:space="0" w:color="000000"/>
            </w:tcBorders>
            <w:vAlign w:val="center"/>
            <w:hideMark/>
          </w:tcPr>
          <w:p w14:paraId="0B69ED45" w14:textId="77777777" w:rsidR="002D1FA9" w:rsidRPr="002D1FA9" w:rsidRDefault="002D1FA9" w:rsidP="002D1FA9">
            <w:pPr>
              <w:spacing w:after="0" w:line="240" w:lineRule="auto"/>
              <w:rPr>
                <w:rFonts w:eastAsia="Times New Roman"/>
                <w:color w:val="000000"/>
                <w:sz w:val="20"/>
                <w:szCs w:val="20"/>
              </w:rPr>
            </w:pPr>
          </w:p>
        </w:tc>
        <w:tc>
          <w:tcPr>
            <w:tcW w:w="253" w:type="pct"/>
            <w:vMerge/>
            <w:tcBorders>
              <w:top w:val="nil"/>
              <w:left w:val="single" w:sz="8" w:space="0" w:color="000000"/>
              <w:bottom w:val="single" w:sz="8" w:space="0" w:color="000000"/>
              <w:right w:val="single" w:sz="8" w:space="0" w:color="000000"/>
            </w:tcBorders>
            <w:vAlign w:val="center"/>
            <w:hideMark/>
          </w:tcPr>
          <w:p w14:paraId="79C01860" w14:textId="77777777" w:rsidR="002D1FA9" w:rsidRPr="002D1FA9" w:rsidRDefault="002D1FA9" w:rsidP="002D1FA9">
            <w:pPr>
              <w:spacing w:after="0" w:line="240" w:lineRule="auto"/>
              <w:rPr>
                <w:rFonts w:eastAsia="Times New Roman"/>
                <w:color w:val="000000"/>
                <w:sz w:val="20"/>
                <w:szCs w:val="20"/>
              </w:rPr>
            </w:pPr>
          </w:p>
        </w:tc>
        <w:tc>
          <w:tcPr>
            <w:tcW w:w="253" w:type="pct"/>
            <w:vMerge/>
            <w:tcBorders>
              <w:top w:val="nil"/>
              <w:left w:val="single" w:sz="8" w:space="0" w:color="000000"/>
              <w:bottom w:val="single" w:sz="8" w:space="0" w:color="000000"/>
              <w:right w:val="single" w:sz="8" w:space="0" w:color="000000"/>
            </w:tcBorders>
            <w:vAlign w:val="center"/>
            <w:hideMark/>
          </w:tcPr>
          <w:p w14:paraId="59741070" w14:textId="77777777" w:rsidR="002D1FA9" w:rsidRPr="002D1FA9" w:rsidRDefault="002D1FA9" w:rsidP="002D1FA9">
            <w:pPr>
              <w:spacing w:after="0" w:line="240" w:lineRule="auto"/>
              <w:rPr>
                <w:rFonts w:eastAsia="Times New Roman"/>
                <w:color w:val="000000"/>
                <w:sz w:val="20"/>
                <w:szCs w:val="20"/>
              </w:rPr>
            </w:pPr>
          </w:p>
        </w:tc>
        <w:tc>
          <w:tcPr>
            <w:tcW w:w="335" w:type="pct"/>
            <w:vMerge/>
            <w:tcBorders>
              <w:top w:val="nil"/>
              <w:left w:val="single" w:sz="8" w:space="0" w:color="000000"/>
              <w:bottom w:val="single" w:sz="8" w:space="0" w:color="000000"/>
              <w:right w:val="single" w:sz="8" w:space="0" w:color="000000"/>
            </w:tcBorders>
            <w:vAlign w:val="center"/>
            <w:hideMark/>
          </w:tcPr>
          <w:p w14:paraId="54A77260" w14:textId="77777777" w:rsidR="002D1FA9" w:rsidRPr="002D1FA9" w:rsidRDefault="002D1FA9" w:rsidP="002D1FA9">
            <w:pPr>
              <w:spacing w:after="0" w:line="240" w:lineRule="auto"/>
              <w:rPr>
                <w:rFonts w:eastAsia="Times New Roman"/>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hideMark/>
          </w:tcPr>
          <w:p w14:paraId="36DBB6F9" w14:textId="77777777" w:rsidR="002D1FA9" w:rsidRPr="002D1FA9" w:rsidRDefault="002D1FA9" w:rsidP="002D1FA9">
            <w:pPr>
              <w:spacing w:after="0" w:line="240" w:lineRule="auto"/>
              <w:rPr>
                <w:rFonts w:eastAsia="Times New Roman"/>
                <w:color w:val="000000"/>
                <w:sz w:val="20"/>
                <w:szCs w:val="20"/>
              </w:rPr>
            </w:pPr>
          </w:p>
        </w:tc>
      </w:tr>
    </w:tbl>
    <w:p w14:paraId="1B21317B" w14:textId="77777777" w:rsidR="006863CF" w:rsidRPr="009D01FD" w:rsidRDefault="006863CF" w:rsidP="006863CF">
      <w:pPr>
        <w:rPr>
          <w:lang w:val="fr-FR"/>
        </w:rPr>
      </w:pPr>
    </w:p>
    <w:p w14:paraId="2584F4D6" w14:textId="6C9B24CA" w:rsidR="00152551" w:rsidRPr="009D01FD" w:rsidRDefault="006863CF" w:rsidP="00A935E2">
      <w:pPr>
        <w:tabs>
          <w:tab w:val="center" w:pos="6480"/>
        </w:tabs>
        <w:rPr>
          <w:lang w:val="fr-FR"/>
        </w:rPr>
        <w:sectPr w:rsidR="00152551" w:rsidRPr="009D01FD" w:rsidSect="00152551">
          <w:pgSz w:w="15840" w:h="12240" w:orient="landscape"/>
          <w:pgMar w:top="1440" w:right="1440" w:bottom="1440" w:left="1440" w:header="720" w:footer="720" w:gutter="0"/>
          <w:cols w:space="720"/>
          <w:docGrid w:linePitch="360"/>
        </w:sectPr>
      </w:pPr>
      <w:r w:rsidRPr="009D01FD">
        <w:rPr>
          <w:lang w:val="fr-FR"/>
        </w:rPr>
        <w:tab/>
      </w:r>
    </w:p>
    <w:bookmarkEnd w:id="1"/>
    <w:p w14:paraId="4B2FA154" w14:textId="171EA9CF" w:rsidR="0053425A" w:rsidRPr="009D01FD" w:rsidRDefault="0053425A" w:rsidP="00121B37">
      <w:pPr>
        <w:pStyle w:val="Caption"/>
        <w:spacing w:after="0"/>
      </w:pPr>
      <w:r w:rsidRPr="009D01FD">
        <w:t xml:space="preserve">Annexe </w:t>
      </w:r>
      <w:r w:rsidRPr="009D01FD">
        <w:fldChar w:fldCharType="begin"/>
      </w:r>
      <w:r w:rsidRPr="009D01FD">
        <w:instrText xml:space="preserve"> SEQ Annexe \* ARABIC </w:instrText>
      </w:r>
      <w:r w:rsidRPr="009D01FD">
        <w:fldChar w:fldCharType="separate"/>
      </w:r>
      <w:r w:rsidR="001D1293">
        <w:rPr>
          <w:noProof/>
        </w:rPr>
        <w:t>2</w:t>
      </w:r>
      <w:r w:rsidRPr="009D01FD">
        <w:fldChar w:fldCharType="end"/>
      </w:r>
      <w:r w:rsidRPr="009D01FD">
        <w:t>. Prochaines étapes et responsabilités</w:t>
      </w:r>
    </w:p>
    <w:tbl>
      <w:tblPr>
        <w:tblStyle w:val="TableGrid"/>
        <w:tblW w:w="10075" w:type="dxa"/>
        <w:tblLayout w:type="fixed"/>
        <w:tblLook w:val="04A0" w:firstRow="1" w:lastRow="0" w:firstColumn="1" w:lastColumn="0" w:noHBand="0" w:noVBand="1"/>
      </w:tblPr>
      <w:tblGrid>
        <w:gridCol w:w="1345"/>
        <w:gridCol w:w="4500"/>
        <w:gridCol w:w="2340"/>
        <w:gridCol w:w="1890"/>
      </w:tblGrid>
      <w:tr w:rsidR="007F2296" w:rsidRPr="009D01FD" w14:paraId="26368FE9" w14:textId="77777777" w:rsidTr="00F73691">
        <w:tc>
          <w:tcPr>
            <w:tcW w:w="1345" w:type="dxa"/>
            <w:vAlign w:val="bottom"/>
          </w:tcPr>
          <w:p w14:paraId="45AFF188" w14:textId="739E25FC" w:rsidR="007F2296" w:rsidRPr="009D01FD" w:rsidRDefault="00CE61A5" w:rsidP="00121B37">
            <w:pPr>
              <w:spacing w:after="0" w:line="240" w:lineRule="auto"/>
              <w:rPr>
                <w:b/>
                <w:sz w:val="22"/>
                <w:lang w:val="fr-FR"/>
              </w:rPr>
            </w:pPr>
            <w:r w:rsidRPr="009D01FD">
              <w:rPr>
                <w:b/>
                <w:sz w:val="22"/>
                <w:lang w:val="fr-FR"/>
              </w:rPr>
              <w:t>Sous-composante</w:t>
            </w:r>
          </w:p>
        </w:tc>
        <w:tc>
          <w:tcPr>
            <w:tcW w:w="4500" w:type="dxa"/>
            <w:vAlign w:val="bottom"/>
          </w:tcPr>
          <w:p w14:paraId="09D1D536" w14:textId="77777777" w:rsidR="007F2296" w:rsidRPr="009D01FD" w:rsidRDefault="007F2296" w:rsidP="00121B37">
            <w:pPr>
              <w:spacing w:after="0" w:line="240" w:lineRule="auto"/>
              <w:rPr>
                <w:b/>
                <w:sz w:val="22"/>
                <w:lang w:val="fr-FR"/>
              </w:rPr>
            </w:pPr>
            <w:r w:rsidRPr="009D01FD">
              <w:rPr>
                <w:b/>
                <w:sz w:val="22"/>
                <w:lang w:val="fr-FR"/>
              </w:rPr>
              <w:t>Description</w:t>
            </w:r>
          </w:p>
        </w:tc>
        <w:tc>
          <w:tcPr>
            <w:tcW w:w="2340" w:type="dxa"/>
            <w:vAlign w:val="bottom"/>
          </w:tcPr>
          <w:p w14:paraId="51ED342F" w14:textId="77777777" w:rsidR="007F2296" w:rsidRPr="009D01FD" w:rsidRDefault="007F2296" w:rsidP="00121B37">
            <w:pPr>
              <w:spacing w:after="0" w:line="240" w:lineRule="auto"/>
              <w:rPr>
                <w:b/>
                <w:sz w:val="22"/>
                <w:lang w:val="fr-FR"/>
              </w:rPr>
            </w:pPr>
            <w:r w:rsidRPr="009D01FD">
              <w:rPr>
                <w:b/>
                <w:sz w:val="22"/>
                <w:lang w:val="fr-FR"/>
              </w:rPr>
              <w:t>Responsable</w:t>
            </w:r>
          </w:p>
        </w:tc>
        <w:tc>
          <w:tcPr>
            <w:tcW w:w="1890" w:type="dxa"/>
            <w:vAlign w:val="bottom"/>
          </w:tcPr>
          <w:p w14:paraId="13F7D86D" w14:textId="77777777" w:rsidR="007F2296" w:rsidRPr="009D01FD" w:rsidRDefault="007F2296" w:rsidP="00121B37">
            <w:pPr>
              <w:spacing w:after="0" w:line="240" w:lineRule="auto"/>
              <w:rPr>
                <w:b/>
                <w:sz w:val="22"/>
                <w:lang w:val="fr-FR"/>
              </w:rPr>
            </w:pPr>
            <w:r w:rsidRPr="009D01FD">
              <w:rPr>
                <w:b/>
                <w:sz w:val="22"/>
                <w:lang w:val="fr-FR"/>
              </w:rPr>
              <w:t>Délai</w:t>
            </w:r>
          </w:p>
        </w:tc>
      </w:tr>
      <w:tr w:rsidR="00204153" w:rsidRPr="009D01FD" w14:paraId="46F1E498" w14:textId="77777777" w:rsidTr="00F73691">
        <w:trPr>
          <w:trHeight w:val="206"/>
        </w:trPr>
        <w:tc>
          <w:tcPr>
            <w:tcW w:w="1345" w:type="dxa"/>
          </w:tcPr>
          <w:p w14:paraId="6F712CBD" w14:textId="284B7770" w:rsidR="00204153" w:rsidRPr="009D01FD" w:rsidRDefault="002D131E" w:rsidP="00121B37">
            <w:pPr>
              <w:spacing w:after="0" w:line="240" w:lineRule="auto"/>
              <w:rPr>
                <w:sz w:val="20"/>
                <w:szCs w:val="20"/>
                <w:lang w:val="fr-FR"/>
              </w:rPr>
            </w:pPr>
            <w:r w:rsidRPr="009D01FD">
              <w:rPr>
                <w:sz w:val="20"/>
                <w:szCs w:val="20"/>
                <w:lang w:val="fr-FR"/>
              </w:rPr>
              <w:t>1A</w:t>
            </w:r>
          </w:p>
        </w:tc>
        <w:tc>
          <w:tcPr>
            <w:tcW w:w="4500" w:type="dxa"/>
          </w:tcPr>
          <w:p w14:paraId="63CE3250" w14:textId="59FCB3FA" w:rsidR="00204153" w:rsidRPr="009D01FD" w:rsidRDefault="00C56E12" w:rsidP="00121B37">
            <w:pPr>
              <w:spacing w:after="0" w:line="240" w:lineRule="auto"/>
              <w:rPr>
                <w:sz w:val="20"/>
                <w:szCs w:val="20"/>
                <w:lang w:val="fr-FR"/>
              </w:rPr>
            </w:pPr>
            <w:r w:rsidRPr="009D01FD">
              <w:rPr>
                <w:sz w:val="20"/>
                <w:szCs w:val="20"/>
                <w:lang w:val="fr-FR"/>
              </w:rPr>
              <w:t>Définition de</w:t>
            </w:r>
            <w:r w:rsidR="004D2711" w:rsidRPr="009D01FD">
              <w:rPr>
                <w:sz w:val="20"/>
                <w:szCs w:val="20"/>
                <w:lang w:val="fr-FR"/>
              </w:rPr>
              <w:t>s</w:t>
            </w:r>
            <w:r w:rsidRPr="009D01FD">
              <w:rPr>
                <w:sz w:val="20"/>
                <w:szCs w:val="20"/>
                <w:lang w:val="fr-FR"/>
              </w:rPr>
              <w:t xml:space="preserve"> TDR </w:t>
            </w:r>
            <w:r w:rsidR="00CD2896" w:rsidRPr="009D01FD">
              <w:rPr>
                <w:sz w:val="20"/>
                <w:szCs w:val="20"/>
                <w:lang w:val="fr-FR"/>
              </w:rPr>
              <w:t>pour le lien SIGE-SECOPE-TENAFEP-EXETAT</w:t>
            </w:r>
          </w:p>
        </w:tc>
        <w:tc>
          <w:tcPr>
            <w:tcW w:w="2340" w:type="dxa"/>
          </w:tcPr>
          <w:p w14:paraId="786D1760" w14:textId="75474E90" w:rsidR="00204153" w:rsidRPr="009D01FD" w:rsidRDefault="00C56E12" w:rsidP="00121B37">
            <w:pPr>
              <w:spacing w:after="0" w:line="240" w:lineRule="auto"/>
              <w:rPr>
                <w:sz w:val="20"/>
                <w:szCs w:val="20"/>
                <w:lang w:val="fr-FR"/>
              </w:rPr>
            </w:pPr>
            <w:r w:rsidRPr="009D01FD">
              <w:rPr>
                <w:sz w:val="20"/>
                <w:szCs w:val="20"/>
                <w:lang w:val="fr-FR"/>
              </w:rPr>
              <w:t>MEPSINC avec CFEF et BM</w:t>
            </w:r>
          </w:p>
        </w:tc>
        <w:tc>
          <w:tcPr>
            <w:tcW w:w="1890" w:type="dxa"/>
          </w:tcPr>
          <w:p w14:paraId="0C26C8CC" w14:textId="23CDA6BC" w:rsidR="00204153" w:rsidRPr="009D01FD" w:rsidRDefault="00CD2896" w:rsidP="00121B37">
            <w:pPr>
              <w:spacing w:after="0" w:line="240" w:lineRule="auto"/>
              <w:rPr>
                <w:sz w:val="20"/>
                <w:szCs w:val="20"/>
                <w:lang w:val="fr-FR"/>
              </w:rPr>
            </w:pPr>
            <w:r w:rsidRPr="009D01FD">
              <w:rPr>
                <w:sz w:val="20"/>
                <w:szCs w:val="20"/>
                <w:lang w:val="fr-FR"/>
              </w:rPr>
              <w:t xml:space="preserve">30 </w:t>
            </w:r>
            <w:r w:rsidR="007850B2" w:rsidRPr="009D01FD">
              <w:rPr>
                <w:sz w:val="20"/>
                <w:szCs w:val="20"/>
                <w:lang w:val="fr-FR"/>
              </w:rPr>
              <w:t>octobre</w:t>
            </w:r>
            <w:r w:rsidRPr="009D01FD">
              <w:rPr>
                <w:sz w:val="20"/>
                <w:szCs w:val="20"/>
                <w:lang w:val="fr-FR"/>
              </w:rPr>
              <w:t xml:space="preserve"> 2017</w:t>
            </w:r>
          </w:p>
        </w:tc>
      </w:tr>
      <w:tr w:rsidR="00D07B77" w:rsidRPr="009D01FD" w14:paraId="48C20EC4" w14:textId="77777777" w:rsidTr="00F73691">
        <w:trPr>
          <w:trHeight w:val="206"/>
        </w:trPr>
        <w:tc>
          <w:tcPr>
            <w:tcW w:w="1345" w:type="dxa"/>
          </w:tcPr>
          <w:p w14:paraId="44DD12FE" w14:textId="2D69AD05" w:rsidR="00D07B77" w:rsidRPr="009D01FD" w:rsidRDefault="00CD2896" w:rsidP="00121B37">
            <w:pPr>
              <w:spacing w:after="0" w:line="240" w:lineRule="auto"/>
              <w:rPr>
                <w:sz w:val="20"/>
                <w:szCs w:val="20"/>
                <w:lang w:val="fr-FR"/>
              </w:rPr>
            </w:pPr>
            <w:r w:rsidRPr="009D01FD">
              <w:rPr>
                <w:sz w:val="20"/>
                <w:szCs w:val="20"/>
                <w:lang w:val="fr-FR"/>
              </w:rPr>
              <w:t>1B</w:t>
            </w:r>
          </w:p>
        </w:tc>
        <w:tc>
          <w:tcPr>
            <w:tcW w:w="4500" w:type="dxa"/>
          </w:tcPr>
          <w:p w14:paraId="702E6AD2" w14:textId="45B654D3" w:rsidR="00D07B77" w:rsidRPr="009D01FD" w:rsidRDefault="00CD2896" w:rsidP="00121B37">
            <w:pPr>
              <w:spacing w:after="0" w:line="240" w:lineRule="auto"/>
              <w:rPr>
                <w:rFonts w:eastAsia="Times New Roman"/>
                <w:sz w:val="20"/>
                <w:szCs w:val="20"/>
                <w:lang w:val="fr-FR" w:eastAsia="fr-FR"/>
              </w:rPr>
            </w:pPr>
            <w:r w:rsidRPr="009D01FD">
              <w:rPr>
                <w:rFonts w:eastAsia="Times New Roman"/>
                <w:sz w:val="20"/>
                <w:szCs w:val="20"/>
                <w:lang w:val="fr-FR" w:eastAsia="fr-FR"/>
              </w:rPr>
              <w:t>Propositions pour l’intégration de l’évaluation Epiconcept dans les travaux SNIS</w:t>
            </w:r>
          </w:p>
        </w:tc>
        <w:tc>
          <w:tcPr>
            <w:tcW w:w="2340" w:type="dxa"/>
          </w:tcPr>
          <w:p w14:paraId="3FC4DE3E" w14:textId="135C053A" w:rsidR="00D07B77" w:rsidRPr="009D01FD" w:rsidRDefault="00CD2896" w:rsidP="00121B37">
            <w:pPr>
              <w:spacing w:after="0" w:line="240" w:lineRule="auto"/>
              <w:rPr>
                <w:sz w:val="20"/>
                <w:szCs w:val="20"/>
                <w:lang w:val="fr-FR"/>
              </w:rPr>
            </w:pPr>
            <w:r w:rsidRPr="009D01FD">
              <w:rPr>
                <w:sz w:val="20"/>
                <w:szCs w:val="20"/>
                <w:lang w:val="fr-FR"/>
              </w:rPr>
              <w:t>D-SNIS</w:t>
            </w:r>
          </w:p>
        </w:tc>
        <w:tc>
          <w:tcPr>
            <w:tcW w:w="1890" w:type="dxa"/>
          </w:tcPr>
          <w:p w14:paraId="7E8ED659" w14:textId="4E6E4861" w:rsidR="00D07B77" w:rsidRPr="009D01FD" w:rsidRDefault="00CD2896" w:rsidP="00121B37">
            <w:pPr>
              <w:spacing w:after="0" w:line="240" w:lineRule="auto"/>
              <w:rPr>
                <w:sz w:val="20"/>
                <w:szCs w:val="20"/>
                <w:lang w:val="fr-FR"/>
              </w:rPr>
            </w:pPr>
            <w:r w:rsidRPr="009D01FD">
              <w:rPr>
                <w:sz w:val="20"/>
                <w:szCs w:val="20"/>
                <w:lang w:val="fr-FR"/>
              </w:rPr>
              <w:t xml:space="preserve">30 </w:t>
            </w:r>
            <w:r w:rsidR="007850B2" w:rsidRPr="009D01FD">
              <w:rPr>
                <w:sz w:val="20"/>
                <w:szCs w:val="20"/>
                <w:lang w:val="fr-FR"/>
              </w:rPr>
              <w:t>octobre</w:t>
            </w:r>
            <w:r w:rsidRPr="009D01FD">
              <w:rPr>
                <w:sz w:val="20"/>
                <w:szCs w:val="20"/>
                <w:lang w:val="fr-FR"/>
              </w:rPr>
              <w:t xml:space="preserve"> 2017</w:t>
            </w:r>
          </w:p>
        </w:tc>
      </w:tr>
      <w:tr w:rsidR="00CD2896" w:rsidRPr="009D01FD" w14:paraId="09578F71" w14:textId="77777777" w:rsidTr="00F73691">
        <w:trPr>
          <w:trHeight w:val="206"/>
        </w:trPr>
        <w:tc>
          <w:tcPr>
            <w:tcW w:w="1345" w:type="dxa"/>
          </w:tcPr>
          <w:p w14:paraId="58CBBF3B" w14:textId="00257121" w:rsidR="00CD2896" w:rsidRPr="009D01FD" w:rsidRDefault="00CD2896" w:rsidP="00121B37">
            <w:pPr>
              <w:spacing w:after="0" w:line="240" w:lineRule="auto"/>
              <w:rPr>
                <w:sz w:val="20"/>
                <w:szCs w:val="20"/>
                <w:lang w:val="fr-FR"/>
              </w:rPr>
            </w:pPr>
            <w:r w:rsidRPr="009D01FD">
              <w:rPr>
                <w:sz w:val="20"/>
                <w:szCs w:val="20"/>
                <w:lang w:val="fr-FR"/>
              </w:rPr>
              <w:t>1B</w:t>
            </w:r>
          </w:p>
        </w:tc>
        <w:tc>
          <w:tcPr>
            <w:tcW w:w="4500" w:type="dxa"/>
          </w:tcPr>
          <w:p w14:paraId="1B743146" w14:textId="56ABD697" w:rsidR="00CD2896" w:rsidRPr="009D01FD" w:rsidRDefault="00CD2896" w:rsidP="00121B37">
            <w:pPr>
              <w:spacing w:after="0" w:line="240" w:lineRule="auto"/>
              <w:rPr>
                <w:rFonts w:eastAsia="Times New Roman"/>
                <w:sz w:val="20"/>
                <w:szCs w:val="20"/>
                <w:lang w:val="fr-FR" w:eastAsia="fr-FR"/>
              </w:rPr>
            </w:pPr>
            <w:r w:rsidRPr="009D01FD">
              <w:rPr>
                <w:rFonts w:eastAsia="Times New Roman"/>
                <w:sz w:val="20"/>
                <w:szCs w:val="20"/>
                <w:lang w:val="fr-FR" w:eastAsia="fr-FR"/>
              </w:rPr>
              <w:t>Solution aux problèmes fiduciaires dans l’appui SNIS</w:t>
            </w:r>
          </w:p>
        </w:tc>
        <w:tc>
          <w:tcPr>
            <w:tcW w:w="2340" w:type="dxa"/>
          </w:tcPr>
          <w:p w14:paraId="5393010D" w14:textId="57CE2F95" w:rsidR="00CD2896" w:rsidRPr="009D01FD" w:rsidRDefault="00CD2896" w:rsidP="00121B37">
            <w:pPr>
              <w:spacing w:after="0" w:line="240" w:lineRule="auto"/>
              <w:rPr>
                <w:sz w:val="20"/>
                <w:szCs w:val="20"/>
                <w:lang w:val="fr-FR"/>
              </w:rPr>
            </w:pPr>
            <w:r w:rsidRPr="009D01FD">
              <w:rPr>
                <w:sz w:val="20"/>
                <w:szCs w:val="20"/>
                <w:lang w:val="fr-FR"/>
              </w:rPr>
              <w:t>CFEF, MSP (D-SNIS, cabinet), SANRU</w:t>
            </w:r>
          </w:p>
        </w:tc>
        <w:tc>
          <w:tcPr>
            <w:tcW w:w="1890" w:type="dxa"/>
          </w:tcPr>
          <w:p w14:paraId="499C3985" w14:textId="2E2399BD" w:rsidR="00CD2896" w:rsidRPr="009D01FD" w:rsidRDefault="007850B2" w:rsidP="00121B37">
            <w:pPr>
              <w:spacing w:after="0" w:line="240" w:lineRule="auto"/>
              <w:rPr>
                <w:sz w:val="20"/>
                <w:szCs w:val="20"/>
                <w:lang w:val="fr-FR"/>
              </w:rPr>
            </w:pPr>
            <w:r w:rsidRPr="009D01FD">
              <w:rPr>
                <w:sz w:val="20"/>
                <w:szCs w:val="20"/>
                <w:lang w:val="fr-FR"/>
              </w:rPr>
              <w:t>18 octobre</w:t>
            </w:r>
            <w:r w:rsidR="00CD2896" w:rsidRPr="009D01FD">
              <w:rPr>
                <w:sz w:val="20"/>
                <w:szCs w:val="20"/>
                <w:lang w:val="fr-FR"/>
              </w:rPr>
              <w:t xml:space="preserve"> 2017</w:t>
            </w:r>
          </w:p>
        </w:tc>
      </w:tr>
      <w:tr w:rsidR="00A837BE" w:rsidRPr="009D01FD" w14:paraId="28B2EAE9" w14:textId="77777777" w:rsidTr="00F73691">
        <w:trPr>
          <w:trHeight w:val="206"/>
        </w:trPr>
        <w:tc>
          <w:tcPr>
            <w:tcW w:w="1345" w:type="dxa"/>
          </w:tcPr>
          <w:p w14:paraId="369DBD4E" w14:textId="3D085D19" w:rsidR="00A837BE" w:rsidRPr="009D01FD" w:rsidRDefault="00CD2896" w:rsidP="00121B37">
            <w:pPr>
              <w:spacing w:after="0" w:line="240" w:lineRule="auto"/>
              <w:rPr>
                <w:sz w:val="20"/>
                <w:szCs w:val="20"/>
                <w:lang w:val="fr-FR"/>
              </w:rPr>
            </w:pPr>
            <w:r w:rsidRPr="009D01FD">
              <w:rPr>
                <w:sz w:val="20"/>
                <w:szCs w:val="20"/>
                <w:lang w:val="fr-FR"/>
              </w:rPr>
              <w:t>1B</w:t>
            </w:r>
          </w:p>
        </w:tc>
        <w:tc>
          <w:tcPr>
            <w:tcW w:w="4500" w:type="dxa"/>
          </w:tcPr>
          <w:p w14:paraId="5C742FF4" w14:textId="572434B5" w:rsidR="00A837BE" w:rsidRPr="009D01FD" w:rsidRDefault="00CD2896" w:rsidP="00121B37">
            <w:pPr>
              <w:spacing w:after="0" w:line="240" w:lineRule="auto"/>
              <w:rPr>
                <w:rFonts w:eastAsia="Times New Roman"/>
                <w:sz w:val="20"/>
                <w:szCs w:val="20"/>
                <w:lang w:val="fr-FR" w:eastAsia="fr-FR"/>
              </w:rPr>
            </w:pPr>
            <w:r w:rsidRPr="009D01FD">
              <w:rPr>
                <w:rFonts w:eastAsia="Times New Roman"/>
                <w:sz w:val="20"/>
                <w:szCs w:val="20"/>
                <w:lang w:val="fr-FR" w:eastAsia="fr-FR"/>
              </w:rPr>
              <w:t>Publication des PAO et rapports des ZS sur le site de la DEP</w:t>
            </w:r>
          </w:p>
        </w:tc>
        <w:tc>
          <w:tcPr>
            <w:tcW w:w="2340" w:type="dxa"/>
          </w:tcPr>
          <w:p w14:paraId="70607C94" w14:textId="4581E1CD" w:rsidR="00A837BE" w:rsidRPr="009D01FD" w:rsidRDefault="00CD2896" w:rsidP="00121B37">
            <w:pPr>
              <w:spacing w:after="0" w:line="240" w:lineRule="auto"/>
              <w:rPr>
                <w:sz w:val="20"/>
                <w:szCs w:val="20"/>
                <w:lang w:val="fr-FR"/>
              </w:rPr>
            </w:pPr>
            <w:r w:rsidRPr="009D01FD">
              <w:rPr>
                <w:sz w:val="20"/>
                <w:szCs w:val="20"/>
                <w:lang w:val="fr-FR"/>
              </w:rPr>
              <w:t>MSP</w:t>
            </w:r>
          </w:p>
        </w:tc>
        <w:tc>
          <w:tcPr>
            <w:tcW w:w="1890" w:type="dxa"/>
          </w:tcPr>
          <w:p w14:paraId="40982AE8" w14:textId="6A72B446" w:rsidR="00A837BE" w:rsidRPr="009D01FD" w:rsidRDefault="007850B2" w:rsidP="00D81680">
            <w:pPr>
              <w:spacing w:after="0" w:line="240" w:lineRule="auto"/>
              <w:rPr>
                <w:sz w:val="20"/>
                <w:szCs w:val="20"/>
                <w:lang w:val="fr-FR"/>
              </w:rPr>
            </w:pPr>
            <w:r w:rsidRPr="009D01FD">
              <w:rPr>
                <w:sz w:val="20"/>
                <w:szCs w:val="20"/>
                <w:lang w:val="fr-FR"/>
              </w:rPr>
              <w:t>15</w:t>
            </w:r>
            <w:r w:rsidR="00D81680" w:rsidRPr="009D01FD">
              <w:rPr>
                <w:sz w:val="20"/>
                <w:szCs w:val="20"/>
                <w:lang w:val="fr-FR"/>
              </w:rPr>
              <w:t xml:space="preserve"> octobre </w:t>
            </w:r>
            <w:r w:rsidR="00CD2896" w:rsidRPr="009D01FD">
              <w:rPr>
                <w:sz w:val="20"/>
                <w:szCs w:val="20"/>
                <w:lang w:val="fr-FR"/>
              </w:rPr>
              <w:t>2017</w:t>
            </w:r>
          </w:p>
        </w:tc>
      </w:tr>
      <w:tr w:rsidR="00A837BE" w:rsidRPr="009D01FD" w14:paraId="39260C35" w14:textId="77777777" w:rsidTr="00F73691">
        <w:trPr>
          <w:trHeight w:val="206"/>
        </w:trPr>
        <w:tc>
          <w:tcPr>
            <w:tcW w:w="1345" w:type="dxa"/>
          </w:tcPr>
          <w:p w14:paraId="576DE253" w14:textId="25077DEB" w:rsidR="00A837BE" w:rsidRPr="009D01FD" w:rsidRDefault="00A837BE" w:rsidP="00121B37">
            <w:pPr>
              <w:spacing w:after="0" w:line="240" w:lineRule="auto"/>
              <w:rPr>
                <w:sz w:val="20"/>
                <w:szCs w:val="20"/>
                <w:lang w:val="fr-FR"/>
              </w:rPr>
            </w:pPr>
            <w:r w:rsidRPr="009D01FD">
              <w:rPr>
                <w:sz w:val="20"/>
                <w:szCs w:val="20"/>
                <w:lang w:val="fr-FR"/>
              </w:rPr>
              <w:t>1D</w:t>
            </w:r>
          </w:p>
        </w:tc>
        <w:tc>
          <w:tcPr>
            <w:tcW w:w="4500" w:type="dxa"/>
          </w:tcPr>
          <w:p w14:paraId="2D908051" w14:textId="79CC014D" w:rsidR="00A837BE" w:rsidRPr="009D01FD" w:rsidRDefault="00CD2896" w:rsidP="00121B37">
            <w:pPr>
              <w:spacing w:after="0" w:line="240" w:lineRule="auto"/>
              <w:rPr>
                <w:rFonts w:eastAsia="Times New Roman"/>
                <w:sz w:val="20"/>
                <w:szCs w:val="20"/>
                <w:lang w:val="fr-FR" w:eastAsia="fr-FR"/>
              </w:rPr>
            </w:pPr>
            <w:r w:rsidRPr="009D01FD">
              <w:rPr>
                <w:rFonts w:eastAsia="Times New Roman"/>
                <w:sz w:val="20"/>
                <w:szCs w:val="20"/>
                <w:lang w:val="fr-FR" w:eastAsia="fr-FR"/>
              </w:rPr>
              <w:t>Finalisation des négociations état civil</w:t>
            </w:r>
          </w:p>
        </w:tc>
        <w:tc>
          <w:tcPr>
            <w:tcW w:w="2340" w:type="dxa"/>
          </w:tcPr>
          <w:p w14:paraId="1B976810" w14:textId="6DC82898" w:rsidR="00A837BE" w:rsidRPr="009D01FD" w:rsidRDefault="00A329EB" w:rsidP="00121B37">
            <w:pPr>
              <w:spacing w:after="0" w:line="240" w:lineRule="auto"/>
              <w:rPr>
                <w:sz w:val="20"/>
                <w:szCs w:val="20"/>
                <w:lang w:val="fr-FR"/>
              </w:rPr>
            </w:pPr>
            <w:r w:rsidRPr="009D01FD">
              <w:rPr>
                <w:sz w:val="20"/>
                <w:szCs w:val="20"/>
                <w:lang w:val="fr-FR"/>
              </w:rPr>
              <w:t>CFEF/Finances</w:t>
            </w:r>
          </w:p>
        </w:tc>
        <w:tc>
          <w:tcPr>
            <w:tcW w:w="1890" w:type="dxa"/>
          </w:tcPr>
          <w:p w14:paraId="1A7FEFFA" w14:textId="4250C077" w:rsidR="00A837BE" w:rsidRPr="009D01FD" w:rsidRDefault="007850B2" w:rsidP="00121B37">
            <w:pPr>
              <w:spacing w:after="0" w:line="240" w:lineRule="auto"/>
              <w:rPr>
                <w:sz w:val="20"/>
                <w:szCs w:val="20"/>
                <w:lang w:val="fr-FR"/>
              </w:rPr>
            </w:pPr>
            <w:r w:rsidRPr="009D01FD">
              <w:rPr>
                <w:sz w:val="20"/>
                <w:szCs w:val="20"/>
                <w:lang w:val="fr-FR"/>
              </w:rPr>
              <w:t>15 octobre 2017</w:t>
            </w:r>
          </w:p>
        </w:tc>
      </w:tr>
      <w:tr w:rsidR="00CB7310" w:rsidRPr="009D01FD" w14:paraId="2CF0EB0A" w14:textId="77777777" w:rsidTr="00F73691">
        <w:trPr>
          <w:trHeight w:val="206"/>
        </w:trPr>
        <w:tc>
          <w:tcPr>
            <w:tcW w:w="1345" w:type="dxa"/>
          </w:tcPr>
          <w:p w14:paraId="5EAA1CD3" w14:textId="532CA1E8" w:rsidR="00CB7310" w:rsidRPr="009D01FD" w:rsidRDefault="00CD2896" w:rsidP="00121B37">
            <w:pPr>
              <w:spacing w:after="0" w:line="240" w:lineRule="auto"/>
              <w:rPr>
                <w:sz w:val="20"/>
                <w:szCs w:val="20"/>
                <w:lang w:val="fr-FR"/>
              </w:rPr>
            </w:pPr>
            <w:r w:rsidRPr="009D01FD">
              <w:rPr>
                <w:sz w:val="20"/>
                <w:szCs w:val="20"/>
                <w:lang w:val="fr-FR"/>
              </w:rPr>
              <w:t>2A</w:t>
            </w:r>
          </w:p>
        </w:tc>
        <w:tc>
          <w:tcPr>
            <w:tcW w:w="4500" w:type="dxa"/>
          </w:tcPr>
          <w:p w14:paraId="3F20B98C" w14:textId="02DAF338" w:rsidR="00CB7310" w:rsidRPr="009D01FD" w:rsidRDefault="00CD2896" w:rsidP="00121B37">
            <w:pPr>
              <w:spacing w:after="0" w:line="240" w:lineRule="auto"/>
              <w:rPr>
                <w:sz w:val="20"/>
                <w:szCs w:val="20"/>
                <w:lang w:val="fr-FR"/>
              </w:rPr>
            </w:pPr>
            <w:r w:rsidRPr="009D01FD">
              <w:rPr>
                <w:sz w:val="20"/>
                <w:szCs w:val="20"/>
                <w:lang w:val="fr-FR"/>
              </w:rPr>
              <w:t>Présentation du portail web de la DPM</w:t>
            </w:r>
          </w:p>
        </w:tc>
        <w:tc>
          <w:tcPr>
            <w:tcW w:w="2340" w:type="dxa"/>
          </w:tcPr>
          <w:p w14:paraId="657B031A" w14:textId="6A6BF26B" w:rsidR="00CB7310" w:rsidRPr="009D01FD" w:rsidRDefault="00CD2896" w:rsidP="00121B37">
            <w:pPr>
              <w:spacing w:after="0" w:line="240" w:lineRule="auto"/>
              <w:rPr>
                <w:sz w:val="20"/>
                <w:szCs w:val="20"/>
                <w:lang w:val="fr-FR"/>
              </w:rPr>
            </w:pPr>
            <w:r w:rsidRPr="009D01FD">
              <w:rPr>
                <w:sz w:val="20"/>
                <w:szCs w:val="20"/>
                <w:lang w:val="fr-FR"/>
              </w:rPr>
              <w:t>DPM</w:t>
            </w:r>
          </w:p>
        </w:tc>
        <w:tc>
          <w:tcPr>
            <w:tcW w:w="1890" w:type="dxa"/>
          </w:tcPr>
          <w:p w14:paraId="3B32F515" w14:textId="5B4214D2" w:rsidR="00CB7310" w:rsidRPr="009D01FD" w:rsidRDefault="00CD2896" w:rsidP="00121B37">
            <w:pPr>
              <w:spacing w:after="0" w:line="240" w:lineRule="auto"/>
              <w:rPr>
                <w:sz w:val="20"/>
                <w:szCs w:val="20"/>
                <w:lang w:val="fr-FR"/>
              </w:rPr>
            </w:pPr>
            <w:r w:rsidRPr="009D01FD">
              <w:rPr>
                <w:sz w:val="20"/>
                <w:szCs w:val="20"/>
                <w:lang w:val="fr-FR"/>
              </w:rPr>
              <w:t>15 octobre 2017</w:t>
            </w:r>
          </w:p>
        </w:tc>
      </w:tr>
      <w:tr w:rsidR="00865A35" w:rsidRPr="009D01FD" w14:paraId="2FFD8C83" w14:textId="77777777" w:rsidTr="00F73691">
        <w:trPr>
          <w:trHeight w:val="206"/>
        </w:trPr>
        <w:tc>
          <w:tcPr>
            <w:tcW w:w="1345" w:type="dxa"/>
          </w:tcPr>
          <w:p w14:paraId="5AE08D7D" w14:textId="118D95C1" w:rsidR="00865A35" w:rsidRPr="009D01FD" w:rsidRDefault="00E43B2B" w:rsidP="00121B37">
            <w:pPr>
              <w:spacing w:after="0" w:line="240" w:lineRule="auto"/>
              <w:rPr>
                <w:sz w:val="20"/>
                <w:szCs w:val="20"/>
                <w:lang w:val="fr-FR"/>
              </w:rPr>
            </w:pPr>
            <w:r w:rsidRPr="009D01FD">
              <w:rPr>
                <w:sz w:val="20"/>
                <w:szCs w:val="20"/>
                <w:lang w:val="fr-FR"/>
              </w:rPr>
              <w:t>2B</w:t>
            </w:r>
          </w:p>
        </w:tc>
        <w:tc>
          <w:tcPr>
            <w:tcW w:w="4500" w:type="dxa"/>
          </w:tcPr>
          <w:p w14:paraId="73A0DA3C" w14:textId="27D8221A" w:rsidR="00865A35" w:rsidRPr="002D1FA9" w:rsidRDefault="00E43B2B" w:rsidP="00121B37">
            <w:pPr>
              <w:spacing w:after="0" w:line="240" w:lineRule="auto"/>
              <w:rPr>
                <w:sz w:val="20"/>
                <w:szCs w:val="20"/>
              </w:rPr>
            </w:pPr>
            <w:r w:rsidRPr="002D1FA9">
              <w:rPr>
                <w:sz w:val="20"/>
                <w:szCs w:val="20"/>
              </w:rPr>
              <w:t>Signature du business plan FEDECAME</w:t>
            </w:r>
          </w:p>
        </w:tc>
        <w:tc>
          <w:tcPr>
            <w:tcW w:w="2340" w:type="dxa"/>
          </w:tcPr>
          <w:p w14:paraId="7CE135B1" w14:textId="315BA4FF" w:rsidR="00865A35" w:rsidRPr="009D01FD" w:rsidRDefault="00E43B2B" w:rsidP="00121B37">
            <w:pPr>
              <w:spacing w:after="0" w:line="240" w:lineRule="auto"/>
              <w:rPr>
                <w:sz w:val="20"/>
                <w:szCs w:val="20"/>
                <w:lang w:val="fr-FR"/>
              </w:rPr>
            </w:pPr>
            <w:r w:rsidRPr="009D01FD">
              <w:rPr>
                <w:sz w:val="20"/>
                <w:szCs w:val="20"/>
                <w:lang w:val="fr-FR"/>
              </w:rPr>
              <w:t>FEDECAME, CFEF</w:t>
            </w:r>
          </w:p>
        </w:tc>
        <w:tc>
          <w:tcPr>
            <w:tcW w:w="1890" w:type="dxa"/>
          </w:tcPr>
          <w:p w14:paraId="66D5B7EA" w14:textId="2CCA2596" w:rsidR="00865A35" w:rsidRPr="009D01FD" w:rsidRDefault="007850B2" w:rsidP="00121B37">
            <w:pPr>
              <w:spacing w:after="0" w:line="240" w:lineRule="auto"/>
              <w:rPr>
                <w:sz w:val="20"/>
                <w:szCs w:val="20"/>
                <w:lang w:val="fr-FR"/>
              </w:rPr>
            </w:pPr>
            <w:r w:rsidRPr="009D01FD">
              <w:rPr>
                <w:sz w:val="20"/>
                <w:szCs w:val="20"/>
                <w:lang w:val="fr-FR"/>
              </w:rPr>
              <w:t>15 octobre</w:t>
            </w:r>
          </w:p>
        </w:tc>
      </w:tr>
      <w:tr w:rsidR="00865A35" w:rsidRPr="009D01FD" w14:paraId="26AF242F" w14:textId="77777777" w:rsidTr="00F73691">
        <w:trPr>
          <w:trHeight w:val="206"/>
        </w:trPr>
        <w:tc>
          <w:tcPr>
            <w:tcW w:w="1345" w:type="dxa"/>
          </w:tcPr>
          <w:p w14:paraId="225B76A0" w14:textId="4193D85C" w:rsidR="00865A35" w:rsidRPr="009D01FD" w:rsidRDefault="00CD2896" w:rsidP="00121B37">
            <w:pPr>
              <w:spacing w:after="0" w:line="240" w:lineRule="auto"/>
              <w:rPr>
                <w:sz w:val="20"/>
                <w:szCs w:val="20"/>
                <w:lang w:val="fr-FR"/>
              </w:rPr>
            </w:pPr>
            <w:r w:rsidRPr="009D01FD">
              <w:rPr>
                <w:sz w:val="20"/>
                <w:szCs w:val="20"/>
                <w:lang w:val="fr-FR"/>
              </w:rPr>
              <w:t>CFEF</w:t>
            </w:r>
          </w:p>
        </w:tc>
        <w:tc>
          <w:tcPr>
            <w:tcW w:w="4500" w:type="dxa"/>
          </w:tcPr>
          <w:p w14:paraId="29E2A5A4" w14:textId="3EC4D6D0" w:rsidR="00865A35" w:rsidRPr="009D01FD" w:rsidRDefault="00CD2896" w:rsidP="00121B37">
            <w:pPr>
              <w:spacing w:after="0" w:line="240" w:lineRule="auto"/>
              <w:rPr>
                <w:sz w:val="20"/>
                <w:szCs w:val="20"/>
                <w:lang w:val="fr-FR"/>
              </w:rPr>
            </w:pPr>
            <w:r w:rsidRPr="009D01FD">
              <w:rPr>
                <w:sz w:val="20"/>
                <w:szCs w:val="20"/>
                <w:lang w:val="fr-FR"/>
              </w:rPr>
              <w:t>Contribution à l’évaluation à mi-parcours du projet</w:t>
            </w:r>
          </w:p>
        </w:tc>
        <w:tc>
          <w:tcPr>
            <w:tcW w:w="2340" w:type="dxa"/>
          </w:tcPr>
          <w:p w14:paraId="76F947AC" w14:textId="536FFF70" w:rsidR="00865A35" w:rsidRPr="009D01FD" w:rsidRDefault="00CD2896" w:rsidP="00121B37">
            <w:pPr>
              <w:spacing w:after="0" w:line="240" w:lineRule="auto"/>
              <w:rPr>
                <w:sz w:val="20"/>
                <w:szCs w:val="20"/>
                <w:lang w:val="fr-FR"/>
              </w:rPr>
            </w:pPr>
            <w:r w:rsidRPr="009D01FD">
              <w:rPr>
                <w:sz w:val="20"/>
                <w:szCs w:val="20"/>
                <w:lang w:val="fr-FR"/>
              </w:rPr>
              <w:t>CFEF/Finances</w:t>
            </w:r>
          </w:p>
        </w:tc>
        <w:tc>
          <w:tcPr>
            <w:tcW w:w="1890" w:type="dxa"/>
          </w:tcPr>
          <w:p w14:paraId="543F97CB" w14:textId="7135731F" w:rsidR="00865A35" w:rsidRPr="009D01FD" w:rsidRDefault="00CD2896" w:rsidP="00121B37">
            <w:pPr>
              <w:spacing w:after="0" w:line="240" w:lineRule="auto"/>
              <w:rPr>
                <w:sz w:val="20"/>
                <w:szCs w:val="20"/>
                <w:lang w:val="fr-FR"/>
              </w:rPr>
            </w:pPr>
            <w:r w:rsidRPr="009D01FD">
              <w:rPr>
                <w:sz w:val="20"/>
                <w:szCs w:val="20"/>
                <w:lang w:val="fr-FR"/>
              </w:rPr>
              <w:t>15 novembre 2017</w:t>
            </w:r>
          </w:p>
        </w:tc>
      </w:tr>
    </w:tbl>
    <w:p w14:paraId="3D5D3379" w14:textId="77777777" w:rsidR="00746CA0" w:rsidRPr="009D01FD" w:rsidRDefault="00746CA0" w:rsidP="00121B37">
      <w:pPr>
        <w:spacing w:after="0" w:line="240" w:lineRule="auto"/>
        <w:rPr>
          <w:lang w:val="fr-FR"/>
        </w:rPr>
      </w:pPr>
    </w:p>
    <w:p w14:paraId="7690209A" w14:textId="77777777" w:rsidR="00746CA0" w:rsidRPr="009D01FD" w:rsidRDefault="00746CA0" w:rsidP="00121B37">
      <w:pPr>
        <w:spacing w:after="0" w:line="240" w:lineRule="auto"/>
        <w:rPr>
          <w:lang w:val="fr-FR"/>
        </w:rPr>
      </w:pPr>
    </w:p>
    <w:p w14:paraId="137DDD6E" w14:textId="78240FF0" w:rsidR="001D1293" w:rsidRDefault="001D1293">
      <w:pPr>
        <w:spacing w:after="0" w:line="240" w:lineRule="auto"/>
        <w:rPr>
          <w:lang w:val="fr-FR"/>
        </w:rPr>
      </w:pPr>
      <w:r>
        <w:rPr>
          <w:lang w:val="fr-FR"/>
        </w:rPr>
        <w:br w:type="page"/>
      </w:r>
    </w:p>
    <w:p w14:paraId="1A847448" w14:textId="3ED7C069" w:rsidR="00746CA0" w:rsidRDefault="001D1293" w:rsidP="001D1293">
      <w:pPr>
        <w:pStyle w:val="Caption"/>
      </w:pPr>
      <w:r>
        <w:t xml:space="preserve">Annexe </w:t>
      </w:r>
      <w:r>
        <w:fldChar w:fldCharType="begin"/>
      </w:r>
      <w:r>
        <w:instrText xml:space="preserve"> SEQ Annexe \* ARABIC </w:instrText>
      </w:r>
      <w:r>
        <w:fldChar w:fldCharType="separate"/>
      </w:r>
      <w:r>
        <w:rPr>
          <w:noProof/>
        </w:rPr>
        <w:t>3</w:t>
      </w:r>
      <w:r>
        <w:fldChar w:fldCharType="end"/>
      </w:r>
      <w:r>
        <w:t>. Conclusions de l'atelier d'évaluation d'impact pour l'état civil</w:t>
      </w:r>
    </w:p>
    <w:p w14:paraId="39B01781" w14:textId="77777777" w:rsidR="001D1293" w:rsidRDefault="001D1293" w:rsidP="001D1293">
      <w:pPr>
        <w:jc w:val="center"/>
        <w:rPr>
          <w:rFonts w:cstheme="minorHAnsi"/>
          <w:b/>
          <w:sz w:val="22"/>
          <w:u w:val="single"/>
          <w:lang w:val="fr-FR"/>
        </w:rPr>
      </w:pPr>
      <w:r>
        <w:rPr>
          <w:rFonts w:cstheme="minorHAnsi"/>
          <w:b/>
          <w:u w:val="single"/>
          <w:lang w:val="fr-FR"/>
        </w:rPr>
        <w:t>Rapport de l ‘atelier de conception de l’évaluation d’impact</w:t>
      </w:r>
    </w:p>
    <w:p w14:paraId="3382788B" w14:textId="77777777" w:rsidR="001D1293" w:rsidRDefault="001D1293" w:rsidP="001D1293">
      <w:pPr>
        <w:jc w:val="center"/>
        <w:rPr>
          <w:rFonts w:cstheme="minorBidi"/>
          <w:lang w:val="fr-FR"/>
        </w:rPr>
      </w:pPr>
      <w:r>
        <w:rPr>
          <w:rFonts w:cstheme="minorHAnsi"/>
          <w:b/>
          <w:lang w:val="fr-FR"/>
        </w:rPr>
        <w:t xml:space="preserve">Kinshasa, RDC :  </w:t>
      </w:r>
      <w:r>
        <w:rPr>
          <w:rFonts w:cstheme="minorHAnsi"/>
          <w:lang w:val="fr-FR"/>
        </w:rPr>
        <w:t>Aout 24 - 25, 2017</w:t>
      </w:r>
    </w:p>
    <w:p w14:paraId="2F574DAE" w14:textId="77777777" w:rsidR="001D1293" w:rsidRDefault="001D1293" w:rsidP="001D1293">
      <w:pPr>
        <w:pStyle w:val="Heading1"/>
        <w:spacing w:before="480"/>
        <w:rPr>
          <w:rFonts w:asciiTheme="minorHAnsi" w:hAnsiTheme="minorHAnsi" w:cstheme="minorHAnsi"/>
          <w:lang w:val="fr-FR"/>
        </w:rPr>
      </w:pPr>
      <w:r>
        <w:rPr>
          <w:rFonts w:asciiTheme="minorHAnsi" w:hAnsiTheme="minorHAnsi" w:cstheme="minorHAnsi"/>
          <w:lang w:val="fr-FR"/>
        </w:rPr>
        <w:t>Contexte</w:t>
      </w:r>
    </w:p>
    <w:p w14:paraId="434BD63D" w14:textId="77777777" w:rsidR="001D1293" w:rsidRDefault="001D1293" w:rsidP="001D1293">
      <w:pPr>
        <w:pStyle w:val="Heading2"/>
        <w:spacing w:before="240"/>
        <w:rPr>
          <w:rFonts w:asciiTheme="minorHAnsi" w:hAnsiTheme="minorHAnsi" w:cstheme="minorHAnsi"/>
          <w:lang w:val="fr-FR"/>
        </w:rPr>
      </w:pPr>
      <w:r>
        <w:rPr>
          <w:rFonts w:asciiTheme="minorHAnsi" w:hAnsiTheme="minorHAnsi" w:cstheme="minorHAnsi"/>
          <w:lang w:val="fr-FR"/>
        </w:rPr>
        <w:t>Le projet de campagne de rattrapage</w:t>
      </w:r>
    </w:p>
    <w:p w14:paraId="4F66CDAE" w14:textId="77777777" w:rsidR="001D1293" w:rsidRDefault="001D1293" w:rsidP="001D1293">
      <w:pPr>
        <w:rPr>
          <w:rFonts w:asciiTheme="minorHAnsi" w:hAnsiTheme="minorHAnsi" w:cstheme="minorHAnsi"/>
          <w:lang w:val="fr-FR"/>
        </w:rPr>
      </w:pPr>
      <w:r>
        <w:rPr>
          <w:rFonts w:cstheme="minorHAnsi"/>
          <w:lang w:val="fr-FR"/>
        </w:rPr>
        <w:t xml:space="preserve">A l’heure actuelle, le système d’état civil en RDC fait état de difficultés et carences multiples. Afin de combler ces carences, le Gouvernement de la RDC a sollicité et obtenu de la Banque Mondiale les ressources pour financer le </w:t>
      </w:r>
      <w:r>
        <w:rPr>
          <w:rFonts w:cstheme="minorHAnsi"/>
          <w:b/>
          <w:lang w:val="fr-FR"/>
        </w:rPr>
        <w:t>projet de renforcement des systèmes de développement humain (PRSDHU)</w:t>
      </w:r>
      <w:r>
        <w:rPr>
          <w:rFonts w:cstheme="minorHAnsi"/>
          <w:lang w:val="fr-FR"/>
        </w:rPr>
        <w:t xml:space="preserve">, d’un montant de 56 millions de dollars américains. L’objectif du projet est de renforcer les systèmes de gestion et améliorer la qualité des services de l’éducation, de la santé et de la protection sociale. Couvrant un période de 5 ans, le projet comprend trois composantes : (i) systèmes d’information ; (ii) accès aux médicaments essentiels ; et (iii) études, communication, renforcement des capacités et partages des connaissances. </w:t>
      </w:r>
    </w:p>
    <w:p w14:paraId="35ED7F27" w14:textId="77777777" w:rsidR="001D1293" w:rsidRDefault="001D1293" w:rsidP="001D1293">
      <w:pPr>
        <w:rPr>
          <w:rFonts w:cstheme="minorBidi"/>
          <w:lang w:val="fr-FR"/>
        </w:rPr>
      </w:pPr>
      <w:r>
        <w:rPr>
          <w:rFonts w:cstheme="minorHAnsi"/>
          <w:lang w:val="fr-FR"/>
        </w:rPr>
        <w:t>Sous la première composante, le projet financera</w:t>
      </w:r>
      <w:r>
        <w:rPr>
          <w:rFonts w:cstheme="minorHAnsi"/>
          <w:b/>
          <w:lang w:val="fr-FR"/>
        </w:rPr>
        <w:t xml:space="preserve"> des campagnes de rattrapage de l’enregistrement des naissances pour les moins de 18 ans</w:t>
      </w:r>
      <w:r>
        <w:rPr>
          <w:rFonts w:cstheme="minorHAnsi"/>
          <w:lang w:val="fr-FR"/>
        </w:rPr>
        <w:t xml:space="preserve">. Lorsque les parents d’élèves se rendent à l’école primaire pour confirmer l’inscription de leurs enfants, ils auront la possibilité d’initier une procédure d’enregistrement de leur naissance pour chaque enfant n’ayant pas été inscrit dans les 90 jours qui suivent la naissance. </w:t>
      </w:r>
      <w:r>
        <w:rPr>
          <w:lang w:val="fr-FR"/>
        </w:rPr>
        <w:t xml:space="preserve">La campagne débutera vers fin 2017/début 2018 (Phase 1), et sera conduite à titre pilote dans les provinces de Kinshasa, Equateur et Kasaï Occidental. </w:t>
      </w:r>
      <w:r>
        <w:rPr>
          <w:rFonts w:cstheme="minorHAnsi"/>
          <w:lang w:val="fr-FR"/>
        </w:rPr>
        <w:t>La durée prévue pour complétion du projet est de trois ans. Les ministères concernés dans cette sous-composante sont l’Intérieur, la Justice et l’Education Primaire et Secondaire.</w:t>
      </w:r>
    </w:p>
    <w:p w14:paraId="7333C711" w14:textId="77777777" w:rsidR="001D1293" w:rsidRDefault="001D1293" w:rsidP="001D1293">
      <w:pPr>
        <w:rPr>
          <w:lang w:val="fr-FR"/>
        </w:rPr>
      </w:pPr>
      <w:r>
        <w:rPr>
          <w:rFonts w:cstheme="minorHAnsi"/>
          <w:lang w:val="fr-FR"/>
        </w:rPr>
        <w:t>Vu l’importance des campagnes de rattrapage à la réussite du projet et la carence de l’évidence sur l’efficacité de différentes stratégies, une évaluation d’impact rigoureuse sera menée en partenariat avec le projet et le département de recherche de la Banque Mondiale. Cette évaluation d’impact permettra d’</w:t>
      </w:r>
      <w:r>
        <w:rPr>
          <w:lang w:val="fr-FR"/>
        </w:rPr>
        <w:t xml:space="preserve">identifier les approches les plus susceptibles d’améliorer le système d’enregistrement des naissances à long terme et </w:t>
      </w:r>
      <w:r>
        <w:rPr>
          <w:rFonts w:cstheme="minorHAnsi"/>
          <w:lang w:val="fr-FR"/>
        </w:rPr>
        <w:t xml:space="preserve">informera l’implémentation dans le reste du pays. </w:t>
      </w:r>
    </w:p>
    <w:p w14:paraId="2468D774" w14:textId="77777777" w:rsidR="001D1293" w:rsidRDefault="001D1293" w:rsidP="001D1293">
      <w:pPr>
        <w:pStyle w:val="Heading2"/>
        <w:spacing w:before="240"/>
        <w:rPr>
          <w:rFonts w:asciiTheme="minorHAnsi" w:hAnsiTheme="minorHAnsi" w:cstheme="minorHAnsi"/>
          <w:lang w:val="fr-FR"/>
        </w:rPr>
      </w:pPr>
      <w:r>
        <w:rPr>
          <w:rFonts w:asciiTheme="minorHAnsi" w:hAnsiTheme="minorHAnsi" w:cstheme="minorHAnsi"/>
          <w:lang w:val="fr-FR"/>
        </w:rPr>
        <w:t>L’atelier de conception de l’évaluation d’impact</w:t>
      </w:r>
    </w:p>
    <w:p w14:paraId="651E55C7" w14:textId="4BF20393" w:rsidR="001D1293" w:rsidRDefault="001D1293" w:rsidP="001D1293">
      <w:pPr>
        <w:rPr>
          <w:rFonts w:asciiTheme="minorHAnsi" w:hAnsiTheme="minorHAnsi" w:cstheme="minorHAnsi"/>
          <w:b/>
          <w:lang w:val="fr-FR"/>
        </w:rPr>
      </w:pPr>
      <w:r>
        <w:rPr>
          <w:rFonts w:cstheme="minorHAnsi"/>
          <w:lang w:val="fr-FR"/>
        </w:rPr>
        <w:t xml:space="preserve">L’atelier de conception de l’évaluation d’impact pour la campagne de rattrapage de l’état-civil a eu lieu les 24 et 25 aout 2017 à Kinshasa, dans les locaux de la Banque Mondiale. L’équipe de recherche comprenait : Anne Degrave (Doctorante en science politiques a NYU), Eric Mvukiyehe (Economiste à la Banque Mondiale), et Cyrus Samii (Professeur de sciences politiques à NYU). </w:t>
      </w:r>
      <w:r>
        <w:rPr>
          <w:rFonts w:cstheme="minorHAnsi"/>
          <w:b/>
          <w:lang w:val="fr-FR"/>
        </w:rPr>
        <w:t xml:space="preserve">L’atelier avait pour objectif d’identifier les possibles évaluations d’impact dans le cadre du projet de campagne de rattrapage. </w:t>
      </w:r>
    </w:p>
    <w:p w14:paraId="57CDAEEC" w14:textId="77777777" w:rsidR="001D1293" w:rsidRDefault="001D1293" w:rsidP="001D1293">
      <w:pPr>
        <w:rPr>
          <w:rFonts w:cstheme="minorHAnsi"/>
          <w:lang w:val="fr-FR"/>
        </w:rPr>
      </w:pPr>
      <w:r>
        <w:rPr>
          <w:rFonts w:cstheme="minorHAnsi"/>
          <w:lang w:val="fr-FR"/>
        </w:rPr>
        <w:t>Les activités étaient initialement prévues pour un atelier à la Banque Mondiale à Washington DC en mai 2017, mais des problèmes d’immigration avaient empêché la venue des représentants du gouvernement de la RDC. C’est pour cette raison que l’atelier a été organisé plus tard et à Kinshasa. Ce changement a eu des avantages : organiser l’atelier à Kinshasa a permis une participation plus large des différents ministères concernés directement ou indirectement par l’état civil.</w:t>
      </w:r>
    </w:p>
    <w:p w14:paraId="08BC88B3" w14:textId="77777777" w:rsidR="001D1293" w:rsidRDefault="001D1293" w:rsidP="001D1293">
      <w:pPr>
        <w:rPr>
          <w:rFonts w:cstheme="minorHAnsi"/>
          <w:lang w:val="fr-FR"/>
        </w:rPr>
      </w:pPr>
      <w:r>
        <w:rPr>
          <w:rFonts w:cstheme="minorHAnsi"/>
          <w:lang w:val="fr-FR"/>
        </w:rPr>
        <w:t>L’équipe de recherche a présenté la méthodologie de l’évaluation d’impact basée sur la randomisation. Cette méthode mesure rigoureusement l’effet causal des politiques publiques, permettant de comparer l’efficacité de différentes stratégies. Les résultats d’une ou plusieurs évaluations d’impact dans le cadre du projet de campagne de rattrapage permettraient de renforcer l’efficacité globale de la campagne, et d’informer sur les meilleures stratégies pour renforcer durablement le système d’état-civil. La discussion des études de cas – la réforme de l’état-civil au Ghana depuis 2004 et l’évaluation d’impact de la réforme biométrique en Inde – a mis en évidence deux conclusions importantes. Premièrement, il n’existe pas à l’heure actuelle d’évaluation d’impact rigoureuse concernant le renforcement des systèmes d’état-civil, que ce soit en RDC ou ailleurs. Deuxièmement, l’exemple indien de la réforme biométrique montre qu’une évaluation d’impact peut prouver l’efficacité de mesures de politiques publiques, et par la suite renforcer le soutien politique pour les réformes. Ces deux conclusions soulignent l’importance de ce projet d’évaluation associé à la campagne de rattrapage.</w:t>
      </w:r>
    </w:p>
    <w:p w14:paraId="43D50342" w14:textId="77777777" w:rsidR="001D1293" w:rsidRPr="001D1293" w:rsidRDefault="001D1293" w:rsidP="001D1293">
      <w:pPr>
        <w:pStyle w:val="Heading1"/>
        <w:rPr>
          <w:lang w:val="fr-FR"/>
        </w:rPr>
      </w:pPr>
      <w:r w:rsidRPr="001D1293">
        <w:rPr>
          <w:lang w:val="fr-FR"/>
        </w:rPr>
        <w:t>Conclusions et résultats de l’atelier</w:t>
      </w:r>
    </w:p>
    <w:p w14:paraId="5DEAD8B6" w14:textId="77777777" w:rsidR="001D1293" w:rsidRDefault="001D1293" w:rsidP="001D1293">
      <w:pPr>
        <w:rPr>
          <w:lang w:val="fr-FR"/>
        </w:rPr>
      </w:pPr>
      <w:r>
        <w:rPr>
          <w:lang w:val="fr-FR"/>
        </w:rPr>
        <w:t xml:space="preserve">Après la présentation sur les méthodes d’évaluations d’impact et la présentation des exemples des évaluations d’impact dans d’autres contextes, les discussions de l’atelier se sont centrées sur deux aspects importants : l’identification des problèmes ou obstacles à l’efficacité des systèmes d’identification et enregistrement des enfants à l’état civil et les solutions ou interventions potentielles qui peuvent être conduites dans le cadre du projet pour résoudre ces problèmes afin d’améliorer le taux d’enregistrement des enfants. Ces discussions ont ensuite conduit à la conception d’une évaluation d’impact qui testera l’efficacité d’un nombre de stratégies prioritaires.  </w:t>
      </w:r>
    </w:p>
    <w:p w14:paraId="1588A0E0" w14:textId="77777777" w:rsidR="001D1293" w:rsidRDefault="001D1293" w:rsidP="001D1293">
      <w:pPr>
        <w:pStyle w:val="Heading2"/>
        <w:rPr>
          <w:lang w:val="fr-FR"/>
        </w:rPr>
      </w:pPr>
      <w:r>
        <w:rPr>
          <w:lang w:val="fr-FR"/>
        </w:rPr>
        <w:t>Identification des problèmes</w:t>
      </w:r>
    </w:p>
    <w:p w14:paraId="35907449" w14:textId="77777777" w:rsidR="001D1293" w:rsidRDefault="001D1293" w:rsidP="001D1293">
      <w:pPr>
        <w:rPr>
          <w:rFonts w:cstheme="minorHAnsi"/>
          <w:lang w:val="fr-FR"/>
        </w:rPr>
      </w:pPr>
      <w:r>
        <w:rPr>
          <w:rFonts w:cstheme="minorHAnsi"/>
          <w:lang w:val="fr-FR"/>
        </w:rPr>
        <w:t>La discussion entre les représentants des différents services du gouvernement, facilitée par l’équipe de recherche, a mis en lumière les problèmes principaux concernant le système actuel d’enregistrement des naissances.</w:t>
      </w:r>
    </w:p>
    <w:p w14:paraId="01C9F63B" w14:textId="77777777" w:rsidR="001D1293" w:rsidRDefault="001D1293" w:rsidP="001D1293">
      <w:pPr>
        <w:pStyle w:val="ListParagraph"/>
        <w:numPr>
          <w:ilvl w:val="0"/>
          <w:numId w:val="4"/>
        </w:numPr>
        <w:spacing w:after="160" w:line="256" w:lineRule="auto"/>
        <w:rPr>
          <w:rFonts w:cstheme="minorHAnsi"/>
          <w:lang w:val="fr-FR"/>
        </w:rPr>
      </w:pPr>
      <w:r>
        <w:rPr>
          <w:rFonts w:cstheme="minorHAnsi"/>
          <w:b/>
          <w:bCs/>
          <w:lang w:val="fr-FR"/>
        </w:rPr>
        <w:t>Le manque d’information parmi la population, en particulier l’ignorance des lois et des avantages de détenir un acte de naissance</w:t>
      </w:r>
      <w:r>
        <w:rPr>
          <w:rFonts w:cstheme="minorHAnsi"/>
          <w:bCs/>
          <w:lang w:val="fr-FR"/>
        </w:rPr>
        <w:t>.  En théorie, la possession d’un acte de naissance protège l’enfant contre les mariages forcés et les problèmes d’héritage. Par ailleurs, un acte de naissance est nécessaire pour obtenir un passeport et voyager, ainsi que pour l’inscription à certaines écoles. En pratique, peu de parents sont sensibilisés à cette importance de l’acte de naissance. Beaucoup, en particulier dans les localités rurales, ne connaissent pas du tout la loi en la matière. Les participants de l’atelier ont souligné le manque d’implication des leaders locaux – étatiques et non-étatiques – dans la sensibilisation autour de ces avantages.</w:t>
      </w:r>
    </w:p>
    <w:p w14:paraId="3BF7E384" w14:textId="77777777" w:rsidR="001D1293" w:rsidRDefault="001D1293" w:rsidP="001D1293">
      <w:pPr>
        <w:pStyle w:val="ListParagraph"/>
        <w:rPr>
          <w:rFonts w:cstheme="minorHAnsi"/>
          <w:lang w:val="fr-FR"/>
        </w:rPr>
      </w:pPr>
    </w:p>
    <w:p w14:paraId="4177BFB1" w14:textId="07999088" w:rsidR="001D1293" w:rsidRPr="001D1293" w:rsidRDefault="001D1293" w:rsidP="001D1293">
      <w:pPr>
        <w:pStyle w:val="ListParagraph"/>
        <w:numPr>
          <w:ilvl w:val="0"/>
          <w:numId w:val="4"/>
        </w:numPr>
        <w:tabs>
          <w:tab w:val="num" w:pos="720"/>
        </w:tabs>
        <w:spacing w:after="160" w:line="256" w:lineRule="auto"/>
        <w:rPr>
          <w:rFonts w:cstheme="minorHAnsi"/>
          <w:lang w:val="fr-FR"/>
        </w:rPr>
      </w:pPr>
      <w:r>
        <w:rPr>
          <w:rFonts w:cstheme="minorHAnsi"/>
          <w:b/>
          <w:bCs/>
          <w:lang w:val="fr-FR"/>
        </w:rPr>
        <w:t xml:space="preserve">La lenteur administrative pour obtenir un acte de naissance. </w:t>
      </w:r>
      <w:r>
        <w:rPr>
          <w:rFonts w:cstheme="minorHAnsi"/>
          <w:lang w:val="fr-FR"/>
        </w:rPr>
        <w:t xml:space="preserve">Les participants ont souligné le manque de collaboration entre les structures étatiques impliquées dans l’état civil, de ressources dédiées aux administrations concernées, et enfin, une absence de volonté politique pour améliorer le système. </w:t>
      </w:r>
    </w:p>
    <w:p w14:paraId="2A01B9DA" w14:textId="77777777" w:rsidR="001D1293" w:rsidRDefault="001D1293" w:rsidP="001D1293">
      <w:pPr>
        <w:pStyle w:val="ListParagraph"/>
        <w:rPr>
          <w:rFonts w:cstheme="minorHAnsi"/>
          <w:lang w:val="fr-FR"/>
        </w:rPr>
      </w:pPr>
    </w:p>
    <w:p w14:paraId="1F439DCA" w14:textId="77777777" w:rsidR="001D1293" w:rsidRDefault="001D1293" w:rsidP="001D1293">
      <w:pPr>
        <w:pStyle w:val="ListParagraph"/>
        <w:numPr>
          <w:ilvl w:val="0"/>
          <w:numId w:val="4"/>
        </w:numPr>
        <w:spacing w:after="160" w:line="256" w:lineRule="auto"/>
        <w:rPr>
          <w:rFonts w:cstheme="minorHAnsi"/>
          <w:bCs/>
          <w:lang w:val="fr-FR"/>
        </w:rPr>
      </w:pPr>
      <w:r>
        <w:rPr>
          <w:rFonts w:cstheme="minorHAnsi"/>
          <w:b/>
          <w:bCs/>
          <w:lang w:val="fr-FR"/>
        </w:rPr>
        <w:t xml:space="preserve">Les couts liés à la distance et aux paiements informels à l’administration. </w:t>
      </w:r>
      <w:r>
        <w:rPr>
          <w:rFonts w:cstheme="minorHAnsi"/>
          <w:bCs/>
          <w:lang w:val="fr-FR"/>
        </w:rPr>
        <w:t>La demande d’acte de naissance doit se faire dans un bureau d’état civil, et celui-ci est souvent éloigné du logement des parents. Le transport jusqu’au bureau est couteux en temps et argent, ce qui décourage les parents d’enregistrer leur enfant. Après le délai de 90 jours, les parents sont dissuadés d’enregistrer l’enfant à cause du cout du jugement supplétif, qui est élevé et non harmonisé sur tout le territoire. Un autre problème est la présence de paiements informels associés à l’obtention de l’acte de naissance (tracasseries).</w:t>
      </w:r>
    </w:p>
    <w:p w14:paraId="00090DB4" w14:textId="77777777" w:rsidR="001D1293" w:rsidRDefault="001D1293" w:rsidP="001D1293">
      <w:pPr>
        <w:pStyle w:val="ListParagraph"/>
        <w:rPr>
          <w:rFonts w:cstheme="minorHAnsi"/>
          <w:bCs/>
          <w:lang w:val="fr-FR"/>
        </w:rPr>
      </w:pPr>
    </w:p>
    <w:p w14:paraId="765F5228" w14:textId="77777777" w:rsidR="001D1293" w:rsidRDefault="001D1293" w:rsidP="001D1293">
      <w:pPr>
        <w:pStyle w:val="ListParagraph"/>
        <w:numPr>
          <w:ilvl w:val="0"/>
          <w:numId w:val="4"/>
        </w:numPr>
        <w:spacing w:after="160" w:line="256" w:lineRule="auto"/>
        <w:rPr>
          <w:rFonts w:cstheme="minorHAnsi"/>
          <w:lang w:val="fr-FR"/>
        </w:rPr>
      </w:pPr>
      <w:r>
        <w:rPr>
          <w:rFonts w:cstheme="minorHAnsi"/>
          <w:b/>
          <w:bCs/>
          <w:lang w:val="fr-FR"/>
        </w:rPr>
        <w:t xml:space="preserve">Absence d’avantages concrets à court-terme pour les parents. </w:t>
      </w:r>
      <w:r>
        <w:rPr>
          <w:rFonts w:cstheme="minorHAnsi"/>
          <w:bCs/>
          <w:lang w:val="fr-FR"/>
        </w:rPr>
        <w:t>Les parents ne bénéficient qu’indirectement de l’enregistrement de leur enfant. De plus, l’acte ne va servir que dans de rares occasions. Ceci est lié à la non-application de la loi. E</w:t>
      </w:r>
      <w:r>
        <w:rPr>
          <w:rFonts w:cstheme="minorHAnsi"/>
          <w:lang w:val="fr-FR"/>
        </w:rPr>
        <w:t>n théorie, l’accès à l’école ou au passeport devrait être conditionné à la possession d’un acte de naissance, mais ces contraintes sont rarement appliquées. De plus, de nombreux faux documents, ou des documents alternatifs qui se monnaient– attestation de naissance par exemple – sont utilisés à la place de l’acte de naissance.</w:t>
      </w:r>
    </w:p>
    <w:p w14:paraId="41DFC956" w14:textId="77777777" w:rsidR="001D1293" w:rsidRDefault="001D1293" w:rsidP="001D1293">
      <w:pPr>
        <w:rPr>
          <w:rFonts w:cstheme="minorHAnsi"/>
          <w:lang w:val="fr-FR"/>
        </w:rPr>
      </w:pPr>
      <w:r>
        <w:rPr>
          <w:rFonts w:cstheme="minorHAnsi"/>
          <w:lang w:val="fr-FR"/>
        </w:rPr>
        <w:t xml:space="preserve">Plusieurs autres problèmes ont également été cités par les participants. </w:t>
      </w:r>
    </w:p>
    <w:p w14:paraId="413BB2A5"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 xml:space="preserve">Normes culturelles et sociales : </w:t>
      </w:r>
    </w:p>
    <w:p w14:paraId="2A414BF2" w14:textId="77777777" w:rsidR="001D1293" w:rsidRDefault="001D1293" w:rsidP="001D1293">
      <w:pPr>
        <w:pStyle w:val="ListParagraph"/>
        <w:numPr>
          <w:ilvl w:val="1"/>
          <w:numId w:val="5"/>
        </w:numPr>
        <w:spacing w:after="160" w:line="256" w:lineRule="auto"/>
        <w:rPr>
          <w:rFonts w:cstheme="minorHAnsi"/>
          <w:lang w:val="fr-FR"/>
        </w:rPr>
      </w:pPr>
      <w:r>
        <w:rPr>
          <w:rFonts w:cstheme="minorHAnsi"/>
          <w:lang w:val="fr-FR"/>
        </w:rPr>
        <w:t>Dans certains villages, les nouveau-nés ne reçoivent pas de nom avant une célébration avec toute la famille. Par conséquent, les parents ne peuvent pas profiter de la gratuité et enregistrer leurs enfants directement après la naissance.</w:t>
      </w:r>
    </w:p>
    <w:p w14:paraId="260B3AE3" w14:textId="77777777" w:rsidR="001D1293" w:rsidRDefault="001D1293" w:rsidP="001D1293">
      <w:pPr>
        <w:pStyle w:val="ListParagraph"/>
        <w:numPr>
          <w:ilvl w:val="1"/>
          <w:numId w:val="5"/>
        </w:numPr>
        <w:spacing w:after="160" w:line="256" w:lineRule="auto"/>
        <w:rPr>
          <w:rFonts w:cstheme="minorHAnsi"/>
          <w:lang w:val="fr-FR"/>
        </w:rPr>
      </w:pPr>
      <w:r>
        <w:rPr>
          <w:rFonts w:cstheme="minorHAnsi"/>
          <w:lang w:val="fr-FR"/>
        </w:rPr>
        <w:t>La non-possession de documentation est devenue une norme sociale et culturelle acceptable en RDC.</w:t>
      </w:r>
    </w:p>
    <w:p w14:paraId="17DEE43E" w14:textId="77777777" w:rsidR="001D1293" w:rsidRDefault="001D1293" w:rsidP="001D1293">
      <w:pPr>
        <w:pStyle w:val="ListParagraph"/>
        <w:ind w:left="1440"/>
        <w:rPr>
          <w:rFonts w:cstheme="minorHAnsi"/>
          <w:lang w:val="fr-FR"/>
        </w:rPr>
      </w:pPr>
    </w:p>
    <w:p w14:paraId="5CE6E6D4"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Désobéissance civile : certains parents ne veulent pas enregistrer leurs enfants parce qu’ils ne font pas confiance à l’Etat.</w:t>
      </w:r>
    </w:p>
    <w:p w14:paraId="213237B9" w14:textId="77777777" w:rsidR="001D1293" w:rsidRPr="001D1293" w:rsidRDefault="001D1293" w:rsidP="001D1293">
      <w:pPr>
        <w:pStyle w:val="Heading2"/>
        <w:rPr>
          <w:lang w:val="fr-FR"/>
        </w:rPr>
      </w:pPr>
      <w:r w:rsidRPr="001D1293">
        <w:rPr>
          <w:lang w:val="fr-FR"/>
        </w:rPr>
        <w:t>Les interventions proposées pour l’évaluation d’impact</w:t>
      </w:r>
    </w:p>
    <w:p w14:paraId="1E906C7B" w14:textId="77777777" w:rsidR="001D1293" w:rsidRDefault="001D1293" w:rsidP="001D1293">
      <w:pPr>
        <w:rPr>
          <w:rFonts w:cstheme="minorHAnsi"/>
          <w:lang w:val="fr-FR"/>
        </w:rPr>
      </w:pPr>
      <w:r>
        <w:rPr>
          <w:rFonts w:cstheme="minorHAnsi"/>
          <w:lang w:val="fr-FR"/>
        </w:rPr>
        <w:t xml:space="preserve">Parmi les problèmes cités ci-dessus, les participants ont distingué ceux qui relèvent de </w:t>
      </w:r>
      <w:r>
        <w:rPr>
          <w:rFonts w:cstheme="minorHAnsi"/>
          <w:b/>
          <w:lang w:val="fr-FR"/>
        </w:rPr>
        <w:t>l’offre</w:t>
      </w:r>
      <w:r>
        <w:rPr>
          <w:rFonts w:cstheme="minorHAnsi"/>
          <w:lang w:val="fr-FR"/>
        </w:rPr>
        <w:t xml:space="preserve"> (distance des bureaux d’état-civil, non-application de la loi, lenteurs administratives) et ceux qui relèvent de </w:t>
      </w:r>
      <w:r>
        <w:rPr>
          <w:rFonts w:cstheme="minorHAnsi"/>
          <w:b/>
          <w:lang w:val="fr-FR"/>
        </w:rPr>
        <w:t>la demande</w:t>
      </w:r>
      <w:r>
        <w:rPr>
          <w:rFonts w:cstheme="minorHAnsi"/>
          <w:lang w:val="fr-FR"/>
        </w:rPr>
        <w:t xml:space="preserve"> (manque d’information et de sensibilisation, manque d’implication des acteurs locaux). Cette distinction correspond aux deux composantes de la campagne de rattrapage : la sensibilisation (intervention sur la demande), et l’enregistrement des naissances (action sur l’offre). Sur cette base, les participants de l’atelier ont défini </w:t>
      </w:r>
      <w:r>
        <w:rPr>
          <w:rFonts w:cstheme="minorHAnsi"/>
          <w:b/>
          <w:lang w:val="fr-FR"/>
        </w:rPr>
        <w:t>deux groupes d’interventions à évaluer</w:t>
      </w:r>
      <w:r>
        <w:rPr>
          <w:rFonts w:cstheme="minorHAnsi"/>
          <w:lang w:val="fr-FR"/>
        </w:rPr>
        <w:t>.</w:t>
      </w:r>
    </w:p>
    <w:p w14:paraId="259E6DF9" w14:textId="77777777" w:rsidR="001D1293" w:rsidRDefault="001D1293" w:rsidP="001D1293">
      <w:pPr>
        <w:rPr>
          <w:rFonts w:cstheme="minorHAnsi"/>
          <w:lang w:val="fr-FR"/>
        </w:rPr>
      </w:pPr>
      <w:r>
        <w:rPr>
          <w:rFonts w:cstheme="minorHAnsi"/>
          <w:b/>
          <w:lang w:val="fr-FR"/>
        </w:rPr>
        <w:t>Pour toutes les interventions proposées ci-dessous, il a été décidé d’utiliser la méthode expérimentale d’évaluation dite de randomisation</w:t>
      </w:r>
      <w:r>
        <w:rPr>
          <w:rFonts w:cstheme="minorHAnsi"/>
          <w:lang w:val="fr-FR"/>
        </w:rPr>
        <w:t> : certaines populations cibles sont assignées à l’intervention (groupe de traitement), et d’autres populations reçoivent une autre intervention/pas d’intervention. Les premières sous-sections décrivent les interventions proposées, ainsi que leur justification par rapport aux problèmes actuels de l’état civil. Une sous-section présente ensuite les résultats à mesurer pour l’évaluation des interventions. La dernière sous-section discute les unités possibles de randomisation.</w:t>
      </w:r>
    </w:p>
    <w:p w14:paraId="49EDA147" w14:textId="77777777" w:rsidR="001D1293" w:rsidRDefault="001D1293" w:rsidP="001D1293">
      <w:pPr>
        <w:pStyle w:val="Heading2"/>
        <w:rPr>
          <w:rFonts w:asciiTheme="minorHAnsi" w:hAnsiTheme="minorHAnsi" w:cstheme="minorHAnsi"/>
          <w:b/>
          <w:lang w:val="fr-FR"/>
        </w:rPr>
      </w:pPr>
      <w:r>
        <w:rPr>
          <w:rFonts w:asciiTheme="minorHAnsi" w:hAnsiTheme="minorHAnsi" w:cstheme="minorHAnsi"/>
          <w:b/>
          <w:lang w:val="fr-FR"/>
        </w:rPr>
        <w:t>Intervention 1 : Campagne de sensibilisation (demande)</w:t>
      </w:r>
    </w:p>
    <w:p w14:paraId="3C5106FF" w14:textId="77777777" w:rsidR="001D1293" w:rsidRDefault="001D1293" w:rsidP="001D1293">
      <w:pPr>
        <w:pStyle w:val="Heading3"/>
        <w:rPr>
          <w:rFonts w:asciiTheme="minorHAnsi" w:hAnsiTheme="minorHAnsi" w:cstheme="minorHAnsi"/>
          <w:lang w:val="fr-FR"/>
        </w:rPr>
      </w:pPr>
      <w:r>
        <w:rPr>
          <w:rFonts w:asciiTheme="minorHAnsi" w:hAnsiTheme="minorHAnsi" w:cstheme="minorHAnsi"/>
          <w:lang w:val="fr-FR"/>
        </w:rPr>
        <w:t xml:space="preserve">Intervention 1a : acteurs associés à la sensibilisation </w:t>
      </w:r>
    </w:p>
    <w:p w14:paraId="0B863530" w14:textId="77777777" w:rsidR="001D1293" w:rsidRDefault="001D1293" w:rsidP="001D1293">
      <w:pPr>
        <w:rPr>
          <w:rFonts w:asciiTheme="minorHAnsi" w:hAnsiTheme="minorHAnsi" w:cstheme="minorHAnsi"/>
          <w:lang w:val="fr-FR"/>
        </w:rPr>
      </w:pPr>
      <w:r>
        <w:rPr>
          <w:rFonts w:cstheme="minorHAnsi"/>
          <w:lang w:val="fr-FR"/>
        </w:rPr>
        <w:t>Une implication accrue des acteurs étatiques (agents d’état civil, magistrats) et communautaires (enseignants de l’école primaire, leader d’opinion, acteurs religieux, chefs traditionnels, comités de parents d’élèves, ou autres) dans la sensibilisation est susceptible d’améliorer l’efficacité de la campagne de rattrapage.  Les participants souhaitent</w:t>
      </w:r>
      <w:r>
        <w:rPr>
          <w:rFonts w:cstheme="minorHAnsi"/>
          <w:b/>
          <w:lang w:val="fr-FR"/>
        </w:rPr>
        <w:t xml:space="preserve"> évaluer précisément quels groupes d’acteurs, étatiques ou communautaires, sont les plus efficaces pour la sensibilisation</w:t>
      </w:r>
      <w:r>
        <w:rPr>
          <w:rFonts w:cstheme="minorHAnsi"/>
          <w:lang w:val="fr-FR"/>
        </w:rPr>
        <w:t>. Dans ce but, on adopte une approche avec deux groupes d’interventions croisées, décrite dans le tableau ci-dessous :</w:t>
      </w:r>
    </w:p>
    <w:p w14:paraId="36B33008" w14:textId="77777777" w:rsidR="001D1293" w:rsidRDefault="001D1293" w:rsidP="001D1293">
      <w:pPr>
        <w:jc w:val="center"/>
        <w:rPr>
          <w:rFonts w:cstheme="minorHAnsi"/>
          <w:b/>
          <w:u w:val="single"/>
          <w:lang w:val="fr-FR"/>
        </w:rPr>
      </w:pPr>
      <w:r>
        <w:rPr>
          <w:rFonts w:cstheme="minorHAnsi"/>
          <w:b/>
          <w:u w:val="single"/>
          <w:lang w:val="fr-FR"/>
        </w:rPr>
        <w:t>Table 1. Design de l’évaluation sur les stratégies de sensibilisation</w:t>
      </w:r>
    </w:p>
    <w:tbl>
      <w:tblPr>
        <w:tblStyle w:val="TableGrid"/>
        <w:tblW w:w="0" w:type="auto"/>
        <w:jc w:val="center"/>
        <w:tblLook w:val="04A0" w:firstRow="1" w:lastRow="0" w:firstColumn="1" w:lastColumn="0" w:noHBand="0" w:noVBand="1"/>
      </w:tblPr>
      <w:tblGrid>
        <w:gridCol w:w="1295"/>
        <w:gridCol w:w="736"/>
        <w:gridCol w:w="1763"/>
        <w:gridCol w:w="1750"/>
      </w:tblGrid>
      <w:tr w:rsidR="001D1293" w14:paraId="5268148B" w14:textId="77777777" w:rsidTr="001D1293">
        <w:trPr>
          <w:trHeight w:val="629"/>
          <w:jc w:val="center"/>
        </w:trPr>
        <w:tc>
          <w:tcPr>
            <w:tcW w:w="1854" w:type="dxa"/>
            <w:gridSpan w:val="2"/>
            <w:vMerge w:val="restart"/>
            <w:tcBorders>
              <w:top w:val="single" w:sz="12" w:space="0" w:color="auto"/>
              <w:left w:val="single" w:sz="12" w:space="0" w:color="auto"/>
              <w:bottom w:val="single" w:sz="12" w:space="0" w:color="auto"/>
              <w:right w:val="single" w:sz="12" w:space="0" w:color="auto"/>
            </w:tcBorders>
            <w:vAlign w:val="center"/>
          </w:tcPr>
          <w:p w14:paraId="13466239" w14:textId="77777777" w:rsidR="001D1293" w:rsidRDefault="001D1293">
            <w:pPr>
              <w:spacing w:after="0" w:line="240" w:lineRule="auto"/>
              <w:rPr>
                <w:rFonts w:cstheme="minorHAnsi"/>
                <w:lang w:val="fr-FR"/>
              </w:rPr>
            </w:pPr>
          </w:p>
        </w:tc>
        <w:tc>
          <w:tcPr>
            <w:tcW w:w="3500" w:type="dxa"/>
            <w:gridSpan w:val="2"/>
            <w:tcBorders>
              <w:top w:val="single" w:sz="12" w:space="0" w:color="auto"/>
              <w:left w:val="single" w:sz="12" w:space="0" w:color="auto"/>
              <w:bottom w:val="single" w:sz="4" w:space="0" w:color="auto"/>
              <w:right w:val="single" w:sz="12" w:space="0" w:color="auto"/>
            </w:tcBorders>
            <w:vAlign w:val="center"/>
            <w:hideMark/>
          </w:tcPr>
          <w:p w14:paraId="0E32EAD8" w14:textId="77777777" w:rsidR="001D1293" w:rsidRDefault="001D1293">
            <w:pPr>
              <w:spacing w:after="0" w:line="240" w:lineRule="auto"/>
              <w:jc w:val="center"/>
              <w:rPr>
                <w:rFonts w:cstheme="minorHAnsi"/>
                <w:lang w:val="fr-FR"/>
              </w:rPr>
            </w:pPr>
            <w:r>
              <w:rPr>
                <w:rFonts w:cstheme="minorHAnsi"/>
                <w:b/>
                <w:lang w:val="fr-FR"/>
              </w:rPr>
              <w:t>Acteurs communautaires impliques ?</w:t>
            </w:r>
          </w:p>
        </w:tc>
      </w:tr>
      <w:tr w:rsidR="001D1293" w14:paraId="239C902B" w14:textId="77777777" w:rsidTr="001D1293">
        <w:trPr>
          <w:trHeight w:val="440"/>
          <w:jc w:val="center"/>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7DE8FB8C" w14:textId="77777777" w:rsidR="001D1293" w:rsidRDefault="001D1293">
            <w:pPr>
              <w:spacing w:after="0" w:line="240" w:lineRule="auto"/>
              <w:rPr>
                <w:rFonts w:cstheme="minorHAnsi"/>
                <w:sz w:val="22"/>
                <w:lang w:val="fr-FR"/>
              </w:rPr>
            </w:pPr>
          </w:p>
        </w:tc>
        <w:tc>
          <w:tcPr>
            <w:tcW w:w="1750" w:type="dxa"/>
            <w:tcBorders>
              <w:top w:val="single" w:sz="4" w:space="0" w:color="auto"/>
              <w:left w:val="single" w:sz="12" w:space="0" w:color="auto"/>
              <w:bottom w:val="single" w:sz="12" w:space="0" w:color="auto"/>
              <w:right w:val="single" w:sz="4" w:space="0" w:color="auto"/>
            </w:tcBorders>
            <w:vAlign w:val="center"/>
            <w:hideMark/>
          </w:tcPr>
          <w:p w14:paraId="6E072F01" w14:textId="77777777" w:rsidR="001D1293" w:rsidRDefault="001D1293">
            <w:pPr>
              <w:spacing w:after="0" w:line="240" w:lineRule="auto"/>
              <w:jc w:val="center"/>
              <w:rPr>
                <w:rFonts w:cstheme="minorHAnsi"/>
                <w:lang w:val="fr-FR"/>
              </w:rPr>
            </w:pPr>
            <w:r>
              <w:rPr>
                <w:rFonts w:cstheme="minorHAnsi"/>
                <w:lang w:val="fr-FR"/>
              </w:rPr>
              <w:t>OUI</w:t>
            </w:r>
          </w:p>
        </w:tc>
        <w:tc>
          <w:tcPr>
            <w:tcW w:w="1750" w:type="dxa"/>
            <w:tcBorders>
              <w:top w:val="single" w:sz="4" w:space="0" w:color="auto"/>
              <w:left w:val="single" w:sz="4" w:space="0" w:color="auto"/>
              <w:bottom w:val="single" w:sz="12" w:space="0" w:color="auto"/>
              <w:right w:val="single" w:sz="12" w:space="0" w:color="auto"/>
            </w:tcBorders>
            <w:vAlign w:val="center"/>
            <w:hideMark/>
          </w:tcPr>
          <w:p w14:paraId="24A33107" w14:textId="77777777" w:rsidR="001D1293" w:rsidRDefault="001D1293">
            <w:pPr>
              <w:spacing w:after="0" w:line="240" w:lineRule="auto"/>
              <w:jc w:val="center"/>
              <w:rPr>
                <w:rFonts w:cstheme="minorHAnsi"/>
                <w:lang w:val="fr-FR"/>
              </w:rPr>
            </w:pPr>
            <w:r>
              <w:rPr>
                <w:rFonts w:cstheme="minorHAnsi"/>
                <w:lang w:val="fr-FR"/>
              </w:rPr>
              <w:t>NON</w:t>
            </w:r>
          </w:p>
        </w:tc>
      </w:tr>
      <w:tr w:rsidR="001D1293" w14:paraId="355EA896" w14:textId="77777777" w:rsidTr="001D1293">
        <w:trPr>
          <w:trHeight w:val="791"/>
          <w:jc w:val="center"/>
        </w:trPr>
        <w:tc>
          <w:tcPr>
            <w:tcW w:w="1295" w:type="dxa"/>
            <w:vMerge w:val="restart"/>
            <w:tcBorders>
              <w:top w:val="single" w:sz="12" w:space="0" w:color="auto"/>
              <w:left w:val="single" w:sz="12" w:space="0" w:color="auto"/>
              <w:bottom w:val="single" w:sz="12" w:space="0" w:color="auto"/>
              <w:right w:val="single" w:sz="4" w:space="0" w:color="auto"/>
            </w:tcBorders>
            <w:vAlign w:val="center"/>
          </w:tcPr>
          <w:p w14:paraId="4853850E" w14:textId="77777777" w:rsidR="001D1293" w:rsidRDefault="001D1293">
            <w:pPr>
              <w:spacing w:after="0" w:line="240" w:lineRule="auto"/>
              <w:rPr>
                <w:rFonts w:cstheme="minorHAnsi"/>
                <w:b/>
                <w:lang w:val="fr-FR"/>
              </w:rPr>
            </w:pPr>
            <w:r>
              <w:rPr>
                <w:rFonts w:cstheme="minorHAnsi"/>
                <w:b/>
                <w:lang w:val="fr-FR"/>
              </w:rPr>
              <w:t xml:space="preserve">Acteurs étatiques impliqués ? </w:t>
            </w:r>
          </w:p>
          <w:p w14:paraId="47245635" w14:textId="77777777" w:rsidR="001D1293" w:rsidRDefault="001D1293">
            <w:pPr>
              <w:spacing w:after="0" w:line="240" w:lineRule="auto"/>
              <w:rPr>
                <w:rFonts w:cstheme="minorHAnsi"/>
                <w:lang w:val="fr-FR"/>
              </w:rPr>
            </w:pPr>
          </w:p>
        </w:tc>
        <w:tc>
          <w:tcPr>
            <w:tcW w:w="559" w:type="dxa"/>
            <w:tcBorders>
              <w:top w:val="single" w:sz="12" w:space="0" w:color="auto"/>
              <w:left w:val="single" w:sz="4" w:space="0" w:color="auto"/>
              <w:bottom w:val="single" w:sz="4" w:space="0" w:color="auto"/>
              <w:right w:val="single" w:sz="12" w:space="0" w:color="auto"/>
            </w:tcBorders>
            <w:vAlign w:val="center"/>
            <w:hideMark/>
          </w:tcPr>
          <w:p w14:paraId="580C0D36" w14:textId="77777777" w:rsidR="001D1293" w:rsidRDefault="001D1293">
            <w:pPr>
              <w:spacing w:after="0" w:line="240" w:lineRule="auto"/>
              <w:rPr>
                <w:rFonts w:cstheme="minorHAnsi"/>
                <w:lang w:val="fr-FR"/>
              </w:rPr>
            </w:pPr>
            <w:r>
              <w:rPr>
                <w:rFonts w:cstheme="minorHAnsi"/>
                <w:lang w:val="fr-FR"/>
              </w:rPr>
              <w:t xml:space="preserve">OUI </w:t>
            </w:r>
          </w:p>
        </w:tc>
        <w:tc>
          <w:tcPr>
            <w:tcW w:w="1750" w:type="dxa"/>
            <w:tcBorders>
              <w:top w:val="single" w:sz="12" w:space="0" w:color="auto"/>
              <w:left w:val="single" w:sz="12" w:space="0" w:color="auto"/>
              <w:bottom w:val="single" w:sz="4" w:space="0" w:color="auto"/>
              <w:right w:val="single" w:sz="4" w:space="0" w:color="auto"/>
            </w:tcBorders>
            <w:vAlign w:val="center"/>
            <w:hideMark/>
          </w:tcPr>
          <w:p w14:paraId="6163C847" w14:textId="77777777" w:rsidR="001D1293" w:rsidRDefault="001D1293">
            <w:pPr>
              <w:spacing w:after="0" w:line="240" w:lineRule="auto"/>
              <w:rPr>
                <w:rFonts w:cstheme="minorHAnsi"/>
                <w:lang w:val="fr-FR"/>
              </w:rPr>
            </w:pPr>
            <w:r>
              <w:rPr>
                <w:rFonts w:cstheme="minorHAnsi"/>
                <w:lang w:val="fr-FR"/>
              </w:rPr>
              <w:t>Etatiques + Communautaire</w:t>
            </w:r>
          </w:p>
        </w:tc>
        <w:tc>
          <w:tcPr>
            <w:tcW w:w="1750" w:type="dxa"/>
            <w:tcBorders>
              <w:top w:val="single" w:sz="12" w:space="0" w:color="auto"/>
              <w:left w:val="single" w:sz="4" w:space="0" w:color="auto"/>
              <w:bottom w:val="single" w:sz="4" w:space="0" w:color="auto"/>
              <w:right w:val="single" w:sz="12" w:space="0" w:color="auto"/>
            </w:tcBorders>
            <w:vAlign w:val="center"/>
            <w:hideMark/>
          </w:tcPr>
          <w:p w14:paraId="4C0728B4" w14:textId="77777777" w:rsidR="001D1293" w:rsidRDefault="001D1293">
            <w:pPr>
              <w:spacing w:after="0" w:line="240" w:lineRule="auto"/>
              <w:rPr>
                <w:rFonts w:cstheme="minorHAnsi"/>
                <w:lang w:val="fr-FR"/>
              </w:rPr>
            </w:pPr>
            <w:r>
              <w:rPr>
                <w:rFonts w:cstheme="minorHAnsi"/>
                <w:lang w:val="fr-FR"/>
              </w:rPr>
              <w:t xml:space="preserve">Etatiques </w:t>
            </w:r>
          </w:p>
          <w:p w14:paraId="49B16439" w14:textId="77777777" w:rsidR="001D1293" w:rsidRDefault="001D1293">
            <w:pPr>
              <w:spacing w:after="0" w:line="240" w:lineRule="auto"/>
              <w:rPr>
                <w:rFonts w:cstheme="minorHAnsi"/>
                <w:lang w:val="fr-FR"/>
              </w:rPr>
            </w:pPr>
            <w:r>
              <w:rPr>
                <w:rFonts w:cstheme="minorHAnsi"/>
                <w:lang w:val="fr-FR"/>
              </w:rPr>
              <w:t xml:space="preserve">Seulement </w:t>
            </w:r>
          </w:p>
        </w:tc>
      </w:tr>
      <w:tr w:rsidR="001D1293" w14:paraId="607CED04" w14:textId="77777777" w:rsidTr="001D1293">
        <w:trPr>
          <w:trHeight w:val="791"/>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B766015" w14:textId="77777777" w:rsidR="001D1293" w:rsidRDefault="001D1293">
            <w:pPr>
              <w:spacing w:after="0" w:line="240" w:lineRule="auto"/>
              <w:rPr>
                <w:rFonts w:cstheme="minorHAnsi"/>
                <w:sz w:val="22"/>
                <w:lang w:val="fr-FR"/>
              </w:rPr>
            </w:pPr>
          </w:p>
        </w:tc>
        <w:tc>
          <w:tcPr>
            <w:tcW w:w="559" w:type="dxa"/>
            <w:tcBorders>
              <w:top w:val="single" w:sz="4" w:space="0" w:color="auto"/>
              <w:left w:val="single" w:sz="4" w:space="0" w:color="auto"/>
              <w:bottom w:val="single" w:sz="12" w:space="0" w:color="auto"/>
              <w:right w:val="single" w:sz="12" w:space="0" w:color="auto"/>
            </w:tcBorders>
            <w:vAlign w:val="center"/>
            <w:hideMark/>
          </w:tcPr>
          <w:p w14:paraId="5750B415" w14:textId="77777777" w:rsidR="001D1293" w:rsidRDefault="001D1293">
            <w:pPr>
              <w:spacing w:after="0" w:line="240" w:lineRule="auto"/>
              <w:rPr>
                <w:rFonts w:cstheme="minorHAnsi"/>
                <w:lang w:val="fr-FR"/>
              </w:rPr>
            </w:pPr>
            <w:r>
              <w:rPr>
                <w:rFonts w:cstheme="minorHAnsi"/>
                <w:lang w:val="fr-FR"/>
              </w:rPr>
              <w:t>NON</w:t>
            </w:r>
          </w:p>
        </w:tc>
        <w:tc>
          <w:tcPr>
            <w:tcW w:w="1750" w:type="dxa"/>
            <w:tcBorders>
              <w:top w:val="single" w:sz="4" w:space="0" w:color="auto"/>
              <w:left w:val="single" w:sz="12" w:space="0" w:color="auto"/>
              <w:bottom w:val="single" w:sz="12" w:space="0" w:color="auto"/>
              <w:right w:val="single" w:sz="4" w:space="0" w:color="auto"/>
            </w:tcBorders>
            <w:vAlign w:val="center"/>
            <w:hideMark/>
          </w:tcPr>
          <w:p w14:paraId="4E197B25" w14:textId="77777777" w:rsidR="001D1293" w:rsidRDefault="001D1293">
            <w:pPr>
              <w:spacing w:after="0" w:line="240" w:lineRule="auto"/>
              <w:rPr>
                <w:rFonts w:cstheme="minorHAnsi"/>
                <w:lang w:val="fr-FR"/>
              </w:rPr>
            </w:pPr>
            <w:r>
              <w:rPr>
                <w:rFonts w:cstheme="minorHAnsi"/>
                <w:lang w:val="fr-FR"/>
              </w:rPr>
              <w:t>Communautaire</w:t>
            </w:r>
          </w:p>
          <w:p w14:paraId="42961B66" w14:textId="77777777" w:rsidR="001D1293" w:rsidRDefault="001D1293">
            <w:pPr>
              <w:spacing w:after="0" w:line="240" w:lineRule="auto"/>
              <w:rPr>
                <w:rFonts w:cstheme="minorHAnsi"/>
                <w:lang w:val="fr-FR"/>
              </w:rPr>
            </w:pPr>
            <w:r>
              <w:rPr>
                <w:rFonts w:cstheme="minorHAnsi"/>
                <w:lang w:val="fr-FR"/>
              </w:rPr>
              <w:t xml:space="preserve">Seulement  </w:t>
            </w:r>
          </w:p>
        </w:tc>
        <w:tc>
          <w:tcPr>
            <w:tcW w:w="1750" w:type="dxa"/>
            <w:tcBorders>
              <w:top w:val="single" w:sz="4" w:space="0" w:color="auto"/>
              <w:left w:val="single" w:sz="4" w:space="0" w:color="auto"/>
              <w:bottom w:val="single" w:sz="12" w:space="0" w:color="auto"/>
              <w:right w:val="single" w:sz="12" w:space="0" w:color="auto"/>
            </w:tcBorders>
            <w:vAlign w:val="center"/>
            <w:hideMark/>
          </w:tcPr>
          <w:p w14:paraId="13A5F38C" w14:textId="77777777" w:rsidR="001D1293" w:rsidRDefault="001D1293">
            <w:pPr>
              <w:spacing w:after="0" w:line="240" w:lineRule="auto"/>
              <w:rPr>
                <w:rFonts w:cstheme="minorHAnsi"/>
                <w:lang w:val="fr-FR"/>
              </w:rPr>
            </w:pPr>
            <w:r>
              <w:rPr>
                <w:rFonts w:cstheme="minorHAnsi"/>
                <w:lang w:val="fr-FR"/>
              </w:rPr>
              <w:t>Rien</w:t>
            </w:r>
          </w:p>
        </w:tc>
      </w:tr>
    </w:tbl>
    <w:p w14:paraId="339DA445" w14:textId="77777777" w:rsidR="001D1293" w:rsidRDefault="001D1293" w:rsidP="001D1293">
      <w:pPr>
        <w:rPr>
          <w:rFonts w:asciiTheme="minorHAnsi" w:hAnsiTheme="minorHAnsi" w:cstheme="minorHAnsi"/>
          <w:sz w:val="22"/>
          <w:lang w:val="fr-FR"/>
        </w:rPr>
      </w:pPr>
    </w:p>
    <w:p w14:paraId="41B3C189" w14:textId="77777777" w:rsidR="001D1293" w:rsidRDefault="001D1293" w:rsidP="001D1293">
      <w:pPr>
        <w:rPr>
          <w:rFonts w:cstheme="minorHAnsi"/>
          <w:lang w:val="fr-FR"/>
        </w:rPr>
      </w:pPr>
      <w:r>
        <w:rPr>
          <w:rFonts w:cstheme="minorHAnsi"/>
          <w:lang w:val="fr-FR"/>
        </w:rPr>
        <w:t>Les catégories « Etat » et « Communautaire » pourront être subdivisées en plusieurs types d’acteurs, pour comparer leur impact spécifique pour la sensibilisation. Les catégories exactes sont à déterminer. Deux remarques à cet égard :</w:t>
      </w:r>
    </w:p>
    <w:p w14:paraId="28146FC6" w14:textId="77777777" w:rsidR="001D1293" w:rsidRDefault="001D1293" w:rsidP="001D1293">
      <w:pPr>
        <w:pStyle w:val="ListParagraph"/>
        <w:numPr>
          <w:ilvl w:val="0"/>
          <w:numId w:val="5"/>
        </w:numPr>
        <w:spacing w:after="160" w:line="256" w:lineRule="auto"/>
        <w:rPr>
          <w:rFonts w:cstheme="minorHAnsi"/>
          <w:b/>
          <w:lang w:val="fr-FR"/>
        </w:rPr>
      </w:pPr>
      <w:r>
        <w:rPr>
          <w:rFonts w:cstheme="minorHAnsi"/>
          <w:lang w:val="fr-FR"/>
        </w:rPr>
        <w:t xml:space="preserve">Comme la campagne de rattrapage se base sur les écoles, </w:t>
      </w:r>
      <w:r>
        <w:rPr>
          <w:rFonts w:cstheme="minorHAnsi"/>
          <w:b/>
          <w:lang w:val="fr-FR"/>
        </w:rPr>
        <w:t xml:space="preserve">les comités de parents d’élèves sont une catégorie d’acteur communautaire qui est particulièrement pertinente pour l’évaluation. </w:t>
      </w:r>
    </w:p>
    <w:p w14:paraId="3310D1F4"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Du coté des acteurs étatiques, il y a aussi plusieurs acteurs qui peuvent être impliqués dans la campagne, y compris les juges, les officiers de l’état civil, les chefs des quartiers et des villages, etc. L’option sur quels acteurs mises sera levée avant le lancement des activités de campagne sur terrain.</w:t>
      </w:r>
      <w:r>
        <w:rPr>
          <w:rStyle w:val="FootnoteReference"/>
          <w:rFonts w:cstheme="minorHAnsi"/>
          <w:lang w:val="fr-FR"/>
        </w:rPr>
        <w:footnoteReference w:id="3"/>
      </w:r>
      <w:r>
        <w:rPr>
          <w:rFonts w:cstheme="minorHAnsi"/>
          <w:lang w:val="fr-FR"/>
        </w:rPr>
        <w:t xml:space="preserve"> </w:t>
      </w:r>
    </w:p>
    <w:p w14:paraId="27533B02" w14:textId="77777777" w:rsidR="001D1293" w:rsidRDefault="001D1293" w:rsidP="001D1293">
      <w:pPr>
        <w:pStyle w:val="Heading3"/>
        <w:rPr>
          <w:rFonts w:asciiTheme="minorHAnsi" w:hAnsiTheme="minorHAnsi" w:cstheme="minorHAnsi"/>
          <w:lang w:val="fr-FR"/>
        </w:rPr>
      </w:pPr>
      <w:r>
        <w:rPr>
          <w:rFonts w:asciiTheme="minorHAnsi" w:hAnsiTheme="minorHAnsi" w:cstheme="minorHAnsi"/>
          <w:lang w:val="fr-FR"/>
        </w:rPr>
        <w:t>Intervention 1b : contenu de la sensibilisation</w:t>
      </w:r>
    </w:p>
    <w:p w14:paraId="3F0B8C80" w14:textId="77777777" w:rsidR="001D1293" w:rsidRDefault="001D1293" w:rsidP="001D1293">
      <w:pPr>
        <w:rPr>
          <w:rFonts w:asciiTheme="minorHAnsi" w:hAnsiTheme="minorHAnsi" w:cstheme="minorHAnsi"/>
          <w:lang w:val="fr-FR"/>
        </w:rPr>
      </w:pPr>
      <w:r>
        <w:rPr>
          <w:rFonts w:cstheme="minorHAnsi"/>
          <w:lang w:val="fr-FR"/>
        </w:rPr>
        <w:t>Les participants souhaitent évaluer l’impact du contenu du</w:t>
      </w:r>
      <w:r>
        <w:rPr>
          <w:rFonts w:cstheme="minorHAnsi"/>
          <w:b/>
          <w:lang w:val="fr-FR"/>
        </w:rPr>
        <w:t xml:space="preserve"> message transmis aux parents au cours de la sensibilisation</w:t>
      </w:r>
      <w:r>
        <w:rPr>
          <w:rFonts w:cstheme="minorHAnsi"/>
          <w:lang w:val="fr-FR"/>
        </w:rPr>
        <w:t>. Les options discutées incluent :</w:t>
      </w:r>
    </w:p>
    <w:p w14:paraId="3919DCFF"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Messages positifs. Par exemple : « investissez dans l’avenir de votre enfant ».</w:t>
      </w:r>
    </w:p>
    <w:p w14:paraId="303FFBF4"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 xml:space="preserve">Messages contraignants. Par exemple : « selon la loi, la non possession d’un acte de naissance peut être sanctionnée ». Bien entendu il ne sera pas question pour le projet de mettre en application aucune sanction que ce soit. </w:t>
      </w:r>
    </w:p>
    <w:p w14:paraId="21B186E6"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Instaurer des journées dédiées à l’enregistrement des naissances, possiblement associée à la journée de l’enfant, journée de la femme, etc.</w:t>
      </w:r>
    </w:p>
    <w:p w14:paraId="3290F56E" w14:textId="77777777" w:rsidR="001D1293" w:rsidRDefault="001D1293" w:rsidP="001D1293">
      <w:pPr>
        <w:pStyle w:val="Heading2"/>
        <w:spacing w:before="240"/>
        <w:rPr>
          <w:rFonts w:asciiTheme="minorHAnsi" w:hAnsiTheme="minorHAnsi" w:cstheme="minorHAnsi"/>
          <w:b/>
          <w:lang w:val="fr-FR"/>
        </w:rPr>
      </w:pPr>
      <w:r>
        <w:rPr>
          <w:rFonts w:asciiTheme="minorHAnsi" w:hAnsiTheme="minorHAnsi" w:cstheme="minorHAnsi"/>
          <w:b/>
          <w:lang w:val="fr-FR"/>
        </w:rPr>
        <w:t>Interventions 2 : Enregistrement des enfants (offre)</w:t>
      </w:r>
    </w:p>
    <w:p w14:paraId="7E24488F" w14:textId="0A37FEF5" w:rsidR="001D1293" w:rsidRDefault="001D1293" w:rsidP="001D1293">
      <w:pPr>
        <w:spacing w:before="120" w:after="0"/>
        <w:rPr>
          <w:rFonts w:asciiTheme="minorHAnsi" w:hAnsiTheme="minorHAnsi" w:cstheme="minorHAnsi"/>
          <w:lang w:val="fr-FR"/>
        </w:rPr>
      </w:pPr>
      <w:r>
        <w:rPr>
          <w:rFonts w:cstheme="minorHAnsi"/>
          <w:lang w:val="fr-FR"/>
        </w:rPr>
        <w:t>Les participants de l’atelier ont débattu un nombre des stratégies pour absorber une éventuelle forte demande d’enregistrement des enfants. Certaines de ces stratégies—par exemple renforcement des capacités des fonctionnaires à travers les formations, la mise en application de la loi par les autorités compétentes ou la régularisation de la situation administrative de certains fonctionnaires—sont ‘essentielles’ ou ‘fondamentales’ et donc nécessaire pour la provision minimale du service d’enregistrement. Cependant, le projet envisage un certain nombre d’autres stratégies d’interventions destinées à renforcer l’offre de ce service d’enregistrement qui peuvent être évaluées de façon rigoureuse, notamment</w:t>
      </w:r>
      <w:r w:rsidR="00EA49E6">
        <w:rPr>
          <w:rFonts w:cstheme="minorHAnsi"/>
          <w:lang w:val="fr-FR"/>
        </w:rPr>
        <w:t xml:space="preserve"> </w:t>
      </w:r>
      <w:r>
        <w:rPr>
          <w:rFonts w:cstheme="minorHAnsi"/>
          <w:lang w:val="fr-FR"/>
        </w:rPr>
        <w:t xml:space="preserve">: </w:t>
      </w:r>
    </w:p>
    <w:p w14:paraId="5100A0B7" w14:textId="77777777" w:rsidR="001D1293" w:rsidRDefault="001D1293" w:rsidP="001D1293">
      <w:pPr>
        <w:pStyle w:val="ListParagraph"/>
        <w:numPr>
          <w:ilvl w:val="0"/>
          <w:numId w:val="6"/>
        </w:numPr>
        <w:spacing w:before="120" w:after="160" w:line="256" w:lineRule="auto"/>
        <w:rPr>
          <w:rFonts w:cstheme="minorHAnsi"/>
          <w:lang w:val="fr-FR"/>
        </w:rPr>
      </w:pPr>
      <w:r>
        <w:rPr>
          <w:rFonts w:cstheme="minorHAnsi"/>
          <w:lang w:val="fr-FR"/>
        </w:rPr>
        <w:t xml:space="preserve">Utilisation de bureaux mobiles </w:t>
      </w:r>
    </w:p>
    <w:p w14:paraId="2022759B" w14:textId="77777777" w:rsidR="001D1293" w:rsidRDefault="001D1293" w:rsidP="001D1293">
      <w:pPr>
        <w:pStyle w:val="ListParagraph"/>
        <w:numPr>
          <w:ilvl w:val="0"/>
          <w:numId w:val="6"/>
        </w:numPr>
        <w:spacing w:before="120" w:after="160" w:line="256" w:lineRule="auto"/>
        <w:rPr>
          <w:rFonts w:cstheme="minorHAnsi"/>
          <w:lang w:val="fr-FR"/>
        </w:rPr>
      </w:pPr>
      <w:r>
        <w:rPr>
          <w:rFonts w:cstheme="minorHAnsi"/>
          <w:lang w:val="fr-FR"/>
        </w:rPr>
        <w:t>Différents types d’incitations financières pour améliorer le rendement des agents de l’état civil.</w:t>
      </w:r>
    </w:p>
    <w:p w14:paraId="65068F14" w14:textId="77777777" w:rsidR="001D1293" w:rsidRDefault="001D1293" w:rsidP="001D1293">
      <w:pPr>
        <w:pStyle w:val="ListParagraph"/>
        <w:numPr>
          <w:ilvl w:val="0"/>
          <w:numId w:val="6"/>
        </w:numPr>
        <w:spacing w:before="120" w:after="160" w:line="256" w:lineRule="auto"/>
        <w:rPr>
          <w:rFonts w:cstheme="minorHAnsi"/>
          <w:lang w:val="fr-FR"/>
        </w:rPr>
      </w:pPr>
      <w:r>
        <w:rPr>
          <w:rFonts w:cstheme="minorHAnsi"/>
          <w:lang w:val="fr-FR"/>
        </w:rPr>
        <w:t>Contrôle mixte (intérieur et justice) des agents de l’état civil.</w:t>
      </w:r>
    </w:p>
    <w:p w14:paraId="47ABCEF4" w14:textId="77777777" w:rsidR="001D1293" w:rsidRDefault="001D1293" w:rsidP="001D1293">
      <w:pPr>
        <w:pStyle w:val="ListParagraph"/>
        <w:numPr>
          <w:ilvl w:val="0"/>
          <w:numId w:val="6"/>
        </w:numPr>
        <w:spacing w:before="120" w:after="160" w:line="256" w:lineRule="auto"/>
        <w:rPr>
          <w:rFonts w:cstheme="minorHAnsi"/>
          <w:lang w:val="fr-FR"/>
        </w:rPr>
      </w:pPr>
      <w:r>
        <w:rPr>
          <w:rFonts w:cstheme="minorHAnsi"/>
          <w:lang w:val="fr-FR"/>
        </w:rPr>
        <w:t xml:space="preserve">Système de plaintes pour les usagers du service. </w:t>
      </w:r>
    </w:p>
    <w:p w14:paraId="252F3491" w14:textId="77777777" w:rsidR="001D1293" w:rsidRDefault="001D1293" w:rsidP="001D1293">
      <w:pPr>
        <w:pStyle w:val="Heading3"/>
        <w:rPr>
          <w:rFonts w:asciiTheme="minorHAnsi" w:hAnsiTheme="minorHAnsi" w:cstheme="minorHAnsi"/>
          <w:lang w:val="fr-FR"/>
        </w:rPr>
      </w:pPr>
      <w:r>
        <w:rPr>
          <w:rFonts w:asciiTheme="minorHAnsi" w:hAnsiTheme="minorHAnsi" w:cstheme="minorHAnsi"/>
          <w:lang w:val="fr-FR"/>
        </w:rPr>
        <w:t>Intervention 2a : l’impact de l’utilisation de bureaux mobiles</w:t>
      </w:r>
    </w:p>
    <w:p w14:paraId="1F0074EC" w14:textId="77777777" w:rsidR="001D1293" w:rsidRDefault="001D1293" w:rsidP="001D1293">
      <w:pPr>
        <w:spacing w:before="120"/>
        <w:rPr>
          <w:rFonts w:asciiTheme="minorHAnsi" w:hAnsiTheme="minorHAnsi" w:cstheme="minorHAnsi"/>
          <w:lang w:val="fr-FR"/>
        </w:rPr>
      </w:pPr>
      <w:r>
        <w:rPr>
          <w:rFonts w:cstheme="minorHAnsi"/>
          <w:lang w:val="fr-FR"/>
        </w:rPr>
        <w:t xml:space="preserve">Le mécanisme de bureaux mobiles vise à résoudre le problème de la distance entre les populations et le bureau d’état civil. Il faut noter que l’approche des bureaux mobiles pour l’enregistrement des naissances a déjà été mise en œuvre en milieu urbain, à Kinshasa, mais de manière non pérenne.  </w:t>
      </w:r>
    </w:p>
    <w:p w14:paraId="6F9237D4" w14:textId="77777777" w:rsidR="001D1293" w:rsidRDefault="001D1293" w:rsidP="001D1293">
      <w:pPr>
        <w:rPr>
          <w:rFonts w:cstheme="minorHAnsi"/>
          <w:lang w:val="fr-FR"/>
        </w:rPr>
      </w:pPr>
      <w:r>
        <w:rPr>
          <w:rFonts w:cstheme="minorHAnsi"/>
          <w:lang w:val="fr-FR"/>
        </w:rPr>
        <w:t xml:space="preserve">L’intervention pourrait fonctionner de la manière suivante. Plusieurs modalités pourront être envisagées, y compris l’installation des bureaux mobiles opérationnels proches des lieux ou les campagnes de sensibilisations sont menées ou des écoles cibles. Dans la même logique, après avoir été annoncés par une campagne de communication, les agents de l’état civil transportent les registres ainsi que tout le nécessaire pour l’enregistrement. Les modalités de communication aux autorités locales de la venue des agents, ainsi que le temps de présence locale, sont à déterminer. </w:t>
      </w:r>
    </w:p>
    <w:p w14:paraId="5774C5C3" w14:textId="77777777" w:rsidR="001D1293" w:rsidRDefault="001D1293" w:rsidP="001D1293">
      <w:pPr>
        <w:pStyle w:val="Heading3"/>
        <w:rPr>
          <w:rFonts w:asciiTheme="minorHAnsi" w:hAnsiTheme="minorHAnsi" w:cstheme="minorHAnsi"/>
          <w:lang w:val="fr-FR"/>
        </w:rPr>
      </w:pPr>
      <w:r>
        <w:rPr>
          <w:rFonts w:asciiTheme="minorHAnsi" w:hAnsiTheme="minorHAnsi" w:cstheme="minorHAnsi"/>
          <w:lang w:val="fr-FR"/>
        </w:rPr>
        <w:t xml:space="preserve">Intervention 2b : l’impact des incitations financières </w:t>
      </w:r>
    </w:p>
    <w:p w14:paraId="35D3AC85" w14:textId="77777777" w:rsidR="001D1293" w:rsidRDefault="001D1293" w:rsidP="001D1293">
      <w:pPr>
        <w:spacing w:before="120" w:after="0"/>
        <w:rPr>
          <w:rFonts w:asciiTheme="minorHAnsi" w:hAnsiTheme="minorHAnsi" w:cstheme="minorHAnsi"/>
          <w:lang w:val="fr-FR"/>
        </w:rPr>
      </w:pPr>
      <w:r>
        <w:rPr>
          <w:rFonts w:cstheme="minorHAnsi"/>
          <w:lang w:val="fr-FR"/>
        </w:rPr>
        <w:t xml:space="preserve">Les agents de l’état civil manquent de ressources pour mener à bien leur mission. Un grand nombre d’entre eux ne sont pas mécanisés, surtout en province. Pour cette raison, </w:t>
      </w:r>
      <w:r>
        <w:rPr>
          <w:rFonts w:cstheme="minorHAnsi"/>
          <w:b/>
          <w:lang w:val="fr-FR"/>
        </w:rPr>
        <w:t>différentes modalités d’incitations financières des agents peuvent être testée</w:t>
      </w:r>
      <w:r>
        <w:rPr>
          <w:rFonts w:cstheme="minorHAnsi"/>
          <w:lang w:val="fr-FR"/>
        </w:rPr>
        <w:t xml:space="preserve">s : </w:t>
      </w:r>
    </w:p>
    <w:p w14:paraId="148E4CA0" w14:textId="77777777" w:rsidR="001D1293" w:rsidRDefault="001D1293" w:rsidP="001D1293">
      <w:pPr>
        <w:pStyle w:val="ListParagraph"/>
        <w:numPr>
          <w:ilvl w:val="0"/>
          <w:numId w:val="5"/>
        </w:numPr>
        <w:spacing w:after="0" w:line="240" w:lineRule="auto"/>
        <w:rPr>
          <w:rFonts w:cstheme="minorHAnsi"/>
          <w:lang w:val="fr-FR"/>
        </w:rPr>
      </w:pPr>
      <w:r>
        <w:rPr>
          <w:rFonts w:cstheme="minorHAnsi"/>
          <w:lang w:val="fr-FR"/>
        </w:rPr>
        <w:t xml:space="preserve">salaire fixe ; </w:t>
      </w:r>
    </w:p>
    <w:p w14:paraId="321E5597" w14:textId="77777777" w:rsidR="001D1293" w:rsidRDefault="001D1293" w:rsidP="001D1293">
      <w:pPr>
        <w:pStyle w:val="ListParagraph"/>
        <w:numPr>
          <w:ilvl w:val="0"/>
          <w:numId w:val="5"/>
        </w:numPr>
        <w:spacing w:after="120" w:line="240" w:lineRule="auto"/>
        <w:rPr>
          <w:rFonts w:cstheme="minorHAnsi"/>
          <w:lang w:val="fr-FR"/>
        </w:rPr>
      </w:pPr>
      <w:r>
        <w:rPr>
          <w:rFonts w:cstheme="minorHAnsi"/>
          <w:lang w:val="fr-FR"/>
        </w:rPr>
        <w:t>salaire basé sur la performance ;</w:t>
      </w:r>
    </w:p>
    <w:p w14:paraId="50C655ED" w14:textId="77777777" w:rsidR="001D1293" w:rsidRDefault="001D1293" w:rsidP="001D1293">
      <w:pPr>
        <w:pStyle w:val="ListParagraph"/>
        <w:numPr>
          <w:ilvl w:val="0"/>
          <w:numId w:val="5"/>
        </w:numPr>
        <w:spacing w:after="120" w:line="240" w:lineRule="auto"/>
        <w:rPr>
          <w:rFonts w:cstheme="minorHAnsi"/>
          <w:lang w:val="fr-FR"/>
        </w:rPr>
      </w:pPr>
      <w:r>
        <w:rPr>
          <w:rFonts w:cstheme="minorHAnsi"/>
          <w:lang w:val="fr-FR"/>
        </w:rPr>
        <w:t>différentes combinaisons de salaire fixe et/ou basé sur la performance.</w:t>
      </w:r>
    </w:p>
    <w:p w14:paraId="63DB374B" w14:textId="77777777" w:rsidR="001D1293" w:rsidRDefault="001D1293" w:rsidP="001D1293">
      <w:pPr>
        <w:pStyle w:val="ListParagraph"/>
        <w:numPr>
          <w:ilvl w:val="0"/>
          <w:numId w:val="5"/>
        </w:numPr>
        <w:spacing w:after="120" w:line="240" w:lineRule="auto"/>
        <w:rPr>
          <w:rFonts w:cstheme="minorHAnsi"/>
          <w:lang w:val="fr-FR"/>
        </w:rPr>
      </w:pPr>
      <w:r>
        <w:rPr>
          <w:rFonts w:cstheme="minorHAnsi"/>
          <w:lang w:val="fr-FR"/>
        </w:rPr>
        <w:t>différents niveaux de salaire fixe et/ou basé sur la performance</w:t>
      </w:r>
    </w:p>
    <w:p w14:paraId="6BE51C0C" w14:textId="77777777" w:rsidR="001D1293" w:rsidRDefault="001D1293" w:rsidP="001D1293">
      <w:pPr>
        <w:spacing w:after="0" w:line="240" w:lineRule="auto"/>
        <w:rPr>
          <w:rFonts w:cstheme="minorHAnsi"/>
          <w:lang w:val="fr-FR"/>
        </w:rPr>
      </w:pPr>
      <w:r>
        <w:rPr>
          <w:rFonts w:cstheme="minorHAnsi"/>
          <w:lang w:val="fr-FR"/>
        </w:rPr>
        <w:t xml:space="preserve">On peut également évaluer </w:t>
      </w:r>
      <w:r>
        <w:rPr>
          <w:rFonts w:cstheme="minorHAnsi"/>
          <w:b/>
          <w:lang w:val="fr-FR"/>
        </w:rPr>
        <w:t>l’impact d’inciter différents acteurs</w:t>
      </w:r>
      <w:r>
        <w:rPr>
          <w:rStyle w:val="FootnoteReference"/>
          <w:rFonts w:cstheme="minorHAnsi"/>
          <w:b/>
          <w:lang w:val="fr-FR"/>
        </w:rPr>
        <w:footnoteReference w:id="4"/>
      </w:r>
      <w:r>
        <w:rPr>
          <w:rFonts w:cstheme="minorHAnsi"/>
          <w:lang w:val="fr-FR"/>
        </w:rPr>
        <w:t xml:space="preserve">: </w:t>
      </w:r>
    </w:p>
    <w:p w14:paraId="4F71F677" w14:textId="77777777" w:rsidR="001D1293" w:rsidRDefault="001D1293" w:rsidP="001D1293">
      <w:pPr>
        <w:pStyle w:val="ListParagraph"/>
        <w:numPr>
          <w:ilvl w:val="0"/>
          <w:numId w:val="5"/>
        </w:numPr>
        <w:spacing w:after="0" w:line="240" w:lineRule="auto"/>
        <w:rPr>
          <w:rFonts w:cstheme="minorHAnsi"/>
          <w:lang w:val="fr-FR"/>
        </w:rPr>
      </w:pPr>
      <w:r>
        <w:rPr>
          <w:rFonts w:cstheme="minorHAnsi"/>
          <w:lang w:val="fr-FR"/>
        </w:rPr>
        <w:t xml:space="preserve">enseignants des écoles ;  </w:t>
      </w:r>
    </w:p>
    <w:p w14:paraId="620901AE" w14:textId="77777777" w:rsidR="001D1293" w:rsidRDefault="001D1293" w:rsidP="001D1293">
      <w:pPr>
        <w:pStyle w:val="ListParagraph"/>
        <w:numPr>
          <w:ilvl w:val="0"/>
          <w:numId w:val="5"/>
        </w:numPr>
        <w:spacing w:after="120" w:line="240" w:lineRule="auto"/>
        <w:rPr>
          <w:rFonts w:cstheme="minorHAnsi"/>
          <w:lang w:val="fr-FR"/>
        </w:rPr>
      </w:pPr>
      <w:r>
        <w:rPr>
          <w:rFonts w:cstheme="minorHAnsi"/>
          <w:lang w:val="fr-FR"/>
        </w:rPr>
        <w:t xml:space="preserve">agents de l’état civil ; </w:t>
      </w:r>
    </w:p>
    <w:p w14:paraId="0E9250DF" w14:textId="77777777" w:rsidR="001D1293" w:rsidRDefault="001D1293" w:rsidP="001D1293">
      <w:pPr>
        <w:pStyle w:val="ListParagraph"/>
        <w:numPr>
          <w:ilvl w:val="0"/>
          <w:numId w:val="5"/>
        </w:numPr>
        <w:spacing w:after="120" w:line="240" w:lineRule="auto"/>
        <w:rPr>
          <w:rFonts w:cstheme="minorHAnsi"/>
          <w:lang w:val="fr-FR"/>
        </w:rPr>
      </w:pPr>
      <w:r>
        <w:rPr>
          <w:rFonts w:cstheme="minorHAnsi"/>
          <w:lang w:val="fr-FR"/>
        </w:rPr>
        <w:t>magistrats des tribunaux délivrant le jugement supplétif.</w:t>
      </w:r>
    </w:p>
    <w:p w14:paraId="1E353AA1" w14:textId="77777777" w:rsidR="001D1293" w:rsidRDefault="001D1293" w:rsidP="001D1293">
      <w:pPr>
        <w:rPr>
          <w:rFonts w:cstheme="minorHAnsi"/>
          <w:lang w:val="fr-FR"/>
        </w:rPr>
      </w:pPr>
      <w:r>
        <w:rPr>
          <w:rFonts w:cstheme="minorHAnsi"/>
          <w:lang w:val="fr-FR"/>
        </w:rPr>
        <w:t xml:space="preserve">L’ordre de grandeur des incitations et les acteurs précis qui en bénéficieront est à déterminer. </w:t>
      </w:r>
    </w:p>
    <w:p w14:paraId="7B16EE21" w14:textId="77777777" w:rsidR="001D1293" w:rsidRDefault="001D1293" w:rsidP="001D1293">
      <w:pPr>
        <w:pStyle w:val="Heading3"/>
        <w:rPr>
          <w:rFonts w:asciiTheme="minorHAnsi" w:hAnsiTheme="minorHAnsi" w:cstheme="minorHAnsi"/>
          <w:lang w:val="fr-FR"/>
        </w:rPr>
      </w:pPr>
      <w:r>
        <w:rPr>
          <w:rFonts w:asciiTheme="minorHAnsi" w:hAnsiTheme="minorHAnsi" w:cstheme="minorHAnsi"/>
          <w:lang w:val="fr-FR"/>
        </w:rPr>
        <w:t xml:space="preserve">Intervention 2c : l’impact des mécanismes de supervision/contrôle hiérarchique, particulièrement le contrôle mixte impliquant les magistrats (ministère de justice) et le supérieur administratif ici du ministère de l’intérieure </w:t>
      </w:r>
    </w:p>
    <w:p w14:paraId="39BA584E" w14:textId="77777777" w:rsidR="001D1293" w:rsidRDefault="001D1293" w:rsidP="001D1293">
      <w:pPr>
        <w:pStyle w:val="Heading5"/>
        <w:spacing w:before="120"/>
        <w:rPr>
          <w:lang w:val="fr-FR"/>
        </w:rPr>
      </w:pPr>
      <w:r>
        <w:rPr>
          <w:rFonts w:asciiTheme="minorHAnsi" w:hAnsiTheme="minorHAnsi"/>
          <w:color w:val="auto"/>
          <w:lang w:val="fr-FR"/>
        </w:rPr>
        <w:t>La supervision des agents d’état civil est faible, particulièrement en province. Une supervision renforcée des agents peut améliorer leur rendement en termes de nombre d’acte délivrés, et rapidité du service. Plusieurs mécanismes de contrôle ont fait objet de discussion, notamment le contrôle par les magistrats ou par les supérieurs hiérarchiques. Cependant, l</w:t>
      </w:r>
      <w:r>
        <w:rPr>
          <w:rFonts w:asciiTheme="minorHAnsi" w:hAnsiTheme="minorHAnsi" w:cstheme="minorHAnsi"/>
          <w:color w:val="auto"/>
          <w:lang w:val="fr-FR"/>
        </w:rPr>
        <w:t>e contrôle mixte, qui engage la justice en coordination avec les services de l’Intérieur qui a déjà a été expérimenté à Kinshasa a captivé l’attention de la plupart des participants dans l’atelier et fera l’objet de l’évaluation d’impact. Plus de détails de la part des ministères concernés sont nécessaires pour confirmer la faisabilité d’évaluer une telle intervention dans le cadre des campagnes de rattrapage.</w:t>
      </w:r>
    </w:p>
    <w:p w14:paraId="3CDA8CF7" w14:textId="77777777" w:rsidR="001D1293" w:rsidRDefault="001D1293" w:rsidP="001D1293">
      <w:pPr>
        <w:pStyle w:val="Heading3"/>
        <w:spacing w:before="120"/>
        <w:rPr>
          <w:rFonts w:asciiTheme="minorHAnsi" w:hAnsiTheme="minorHAnsi" w:cstheme="minorHAnsi"/>
          <w:color w:val="244061" w:themeColor="accent1" w:themeShade="80"/>
          <w:lang w:val="fr-FR"/>
        </w:rPr>
      </w:pPr>
      <w:r>
        <w:rPr>
          <w:rFonts w:asciiTheme="minorHAnsi" w:hAnsiTheme="minorHAnsi" w:cstheme="minorHAnsi"/>
          <w:color w:val="244061" w:themeColor="accent1" w:themeShade="80"/>
          <w:lang w:val="fr-FR"/>
        </w:rPr>
        <w:t>Intervention 2d: l’impact du système de plainte sur le taux d’enregistrement des naissances.</w:t>
      </w:r>
      <w:r>
        <w:rPr>
          <w:rStyle w:val="FootnoteReference"/>
          <w:rFonts w:asciiTheme="minorHAnsi" w:hAnsiTheme="minorHAnsi" w:cstheme="minorHAnsi"/>
          <w:color w:val="244061" w:themeColor="accent1" w:themeShade="80"/>
          <w:lang w:val="fr-FR"/>
        </w:rPr>
        <w:footnoteReference w:id="5"/>
      </w:r>
    </w:p>
    <w:p w14:paraId="275EB766" w14:textId="77777777" w:rsidR="001D1293" w:rsidRDefault="001D1293" w:rsidP="001D1293">
      <w:pPr>
        <w:spacing w:before="120" w:line="240" w:lineRule="auto"/>
        <w:rPr>
          <w:rFonts w:asciiTheme="minorHAnsi" w:hAnsiTheme="minorHAnsi" w:cstheme="minorHAnsi"/>
          <w:lang w:val="fr-FR"/>
        </w:rPr>
      </w:pPr>
      <w:r>
        <w:rPr>
          <w:rFonts w:cstheme="minorHAnsi"/>
          <w:lang w:val="fr-FR"/>
        </w:rPr>
        <w:t>La performance des agents peut être également renforcée par un contrôle venant des usagers du service, plus précisément à travers un système de transmission des plaintes aux autorités de supervision des agents de l’état-civil. On peut donc évaluer :</w:t>
      </w:r>
    </w:p>
    <w:p w14:paraId="77AE8B75" w14:textId="77777777" w:rsidR="001D1293" w:rsidRDefault="001D1293" w:rsidP="001D1293">
      <w:pPr>
        <w:pStyle w:val="ListParagraph"/>
        <w:numPr>
          <w:ilvl w:val="0"/>
          <w:numId w:val="5"/>
        </w:numPr>
        <w:spacing w:before="120" w:after="0" w:line="240" w:lineRule="auto"/>
        <w:rPr>
          <w:rFonts w:cstheme="minorHAnsi"/>
          <w:lang w:val="fr-FR"/>
        </w:rPr>
      </w:pPr>
      <w:r>
        <w:rPr>
          <w:rFonts w:cstheme="minorHAnsi"/>
          <w:lang w:val="fr-FR"/>
        </w:rPr>
        <w:t>la présence du système de plaintes ;</w:t>
      </w:r>
    </w:p>
    <w:p w14:paraId="7E290BAD" w14:textId="77777777" w:rsidR="001D1293" w:rsidRDefault="001D1293" w:rsidP="001D1293">
      <w:pPr>
        <w:pStyle w:val="ListParagraph"/>
        <w:numPr>
          <w:ilvl w:val="0"/>
          <w:numId w:val="5"/>
        </w:numPr>
        <w:spacing w:before="120" w:after="160" w:line="240" w:lineRule="auto"/>
        <w:rPr>
          <w:rFonts w:cstheme="minorHAnsi"/>
          <w:lang w:val="fr-FR"/>
        </w:rPr>
      </w:pPr>
      <w:r>
        <w:rPr>
          <w:rFonts w:cstheme="minorHAnsi"/>
          <w:lang w:val="fr-FR"/>
        </w:rPr>
        <w:t>le type d’acteur communautaire qui coordonne la transmission des plaintes. Par exemple : le comité de parents d’élèves.</w:t>
      </w:r>
    </w:p>
    <w:p w14:paraId="07B1D593" w14:textId="77777777" w:rsidR="001D1293" w:rsidRDefault="001D1293" w:rsidP="001D1293">
      <w:pPr>
        <w:rPr>
          <w:rFonts w:cstheme="minorHAnsi"/>
          <w:color w:val="244061" w:themeColor="accent1" w:themeShade="80"/>
          <w:szCs w:val="24"/>
          <w:lang w:val="fr-FR"/>
        </w:rPr>
      </w:pPr>
      <w:r>
        <w:rPr>
          <w:rFonts w:cstheme="minorHAnsi"/>
          <w:lang w:val="fr-FR"/>
        </w:rPr>
        <w:t xml:space="preserve">Plusieurs éléments restent à déterminer. Les plaintes peuvent être transmises par messages sms pour les localités où la réception téléphonique est bonne. </w:t>
      </w:r>
    </w:p>
    <w:p w14:paraId="4C5B2744" w14:textId="77777777" w:rsidR="001D1293" w:rsidRDefault="001D1293" w:rsidP="001D1293">
      <w:pPr>
        <w:pStyle w:val="Heading3"/>
        <w:rPr>
          <w:lang w:val="fr-FR"/>
        </w:rPr>
      </w:pPr>
      <w:r>
        <w:rPr>
          <w:lang w:val="fr-FR"/>
        </w:rPr>
        <w:t>Intervention 2e: l’impact du système de contrôle basé sur le déploiement de l’usager fictif</w:t>
      </w:r>
    </w:p>
    <w:p w14:paraId="5FFE44C0" w14:textId="77777777" w:rsidR="001D1293" w:rsidRDefault="001D1293" w:rsidP="001D1293">
      <w:pPr>
        <w:rPr>
          <w:rFonts w:cstheme="minorHAnsi"/>
          <w:lang w:val="fr-FR"/>
        </w:rPr>
      </w:pPr>
      <w:r>
        <w:rPr>
          <w:rFonts w:cstheme="minorHAnsi"/>
          <w:lang w:val="fr-FR"/>
        </w:rPr>
        <w:t xml:space="preserve">En fin, l’atelier a discuter sur la possibilité de tester les effets du système de contrôle des agents de l’état civil basé sur l’usager fictif. Cette technique est de plus en plus utilisée dans les recherches dans le domaine de prestation de service. Elle consiste à envoyer un agent ou chercheur qui agit comme usager afin de capturer d’importantes informations sur l’efficacité des prestataires de services en temps réel. Bien que la majorité des participants à l’atelier s’est convenu sur la valeur ajoutée de cette stratégie, les modalités de sa mise en œuvre dans le cadre de l’évaluation d’impact du PRSDHU restent à définir.  </w:t>
      </w:r>
    </w:p>
    <w:p w14:paraId="38A06CEA" w14:textId="77777777" w:rsidR="001D1293" w:rsidRDefault="001D1293" w:rsidP="001D1293">
      <w:pPr>
        <w:rPr>
          <w:rFonts w:cstheme="minorHAnsi"/>
          <w:lang w:val="fr-FR"/>
        </w:rPr>
      </w:pPr>
      <w:r>
        <w:rPr>
          <w:rFonts w:cstheme="minorHAnsi"/>
          <w:lang w:val="fr-FR"/>
        </w:rPr>
        <w:t xml:space="preserve">Toutes ces interventions (potentielles) sont envisagées dans le cadre du projet. L’idée principale est que pour toute intervention qui est testée, nous devons utiliser les méthodes expérimentales en telles sorte que l’intervention est assignée de manière aléatoire à un groupe (quel que soit l’unité) et non pas un autre groupe afin d’isoler ses effets réels. </w:t>
      </w:r>
    </w:p>
    <w:p w14:paraId="7D7F2DD0" w14:textId="77777777" w:rsidR="001D1293" w:rsidRDefault="001D1293" w:rsidP="001D1293">
      <w:pPr>
        <w:pStyle w:val="Heading2"/>
        <w:rPr>
          <w:rFonts w:asciiTheme="minorHAnsi" w:hAnsiTheme="minorHAnsi" w:cstheme="minorHAnsi"/>
          <w:b/>
          <w:i/>
          <w:sz w:val="22"/>
          <w:szCs w:val="22"/>
          <w:lang w:val="fr-FR"/>
        </w:rPr>
      </w:pPr>
      <w:r>
        <w:rPr>
          <w:rFonts w:asciiTheme="minorHAnsi" w:hAnsiTheme="minorHAnsi" w:cstheme="minorHAnsi"/>
          <w:b/>
          <w:i/>
          <w:sz w:val="22"/>
          <w:szCs w:val="22"/>
          <w:lang w:val="fr-FR"/>
        </w:rPr>
        <w:t>Mesures de résultats des interventions</w:t>
      </w:r>
    </w:p>
    <w:p w14:paraId="130D787B" w14:textId="77777777" w:rsidR="001D1293" w:rsidRDefault="001D1293" w:rsidP="001D1293">
      <w:pPr>
        <w:rPr>
          <w:rFonts w:asciiTheme="minorHAnsi" w:hAnsiTheme="minorHAnsi" w:cstheme="minorHAnsi"/>
          <w:sz w:val="22"/>
          <w:lang w:val="fr-FR"/>
        </w:rPr>
      </w:pPr>
      <w:r>
        <w:rPr>
          <w:rFonts w:cstheme="minorHAnsi"/>
          <w:lang w:val="fr-FR"/>
        </w:rPr>
        <w:t>Les mesures de résultat des évaluations comprendront des données collectées dans une enquête finale (après la campagne), et des données administratives.</w:t>
      </w:r>
    </w:p>
    <w:p w14:paraId="06D3BA2A" w14:textId="77777777" w:rsidR="001D1293" w:rsidRDefault="001D1293" w:rsidP="001D1293">
      <w:pPr>
        <w:rPr>
          <w:rFonts w:cstheme="minorHAnsi"/>
          <w:u w:val="single"/>
          <w:lang w:val="fr-FR"/>
        </w:rPr>
      </w:pPr>
      <w:r>
        <w:rPr>
          <w:rFonts w:cstheme="minorHAnsi"/>
          <w:u w:val="single"/>
          <w:lang w:val="fr-FR"/>
        </w:rPr>
        <w:t>Sensibilisation et enregistrement :</w:t>
      </w:r>
    </w:p>
    <w:p w14:paraId="03998892"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Nombre de demande d’enregistrement des naissances / nombre d’enfants enregistrés (particulièrement le nombre d’enfants de moins de 5 ans)</w:t>
      </w:r>
    </w:p>
    <w:p w14:paraId="3418FC11"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Taux de satisfaction concernant l’enregistrement des naissances</w:t>
      </w:r>
    </w:p>
    <w:p w14:paraId="3D8AE667"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Cout total et unitaire des différentes stratégies de sensibilisation et de renforcement de l’offre, dans les différents milieux.</w:t>
      </w:r>
    </w:p>
    <w:p w14:paraId="14B5C92C"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Temps d’accès aux services associés à l’acte de naissance (par exemple, inscription à l’école).</w:t>
      </w:r>
    </w:p>
    <w:p w14:paraId="1CF368F7"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Utilisation par les enfants des droits protégés grâce au certificat de naissance. Par exemple : nombre de conflits liés à l’héritage pour les enfants. Il s’agit d’une mesure de long-terme.</w:t>
      </w:r>
    </w:p>
    <w:p w14:paraId="410E8640"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Paiement de frais informels liés à l’enregistrement des naissances.</w:t>
      </w:r>
    </w:p>
    <w:p w14:paraId="654119C4" w14:textId="77777777" w:rsidR="001D1293" w:rsidRDefault="001D1293" w:rsidP="001D1293">
      <w:pPr>
        <w:rPr>
          <w:rFonts w:cstheme="minorHAnsi"/>
          <w:u w:val="single"/>
          <w:lang w:val="fr-FR"/>
        </w:rPr>
      </w:pPr>
      <w:r>
        <w:rPr>
          <w:rFonts w:cstheme="minorHAnsi"/>
          <w:u w:val="single"/>
          <w:lang w:val="fr-FR"/>
        </w:rPr>
        <w:t>Sensibilisation (seulement) :</w:t>
      </w:r>
    </w:p>
    <w:p w14:paraId="0D867036"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Niveau de connaissance de la loi concernant l’enregistrement des naissances</w:t>
      </w:r>
    </w:p>
    <w:p w14:paraId="798B92B1"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Perception de l’efficacité de l’Etat concernant l’enregistrement des naissances / l’Etat en général.</w:t>
      </w:r>
    </w:p>
    <w:p w14:paraId="7A8790A6" w14:textId="77777777" w:rsidR="001D1293" w:rsidRDefault="001D1293" w:rsidP="001D1293">
      <w:pPr>
        <w:rPr>
          <w:rFonts w:cstheme="minorHAnsi"/>
          <w:u w:val="single"/>
        </w:rPr>
      </w:pPr>
      <w:r>
        <w:rPr>
          <w:rFonts w:cstheme="minorHAnsi"/>
          <w:u w:val="single"/>
          <w:lang w:val="fr-FR"/>
        </w:rPr>
        <w:t>Enregistrement</w:t>
      </w:r>
      <w:r>
        <w:rPr>
          <w:rFonts w:cstheme="minorHAnsi"/>
          <w:u w:val="single"/>
        </w:rPr>
        <w:t xml:space="preserve"> (</w:t>
      </w:r>
      <w:r>
        <w:rPr>
          <w:rFonts w:cstheme="minorHAnsi"/>
          <w:u w:val="single"/>
          <w:lang w:val="fr-FR"/>
        </w:rPr>
        <w:t>seulement</w:t>
      </w:r>
      <w:r>
        <w:rPr>
          <w:rFonts w:cstheme="minorHAnsi"/>
          <w:u w:val="single"/>
        </w:rPr>
        <w:t>) :</w:t>
      </w:r>
    </w:p>
    <w:p w14:paraId="3DC5365A"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Obtention d’un acte de naissance</w:t>
      </w:r>
    </w:p>
    <w:p w14:paraId="51C2F2E3"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Durée totale du processus d’enregistrement</w:t>
      </w:r>
    </w:p>
    <w:p w14:paraId="3EECC049"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Distance parcourue et ou temps pour accéder à l’enregistrement</w:t>
      </w:r>
    </w:p>
    <w:p w14:paraId="1B9997D9"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Rendement des agents de l’état de civil</w:t>
      </w:r>
    </w:p>
    <w:p w14:paraId="6E6325D0"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Taux d’absentéisme des agents de l’état civil</w:t>
      </w:r>
    </w:p>
    <w:p w14:paraId="6CAE8F6D"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Nombre de jugement supplétif/ taux de non appel</w:t>
      </w:r>
    </w:p>
    <w:p w14:paraId="7FC133F7"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Nombre de naissances enregistrées (volets) transmis au bureau central de l’état civil</w:t>
      </w:r>
    </w:p>
    <w:p w14:paraId="31F3962C" w14:textId="77777777" w:rsidR="001D1293" w:rsidRDefault="001D1293" w:rsidP="001D1293">
      <w:pPr>
        <w:pStyle w:val="ListParagraph"/>
        <w:numPr>
          <w:ilvl w:val="0"/>
          <w:numId w:val="5"/>
        </w:numPr>
        <w:spacing w:after="160" w:line="256" w:lineRule="auto"/>
        <w:rPr>
          <w:rFonts w:cstheme="minorHAnsi"/>
          <w:lang w:val="fr-FR"/>
        </w:rPr>
      </w:pPr>
      <w:r>
        <w:rPr>
          <w:rFonts w:cstheme="minorHAnsi"/>
        </w:rPr>
        <w:t xml:space="preserve">Nombre de plaintes </w:t>
      </w:r>
      <w:r>
        <w:rPr>
          <w:rFonts w:cstheme="minorHAnsi"/>
          <w:lang w:val="fr-FR"/>
        </w:rPr>
        <w:t xml:space="preserve">enregistrées </w:t>
      </w:r>
    </w:p>
    <w:p w14:paraId="68D4F12C" w14:textId="77777777" w:rsidR="001D1293" w:rsidRDefault="001D1293" w:rsidP="001D1293">
      <w:pPr>
        <w:pStyle w:val="ListParagraph"/>
        <w:numPr>
          <w:ilvl w:val="0"/>
          <w:numId w:val="5"/>
        </w:numPr>
        <w:spacing w:after="160" w:line="256" w:lineRule="auto"/>
        <w:rPr>
          <w:rFonts w:cstheme="minorHAnsi"/>
          <w:lang w:val="fr-FR"/>
        </w:rPr>
      </w:pPr>
      <w:r>
        <w:rPr>
          <w:rFonts w:cstheme="minorHAnsi"/>
          <w:lang w:val="fr-FR"/>
        </w:rPr>
        <w:t xml:space="preserve">Changement de comportement des agents d’état civil </w:t>
      </w:r>
    </w:p>
    <w:p w14:paraId="4C3500FF" w14:textId="77777777" w:rsidR="001D1293" w:rsidRDefault="001D1293" w:rsidP="001D1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rPr>
          <w:rFonts w:eastAsia="Times New Roman" w:cs="Courier New"/>
          <w:color w:val="365F91" w:themeColor="accent1" w:themeShade="BF"/>
          <w:sz w:val="26"/>
          <w:szCs w:val="26"/>
          <w:lang w:val="fr-FR"/>
        </w:rPr>
      </w:pPr>
      <w:r>
        <w:rPr>
          <w:rFonts w:eastAsia="Times New Roman" w:cs="Courier New"/>
          <w:color w:val="365F91" w:themeColor="accent1" w:themeShade="BF"/>
          <w:sz w:val="26"/>
          <w:szCs w:val="26"/>
          <w:lang w:val="fr-FR"/>
        </w:rPr>
        <w:t>Questions/problèmes en suspens et prochaines étapes</w:t>
      </w:r>
    </w:p>
    <w:p w14:paraId="28741293" w14:textId="77777777" w:rsidR="001D1293" w:rsidRDefault="001D1293" w:rsidP="001D1293">
      <w:pPr>
        <w:spacing w:before="160"/>
        <w:rPr>
          <w:rFonts w:eastAsiaTheme="minorHAnsi" w:cstheme="minorHAnsi"/>
          <w:sz w:val="22"/>
          <w:lang w:val="fr-FR"/>
        </w:rPr>
      </w:pPr>
      <w:r>
        <w:rPr>
          <w:rFonts w:cstheme="minorHAnsi"/>
          <w:lang w:val="fr-FR"/>
        </w:rPr>
        <w:t>L’atelier d’évaluation d’impact a permis aux participants de faire le parcours compréhensif du projet sur base d’un bon entendement par rapport aux problèmes/défis clés que le projet tente de relever. Ensuite, les activités/interventions prioritaires du projet ont été discutées et évaluées en termes de leur efficacité à relever les dits défis/problèmes. Cependant, un certain nombre des questions dont la réponse est nécessaire pour valider la faisabilité pratique de l’évaluation d’impact proposée restent en suspens. Ci-dessous nous citons quelques-unes :</w:t>
      </w:r>
    </w:p>
    <w:p w14:paraId="07F96660" w14:textId="77777777" w:rsidR="001D1293" w:rsidRDefault="001D1293" w:rsidP="001D1293">
      <w:pPr>
        <w:pStyle w:val="Heading2"/>
        <w:rPr>
          <w:rFonts w:asciiTheme="minorHAnsi" w:hAnsiTheme="minorHAnsi" w:cstheme="minorHAnsi"/>
          <w:b/>
          <w:i/>
          <w:sz w:val="22"/>
          <w:szCs w:val="22"/>
          <w:lang w:val="fr-FR"/>
        </w:rPr>
      </w:pPr>
      <w:r>
        <w:rPr>
          <w:rFonts w:asciiTheme="minorHAnsi" w:hAnsiTheme="minorHAnsi" w:cstheme="minorHAnsi"/>
          <w:b/>
          <w:i/>
          <w:sz w:val="22"/>
          <w:szCs w:val="22"/>
          <w:lang w:val="fr-FR"/>
        </w:rPr>
        <w:t>Au niveau des campagnes de sensibilisation</w:t>
      </w:r>
    </w:p>
    <w:p w14:paraId="05D9239B" w14:textId="77777777" w:rsidR="001D1293" w:rsidRDefault="001D1293" w:rsidP="001D1293">
      <w:pPr>
        <w:pStyle w:val="ListParagraph"/>
        <w:numPr>
          <w:ilvl w:val="0"/>
          <w:numId w:val="7"/>
        </w:numPr>
        <w:spacing w:before="120" w:after="160" w:line="256" w:lineRule="auto"/>
        <w:rPr>
          <w:rFonts w:asciiTheme="minorHAnsi" w:hAnsiTheme="minorHAnsi" w:cstheme="minorHAnsi"/>
          <w:sz w:val="22"/>
          <w:lang w:val="fr-FR"/>
        </w:rPr>
      </w:pPr>
      <w:r>
        <w:rPr>
          <w:rFonts w:cstheme="minorHAnsi"/>
          <w:lang w:val="fr-FR"/>
        </w:rPr>
        <w:t>Lever l’option sur les types d’acteurs étatiques et/ou communautaires qui seront impliqués dans les campagnes de sensibilisation.</w:t>
      </w:r>
    </w:p>
    <w:p w14:paraId="7637A3A8" w14:textId="77777777" w:rsidR="001D1293" w:rsidRDefault="001D1293" w:rsidP="001D1293">
      <w:pPr>
        <w:pStyle w:val="ListParagraph"/>
        <w:spacing w:before="120"/>
        <w:rPr>
          <w:rFonts w:cstheme="minorHAnsi"/>
          <w:lang w:val="fr-FR"/>
        </w:rPr>
      </w:pPr>
    </w:p>
    <w:p w14:paraId="4F8E66A1" w14:textId="77777777" w:rsidR="001D1293" w:rsidRDefault="001D1293" w:rsidP="001D1293">
      <w:pPr>
        <w:pStyle w:val="ListParagraph"/>
        <w:numPr>
          <w:ilvl w:val="0"/>
          <w:numId w:val="7"/>
        </w:numPr>
        <w:spacing w:before="120" w:after="160" w:line="256" w:lineRule="auto"/>
        <w:rPr>
          <w:rFonts w:cstheme="minorHAnsi"/>
          <w:lang w:val="fr-FR"/>
        </w:rPr>
      </w:pPr>
      <w:r>
        <w:rPr>
          <w:rFonts w:cstheme="minorHAnsi"/>
          <w:lang w:val="fr-FR"/>
        </w:rPr>
        <w:t xml:space="preserve">Spécifier le contenu des campagnes de sensibilisation et lever l’option sur les variations à tester. </w:t>
      </w:r>
    </w:p>
    <w:p w14:paraId="25041F68" w14:textId="77777777" w:rsidR="001D1293" w:rsidRDefault="001D1293" w:rsidP="001D1293">
      <w:pPr>
        <w:pStyle w:val="ListParagraph"/>
        <w:numPr>
          <w:ilvl w:val="0"/>
          <w:numId w:val="7"/>
        </w:numPr>
        <w:spacing w:before="120" w:after="160" w:line="256" w:lineRule="auto"/>
        <w:rPr>
          <w:rFonts w:cstheme="minorHAnsi"/>
          <w:lang w:val="fr-FR"/>
        </w:rPr>
      </w:pPr>
      <w:r>
        <w:rPr>
          <w:rFonts w:cstheme="minorHAnsi"/>
          <w:lang w:val="fr-FR"/>
        </w:rPr>
        <w:t xml:space="preserve">Lever l’option sur l’unité d’intervention (et donc l’unité de randomisation) appropriée. </w:t>
      </w:r>
    </w:p>
    <w:p w14:paraId="2A35A85B" w14:textId="77777777" w:rsidR="001D1293" w:rsidRDefault="001D1293" w:rsidP="001D1293">
      <w:pPr>
        <w:pStyle w:val="ListParagraph"/>
        <w:spacing w:before="120"/>
        <w:ind w:left="1440"/>
        <w:rPr>
          <w:rFonts w:cstheme="minorHAnsi"/>
          <w:lang w:val="fr-FR"/>
        </w:rPr>
      </w:pPr>
      <w:r>
        <w:rPr>
          <w:rFonts w:cstheme="minorHAnsi"/>
          <w:lang w:val="fr-FR"/>
        </w:rPr>
        <w:t>La campagne de rattrapage se base fondamentalement d’une part sur les écoles, et d’autre part sur les structures étatiques impliquées (bureaux primaires et secondaires, tribunaux pour le jugement supplétif). L’unité de randomisation sera donc une combinaison de ces deux dimensions. En particulier, les interventions sur l’offre pourraient se faire au niveau du bureau d’état-civil (primaire et/ou secondaire), tandis que les interventions de sensibilisation pourraient se faire au niveau des écoles. Déterminer et allouer le budget aux différentes interventions.</w:t>
      </w:r>
    </w:p>
    <w:p w14:paraId="67888126" w14:textId="77777777" w:rsidR="001D1293" w:rsidRDefault="001D1293" w:rsidP="001D1293">
      <w:pPr>
        <w:pStyle w:val="Heading2"/>
        <w:rPr>
          <w:rFonts w:asciiTheme="minorHAnsi" w:hAnsiTheme="minorHAnsi" w:cstheme="minorHAnsi"/>
          <w:b/>
          <w:i/>
          <w:sz w:val="22"/>
          <w:szCs w:val="22"/>
          <w:lang w:val="fr-FR"/>
        </w:rPr>
      </w:pPr>
      <w:r>
        <w:rPr>
          <w:rFonts w:asciiTheme="minorHAnsi" w:hAnsiTheme="minorHAnsi" w:cstheme="minorHAnsi"/>
          <w:b/>
          <w:i/>
          <w:sz w:val="22"/>
          <w:szCs w:val="22"/>
          <w:lang w:val="fr-FR"/>
        </w:rPr>
        <w:t>Au niveau de l’enregistrement</w:t>
      </w:r>
    </w:p>
    <w:p w14:paraId="7ACF83B1" w14:textId="77777777" w:rsidR="001D1293" w:rsidRDefault="001D1293" w:rsidP="001D1293">
      <w:pPr>
        <w:spacing w:before="120"/>
        <w:rPr>
          <w:rFonts w:asciiTheme="minorHAnsi" w:hAnsiTheme="minorHAnsi" w:cstheme="minorHAnsi"/>
          <w:sz w:val="22"/>
          <w:lang w:val="fr-FR"/>
        </w:rPr>
      </w:pPr>
      <w:r>
        <w:rPr>
          <w:rFonts w:cstheme="minorHAnsi"/>
          <w:lang w:val="fr-FR"/>
        </w:rPr>
        <w:t>Toutes les questions en suspens au niveau des campagnes de sensibilisation (e. g, lever l’option sur le types d’acteurs qui seront impliqués et sur l’unité d’intervention appropriée) s’appliquent aussi au niveau de l’enregistrement des enfants. Cependant, il y a un nombre de questions spécifiques à ce niveau qui méritent d’être soulignées : étant donné qu’il y a un nombre élevé des interventions potentielles, une propitiation en amont est nécessaire pour l’évaluation d’impact.</w:t>
      </w:r>
    </w:p>
    <w:p w14:paraId="05FC04EE" w14:textId="77777777" w:rsidR="001D1293" w:rsidRDefault="001D1293" w:rsidP="001D1293">
      <w:pPr>
        <w:pStyle w:val="ListParagraph"/>
        <w:numPr>
          <w:ilvl w:val="0"/>
          <w:numId w:val="8"/>
        </w:numPr>
        <w:spacing w:before="120" w:after="160" w:line="256" w:lineRule="auto"/>
        <w:rPr>
          <w:rFonts w:cstheme="minorHAnsi"/>
          <w:lang w:val="fr-FR"/>
        </w:rPr>
      </w:pPr>
      <w:r>
        <w:rPr>
          <w:rFonts w:cstheme="minorHAnsi"/>
          <w:lang w:val="fr-FR"/>
        </w:rPr>
        <w:t xml:space="preserve">Certaines des interventions envisagées (e. g., bureaux d’état civil secondaires ou mobiles) nécessitent des actes administratifs et juridiques préalables ainsi que des moyens logistiques considérables. Toutes ces modalités doivent être réglées avant la mise en œuvre des activités du projet et de l’évaluation d’impact. </w:t>
      </w:r>
    </w:p>
    <w:p w14:paraId="3055DA08" w14:textId="77777777" w:rsidR="001D1293" w:rsidRDefault="001D1293" w:rsidP="001D1293">
      <w:pPr>
        <w:pStyle w:val="ListParagraph"/>
        <w:spacing w:before="120"/>
        <w:rPr>
          <w:rFonts w:cstheme="minorHAnsi"/>
          <w:lang w:val="fr-FR"/>
        </w:rPr>
      </w:pPr>
    </w:p>
    <w:p w14:paraId="689A27E4" w14:textId="77777777" w:rsidR="001D1293" w:rsidRDefault="001D1293" w:rsidP="001D1293">
      <w:pPr>
        <w:pStyle w:val="ListParagraph"/>
        <w:numPr>
          <w:ilvl w:val="0"/>
          <w:numId w:val="8"/>
        </w:numPr>
        <w:spacing w:before="120" w:after="160" w:line="256" w:lineRule="auto"/>
        <w:rPr>
          <w:rFonts w:cstheme="minorHAnsi"/>
          <w:lang w:val="fr-FR"/>
        </w:rPr>
      </w:pPr>
      <w:r>
        <w:rPr>
          <w:rFonts w:cstheme="minorHAnsi"/>
          <w:lang w:val="fr-FR"/>
        </w:rPr>
        <w:t xml:space="preserve">Harmonisation de la stratégie de l’évaluation d’impact avec la méthodologie du cabinet qui conduira les campagnes de sensibilisation. C’est peut-être l’aspect le plus crucial de la faisabilité de cette évaluation d’impact. En d’autres termes, on doit se rassurer que la méthodologie proposée par le cabinet est compatible avec (ou au minimum adaptable à) la stratégie de l’évaluation d’impact élaborée lors de l’atelier. Il a été convenu que ce travail d’harmonisation de la méthodologie du cabinet avec la stratégie de l’évaluation d’impact sera fait par l’unité d’exécution du projet avec l’appui de l’équipe de recherche.  </w:t>
      </w:r>
    </w:p>
    <w:p w14:paraId="7CF93E80" w14:textId="77777777" w:rsidR="001D1293" w:rsidRDefault="001D1293" w:rsidP="001D1293">
      <w:pPr>
        <w:pStyle w:val="ListParagraph"/>
        <w:spacing w:before="120"/>
        <w:rPr>
          <w:rFonts w:cstheme="minorHAnsi"/>
          <w:lang w:val="fr-FR"/>
        </w:rPr>
      </w:pPr>
    </w:p>
    <w:p w14:paraId="00DFAB31" w14:textId="77777777" w:rsidR="001D1293" w:rsidRDefault="001D1293" w:rsidP="001D1293">
      <w:pPr>
        <w:pStyle w:val="ListParagraph"/>
        <w:numPr>
          <w:ilvl w:val="0"/>
          <w:numId w:val="8"/>
        </w:numPr>
        <w:spacing w:after="160" w:line="256" w:lineRule="auto"/>
        <w:rPr>
          <w:rFonts w:cstheme="minorHAnsi"/>
          <w:lang w:val="fr-FR"/>
        </w:rPr>
      </w:pPr>
      <w:r>
        <w:rPr>
          <w:rFonts w:cstheme="minorHAnsi"/>
          <w:lang w:val="fr-FR"/>
        </w:rPr>
        <w:t>Calendrier des activités du projet et de l’évaluation d’impact. A l’heure actuelle, le principal facteur contraignant pour l’exécution du projet est la signature du contrat avec la firme.</w:t>
      </w:r>
    </w:p>
    <w:p w14:paraId="1FB71F7D" w14:textId="77777777" w:rsidR="001D1293" w:rsidRDefault="001D1293" w:rsidP="001D1293">
      <w:pPr>
        <w:pStyle w:val="ListParagraph"/>
        <w:rPr>
          <w:rFonts w:cstheme="minorHAnsi"/>
          <w:sz w:val="10"/>
          <w:szCs w:val="10"/>
          <w:lang w:val="fr-FR"/>
        </w:rPr>
      </w:pPr>
    </w:p>
    <w:p w14:paraId="4F3FCA17" w14:textId="77777777" w:rsidR="001D1293" w:rsidRDefault="001D1293" w:rsidP="001D1293">
      <w:pPr>
        <w:pStyle w:val="ListParagraph"/>
        <w:numPr>
          <w:ilvl w:val="1"/>
          <w:numId w:val="8"/>
        </w:numPr>
        <w:spacing w:after="160" w:line="256" w:lineRule="auto"/>
        <w:rPr>
          <w:rFonts w:cstheme="minorHAnsi"/>
          <w:sz w:val="22"/>
          <w:lang w:val="fr-FR"/>
        </w:rPr>
      </w:pPr>
      <w:r>
        <w:rPr>
          <w:rFonts w:cstheme="minorHAnsi"/>
          <w:lang w:val="fr-FR"/>
        </w:rPr>
        <w:t>Comme la campagne de rattrapage a lieu dans les écoles, une contrainte importante pour la mise en œuvre du projet est le calendrier scolaire. Idéalement, la campagne aurait lieu à la rentrée scolaire 2018, afin de maximiser le nombre d’enfants enregistrés.</w:t>
      </w:r>
    </w:p>
    <w:p w14:paraId="5D38A4DD" w14:textId="77777777" w:rsidR="001D1293" w:rsidRDefault="001D1293" w:rsidP="001D1293">
      <w:pPr>
        <w:pStyle w:val="ListParagraph"/>
        <w:ind w:left="1440"/>
        <w:rPr>
          <w:rFonts w:cstheme="minorHAnsi"/>
          <w:lang w:val="fr-FR"/>
        </w:rPr>
      </w:pPr>
    </w:p>
    <w:p w14:paraId="6119A5F9" w14:textId="77777777" w:rsidR="001D1293" w:rsidRDefault="001D1293" w:rsidP="001D1293">
      <w:pPr>
        <w:pStyle w:val="ListParagraph"/>
        <w:numPr>
          <w:ilvl w:val="1"/>
          <w:numId w:val="8"/>
        </w:numPr>
        <w:tabs>
          <w:tab w:val="left" w:pos="3070"/>
        </w:tabs>
        <w:spacing w:after="160" w:line="256" w:lineRule="auto"/>
        <w:rPr>
          <w:rFonts w:cstheme="minorBidi"/>
          <w:lang w:val="fr-FR"/>
        </w:rPr>
      </w:pPr>
      <w:r>
        <w:rPr>
          <w:rFonts w:cstheme="minorHAnsi"/>
          <w:lang w:val="fr-FR"/>
        </w:rPr>
        <w:t>Parce que la campagne elle-même est courte, les premiers résultats d’évaluation seront rapidement disponibles pour analyse (environ deux à trois mois après la campagne), et informer sur les meilleures stratégies en vue de la seconde vague de rattrapage.</w:t>
      </w:r>
    </w:p>
    <w:p w14:paraId="30012CAE" w14:textId="77777777" w:rsidR="001D1293" w:rsidRDefault="001D1293" w:rsidP="001D1293">
      <w:pPr>
        <w:spacing w:before="480"/>
        <w:rPr>
          <w:lang w:val="fr-FR"/>
        </w:rPr>
      </w:pPr>
      <w:r>
        <w:rPr>
          <w:lang w:val="fr-FR"/>
        </w:rPr>
        <w:t>Quant aux prochaines étapes, DIME va travailler étroitement avec l’équipe chargée du projet et les différents ministères concernés par les campagnes de sensibilisation pour se rassurer que le cabinet en charge des campagnes de sensibilisation est de mesure d’adapter sa méthodologie à la conception de l’évaluation d’impact ressortie de l’atelier de Kinshasa.</w:t>
      </w:r>
    </w:p>
    <w:p w14:paraId="762B24A6" w14:textId="77777777" w:rsidR="001D1293" w:rsidRDefault="001D1293" w:rsidP="001D1293">
      <w:pPr>
        <w:tabs>
          <w:tab w:val="left" w:pos="8100"/>
        </w:tabs>
        <w:rPr>
          <w:rFonts w:cstheme="minorHAnsi"/>
          <w:lang w:val="fr-FR"/>
        </w:rPr>
      </w:pPr>
      <w:bookmarkStart w:id="2" w:name="_GoBack"/>
      <w:bookmarkEnd w:id="2"/>
      <w:r>
        <w:rPr>
          <w:rFonts w:cstheme="minorHAnsi"/>
          <w:lang w:val="fr-FR"/>
        </w:rPr>
        <w:tab/>
      </w:r>
    </w:p>
    <w:p w14:paraId="52E88997" w14:textId="77777777" w:rsidR="001D1293" w:rsidRPr="001D1293" w:rsidRDefault="001D1293" w:rsidP="001D1293">
      <w:pPr>
        <w:rPr>
          <w:lang w:val="fr-FR"/>
        </w:rPr>
      </w:pPr>
    </w:p>
    <w:sectPr w:rsidR="001D1293" w:rsidRPr="001D1293" w:rsidSect="002C1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D931" w14:textId="77777777" w:rsidR="002D1FA9" w:rsidRDefault="002D1FA9" w:rsidP="00E949DB">
      <w:pPr>
        <w:spacing w:after="0" w:line="240" w:lineRule="auto"/>
      </w:pPr>
      <w:r>
        <w:separator/>
      </w:r>
    </w:p>
  </w:endnote>
  <w:endnote w:type="continuationSeparator" w:id="0">
    <w:p w14:paraId="0791D375" w14:textId="77777777" w:rsidR="002D1FA9" w:rsidRDefault="002D1FA9" w:rsidP="00E949DB">
      <w:pPr>
        <w:spacing w:after="0" w:line="240" w:lineRule="auto"/>
      </w:pPr>
      <w:r>
        <w:continuationSeparator/>
      </w:r>
    </w:p>
  </w:endnote>
  <w:endnote w:type="continuationNotice" w:id="1">
    <w:p w14:paraId="77B17A50" w14:textId="77777777" w:rsidR="002D1FA9" w:rsidRDefault="002D1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01609"/>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6E506B31" w14:textId="1F849ABE" w:rsidR="002D1FA9" w:rsidRPr="007E70D9" w:rsidRDefault="002D1FA9" w:rsidP="007E70D9">
            <w:pPr>
              <w:pStyle w:val="Footer"/>
              <w:jc w:val="center"/>
              <w:rPr>
                <w:sz w:val="20"/>
                <w:lang w:val="fr-FR"/>
              </w:rPr>
            </w:pPr>
            <w:r w:rsidRPr="0087241E">
              <w:rPr>
                <w:sz w:val="20"/>
                <w:lang w:val="fr-FR"/>
              </w:rPr>
              <w:t xml:space="preserve">Aide-mémoire PRSDHU </w:t>
            </w:r>
            <w:r>
              <w:rPr>
                <w:sz w:val="20"/>
                <w:lang w:val="fr-FR"/>
              </w:rPr>
              <w:t>août</w:t>
            </w:r>
            <w:r w:rsidRPr="0087241E">
              <w:rPr>
                <w:sz w:val="20"/>
                <w:lang w:val="fr-FR"/>
              </w:rPr>
              <w:t xml:space="preserve"> 201</w:t>
            </w:r>
            <w:r>
              <w:rPr>
                <w:sz w:val="20"/>
                <w:lang w:val="fr-FR"/>
              </w:rPr>
              <w:t>7 -</w:t>
            </w:r>
            <w:r w:rsidRPr="0087241E">
              <w:rPr>
                <w:sz w:val="20"/>
                <w:lang w:val="fr-FR"/>
              </w:rPr>
              <w:t xml:space="preserve"> </w:t>
            </w:r>
            <w:r>
              <w:rPr>
                <w:sz w:val="20"/>
                <w:lang w:val="fr-FR"/>
              </w:rPr>
              <w:t>p</w:t>
            </w:r>
            <w:r w:rsidRPr="0087241E">
              <w:rPr>
                <w:sz w:val="20"/>
                <w:lang w:val="fr-FR"/>
              </w:rPr>
              <w:t xml:space="preserve">age </w:t>
            </w:r>
            <w:r w:rsidRPr="009A0078">
              <w:rPr>
                <w:bCs/>
                <w:sz w:val="20"/>
                <w:szCs w:val="24"/>
              </w:rPr>
              <w:fldChar w:fldCharType="begin"/>
            </w:r>
            <w:r w:rsidRPr="0087241E">
              <w:rPr>
                <w:bCs/>
                <w:sz w:val="20"/>
                <w:lang w:val="fr-FR"/>
              </w:rPr>
              <w:instrText xml:space="preserve"> PAGE </w:instrText>
            </w:r>
            <w:r w:rsidRPr="009A0078">
              <w:rPr>
                <w:bCs/>
                <w:sz w:val="20"/>
                <w:szCs w:val="24"/>
              </w:rPr>
              <w:fldChar w:fldCharType="separate"/>
            </w:r>
            <w:r w:rsidR="00EA49E6">
              <w:rPr>
                <w:bCs/>
                <w:noProof/>
                <w:sz w:val="20"/>
                <w:lang w:val="fr-FR"/>
              </w:rPr>
              <w:t>18</w:t>
            </w:r>
            <w:r w:rsidRPr="009A0078">
              <w:rPr>
                <w:bCs/>
                <w:sz w:val="20"/>
                <w:szCs w:val="24"/>
              </w:rPr>
              <w:fldChar w:fldCharType="end"/>
            </w:r>
            <w:r w:rsidRPr="0087241E">
              <w:rPr>
                <w:sz w:val="20"/>
                <w:lang w:val="fr-FR"/>
              </w:rPr>
              <w:t xml:space="preserve"> de </w:t>
            </w:r>
            <w:r w:rsidRPr="009A0078">
              <w:rPr>
                <w:bCs/>
                <w:sz w:val="20"/>
                <w:szCs w:val="24"/>
              </w:rPr>
              <w:fldChar w:fldCharType="begin"/>
            </w:r>
            <w:r w:rsidRPr="0087241E">
              <w:rPr>
                <w:bCs/>
                <w:sz w:val="20"/>
                <w:lang w:val="fr-FR"/>
              </w:rPr>
              <w:instrText xml:space="preserve"> NUMPAGES  </w:instrText>
            </w:r>
            <w:r w:rsidRPr="009A0078">
              <w:rPr>
                <w:bCs/>
                <w:sz w:val="20"/>
                <w:szCs w:val="24"/>
              </w:rPr>
              <w:fldChar w:fldCharType="separate"/>
            </w:r>
            <w:r w:rsidR="00EA49E6">
              <w:rPr>
                <w:bCs/>
                <w:noProof/>
                <w:sz w:val="20"/>
                <w:lang w:val="fr-FR"/>
              </w:rPr>
              <w:t>22</w:t>
            </w:r>
            <w:r w:rsidRPr="009A0078">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7B925" w14:textId="77777777" w:rsidR="002D1FA9" w:rsidRDefault="002D1FA9" w:rsidP="00E949DB">
      <w:pPr>
        <w:spacing w:after="0" w:line="240" w:lineRule="auto"/>
      </w:pPr>
      <w:r>
        <w:separator/>
      </w:r>
    </w:p>
  </w:footnote>
  <w:footnote w:type="continuationSeparator" w:id="0">
    <w:p w14:paraId="754D0508" w14:textId="77777777" w:rsidR="002D1FA9" w:rsidRDefault="002D1FA9" w:rsidP="00E949DB">
      <w:pPr>
        <w:spacing w:after="0" w:line="240" w:lineRule="auto"/>
      </w:pPr>
      <w:r>
        <w:continuationSeparator/>
      </w:r>
    </w:p>
  </w:footnote>
  <w:footnote w:type="continuationNotice" w:id="1">
    <w:p w14:paraId="3A23CCDF" w14:textId="77777777" w:rsidR="002D1FA9" w:rsidRDefault="002D1FA9">
      <w:pPr>
        <w:spacing w:after="0" w:line="240" w:lineRule="auto"/>
      </w:pPr>
    </w:p>
  </w:footnote>
  <w:footnote w:id="2">
    <w:p w14:paraId="468EB9AC" w14:textId="154E61EE" w:rsidR="002D1FA9" w:rsidRPr="004C0491" w:rsidRDefault="002D1FA9" w:rsidP="00E97053">
      <w:pPr>
        <w:pStyle w:val="FootnoteText"/>
        <w:spacing w:after="0" w:line="240" w:lineRule="auto"/>
        <w:rPr>
          <w:rFonts w:cs="Times New Roman"/>
          <w:lang w:val="fr-FR"/>
        </w:rPr>
      </w:pPr>
      <w:r>
        <w:rPr>
          <w:rStyle w:val="FootnoteReference"/>
        </w:rPr>
        <w:footnoteRef/>
      </w:r>
      <w:r w:rsidRPr="00D26116">
        <w:rPr>
          <w:lang w:val="fr-FR"/>
        </w:rPr>
        <w:t xml:space="preserve"> </w:t>
      </w:r>
      <w:r w:rsidRPr="004C0491">
        <w:rPr>
          <w:rFonts w:cs="Times New Roman"/>
          <w:lang w:val="fr-FR"/>
        </w:rPr>
        <w:t>La mission était conduite par</w:t>
      </w:r>
      <w:r w:rsidRPr="004C0491">
        <w:rPr>
          <w:rFonts w:cs="Times New Roman"/>
          <w:szCs w:val="24"/>
          <w:lang w:val="fr-FR"/>
        </w:rPr>
        <w:t xml:space="preserve"> </w:t>
      </w:r>
      <w:r>
        <w:rPr>
          <w:rFonts w:cs="Times New Roman"/>
          <w:szCs w:val="24"/>
          <w:lang w:val="fr-FR"/>
        </w:rPr>
        <w:t>MM.</w:t>
      </w:r>
      <w:r w:rsidRPr="004C0491">
        <w:rPr>
          <w:rFonts w:cs="Times New Roman"/>
          <w:szCs w:val="24"/>
          <w:lang w:val="fr-FR"/>
        </w:rPr>
        <w:t xml:space="preserve"> </w:t>
      </w:r>
      <w:r>
        <w:rPr>
          <w:rFonts w:cs="Times New Roman"/>
          <w:szCs w:val="24"/>
          <w:lang w:val="fr-FR"/>
        </w:rPr>
        <w:t>Christophe Rockmore (Economiste principal, responsable du projet)</w:t>
      </w:r>
      <w:r w:rsidRPr="004C0491">
        <w:rPr>
          <w:rFonts w:cs="Times New Roman"/>
          <w:szCs w:val="24"/>
          <w:lang w:val="fr-FR"/>
        </w:rPr>
        <w:t xml:space="preserve">. Elle avait la participation de MM/Mmes </w:t>
      </w:r>
      <w:r>
        <w:rPr>
          <w:rFonts w:cs="Times New Roman"/>
          <w:szCs w:val="24"/>
          <w:lang w:val="fr-FR"/>
        </w:rPr>
        <w:t xml:space="preserve">Luc Laviolette </w:t>
      </w:r>
      <w:r w:rsidRPr="004C0491">
        <w:rPr>
          <w:rFonts w:cs="Times New Roman"/>
          <w:szCs w:val="24"/>
          <w:lang w:val="fr-FR"/>
        </w:rPr>
        <w:t>(Responsable sectoriel, Développement humain)</w:t>
      </w:r>
      <w:r>
        <w:rPr>
          <w:rFonts w:cs="Times New Roman"/>
          <w:szCs w:val="24"/>
          <w:lang w:val="fr-FR"/>
        </w:rPr>
        <w:t xml:space="preserve">, Francis Tasha Venayen (Spécialiste en gestion des finances publiques), Gabriel Kaleka Bakusa (Spécialiste en pharmaceutique), Clement Tukeba (Spécialiste principal en passation des marchés), Louise Mvono (Spécialiste sénior éducation), Michel Muvudi (Spécialiste en santé publique) et </w:t>
      </w:r>
      <w:r w:rsidRPr="004C0491">
        <w:rPr>
          <w:rFonts w:cs="Times New Roman"/>
          <w:szCs w:val="24"/>
          <w:lang w:val="fr-FR"/>
        </w:rPr>
        <w:t>Patricia Komina Dele (Assistante d’équipe)</w:t>
      </w:r>
      <w:r w:rsidRPr="004C0491">
        <w:rPr>
          <w:rFonts w:cs="Times New Roman"/>
          <w:lang w:val="fr-FR"/>
        </w:rPr>
        <w:t>.</w:t>
      </w:r>
    </w:p>
  </w:footnote>
  <w:footnote w:id="3">
    <w:p w14:paraId="7029EC7D" w14:textId="77777777" w:rsidR="001D1293" w:rsidRDefault="001D1293" w:rsidP="001D1293">
      <w:pPr>
        <w:pStyle w:val="FootnoteText"/>
        <w:rPr>
          <w:lang w:val="fr-FR"/>
        </w:rPr>
      </w:pPr>
      <w:r>
        <w:rPr>
          <w:rStyle w:val="FootnoteReference"/>
        </w:rPr>
        <w:footnoteRef/>
      </w:r>
      <w:r>
        <w:rPr>
          <w:lang w:val="fr-FR"/>
        </w:rPr>
        <w:t xml:space="preserve"> C</w:t>
      </w:r>
      <w:r>
        <w:rPr>
          <w:rFonts w:cstheme="minorHAnsi"/>
          <w:lang w:val="fr-FR"/>
        </w:rPr>
        <w:t xml:space="preserve">ette évaluation peut être combinée avec l’évaluation des bureaux mobiles (intervention 2a, voir plus loin). Dans ce cas, les agents de l’état civil impliqués dans la sensibilisation transporteraient aussi les registres auprès des personnes demandeuse d’enregistrement des naissances dans le même temps. L’option sera levée une fois les conditions de mise en œuvre seront clarifiées. </w:t>
      </w:r>
    </w:p>
  </w:footnote>
  <w:footnote w:id="4">
    <w:p w14:paraId="13625EBD" w14:textId="77777777" w:rsidR="001D1293" w:rsidRDefault="001D1293" w:rsidP="001D1293">
      <w:pPr>
        <w:pStyle w:val="FootnoteText"/>
        <w:rPr>
          <w:lang w:val="fr-FR"/>
        </w:rPr>
      </w:pPr>
      <w:r>
        <w:rPr>
          <w:rStyle w:val="FootnoteReference"/>
        </w:rPr>
        <w:footnoteRef/>
      </w:r>
      <w:r>
        <w:rPr>
          <w:lang w:val="fr-FR"/>
        </w:rPr>
        <w:t xml:space="preserve"> Il semble que le projet prévoit toutes ces incitations. La grande question est si les incitations étaient entièrement individualisées ou si elles seraient partagées au niveau d’un bureau, tribunal ou d’une école. La différence réside dans le besoin de suivre qui a fait quoi, ce qui pourrait être difficile au vu du grand nombre de personnes impliquées. L’option sera levée une fois que nous avons des informations supplémentaires sur la mise en œuvre de ces activités sur terrain.  </w:t>
      </w:r>
    </w:p>
  </w:footnote>
  <w:footnote w:id="5">
    <w:p w14:paraId="3FD93EB8" w14:textId="77777777" w:rsidR="001D1293" w:rsidRDefault="001D1293" w:rsidP="001D1293">
      <w:pPr>
        <w:pStyle w:val="CommentText"/>
        <w:spacing w:after="0"/>
        <w:rPr>
          <w:lang w:val="fr-FR"/>
        </w:rPr>
      </w:pPr>
      <w:r>
        <w:rPr>
          <w:rStyle w:val="FootnoteReference"/>
        </w:rPr>
        <w:footnoteRef/>
      </w:r>
      <w:r>
        <w:rPr>
          <w:lang w:val="fr-FR"/>
        </w:rPr>
        <w:t xml:space="preserve">  L’intérêt de cette méthode réside dans le fait qu’elle incite l’usager à avoir des attentes vis-à-vis des services de l’état. Etant donné que le projet a l’obligation </w:t>
      </w:r>
      <w:r>
        <w:rPr>
          <w:rStyle w:val="CommentReference"/>
          <w:sz w:val="20"/>
          <w:szCs w:val="20"/>
          <w:lang w:val="fr-FR"/>
        </w:rPr>
        <w:t xml:space="preserve">d’avoir le mécanisme de gestion de plaintes par tout ou il opèrerait, il peut être difficile de tester l’efficacité de ce mécanisme de façon expérimentale. </w:t>
      </w:r>
      <w:r>
        <w:rPr>
          <w:lang w:val="fr-FR"/>
        </w:rPr>
        <w:t>Une variation possible serait de parler de ce système de plaintes aux agents (risque de mauvais comportement) ou pas et voir si cette information influencerait leur comportement.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FF"/>
    <w:multiLevelType w:val="hybridMultilevel"/>
    <w:tmpl w:val="852AFE5A"/>
    <w:lvl w:ilvl="0" w:tplc="87DEE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923500"/>
    <w:multiLevelType w:val="hybridMultilevel"/>
    <w:tmpl w:val="1512AE68"/>
    <w:lvl w:ilvl="0" w:tplc="87DEE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DA6943"/>
    <w:multiLevelType w:val="hybridMultilevel"/>
    <w:tmpl w:val="3FAC0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E46F44"/>
    <w:multiLevelType w:val="hybridMultilevel"/>
    <w:tmpl w:val="07CA0D38"/>
    <w:lvl w:ilvl="0" w:tplc="E402A4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1A5E7E"/>
    <w:multiLevelType w:val="hybridMultilevel"/>
    <w:tmpl w:val="238049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790358"/>
    <w:multiLevelType w:val="hybridMultilevel"/>
    <w:tmpl w:val="4BD22AFA"/>
    <w:lvl w:ilvl="0" w:tplc="91F6F4A0">
      <w:start w:val="2"/>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D332A0"/>
    <w:multiLevelType w:val="hybridMultilevel"/>
    <w:tmpl w:val="26C8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B9775F"/>
    <w:multiLevelType w:val="hybridMultilevel"/>
    <w:tmpl w:val="A3127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6"/>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DB"/>
    <w:rsid w:val="00000111"/>
    <w:rsid w:val="000002EF"/>
    <w:rsid w:val="00000C91"/>
    <w:rsid w:val="00001E3A"/>
    <w:rsid w:val="000024E7"/>
    <w:rsid w:val="00002764"/>
    <w:rsid w:val="00004B4E"/>
    <w:rsid w:val="00005588"/>
    <w:rsid w:val="00006167"/>
    <w:rsid w:val="00006848"/>
    <w:rsid w:val="0000781F"/>
    <w:rsid w:val="0001011C"/>
    <w:rsid w:val="00010961"/>
    <w:rsid w:val="000109B7"/>
    <w:rsid w:val="00010A18"/>
    <w:rsid w:val="00012259"/>
    <w:rsid w:val="00013403"/>
    <w:rsid w:val="000136B2"/>
    <w:rsid w:val="000136CD"/>
    <w:rsid w:val="00013CE4"/>
    <w:rsid w:val="00013F1E"/>
    <w:rsid w:val="000140D4"/>
    <w:rsid w:val="000141EE"/>
    <w:rsid w:val="0001423C"/>
    <w:rsid w:val="00014F16"/>
    <w:rsid w:val="00014F8B"/>
    <w:rsid w:val="000161F4"/>
    <w:rsid w:val="000164C9"/>
    <w:rsid w:val="00016524"/>
    <w:rsid w:val="00017C1C"/>
    <w:rsid w:val="00020EDB"/>
    <w:rsid w:val="00021004"/>
    <w:rsid w:val="00021104"/>
    <w:rsid w:val="000213C3"/>
    <w:rsid w:val="00021F80"/>
    <w:rsid w:val="00023509"/>
    <w:rsid w:val="00023663"/>
    <w:rsid w:val="00023763"/>
    <w:rsid w:val="00023806"/>
    <w:rsid w:val="000258BC"/>
    <w:rsid w:val="0002646D"/>
    <w:rsid w:val="00026AE1"/>
    <w:rsid w:val="00027E5B"/>
    <w:rsid w:val="00031C39"/>
    <w:rsid w:val="0003225F"/>
    <w:rsid w:val="000331DE"/>
    <w:rsid w:val="000338C0"/>
    <w:rsid w:val="000342E8"/>
    <w:rsid w:val="00034D8E"/>
    <w:rsid w:val="000351F0"/>
    <w:rsid w:val="00035F44"/>
    <w:rsid w:val="0003720D"/>
    <w:rsid w:val="00037749"/>
    <w:rsid w:val="00037A6F"/>
    <w:rsid w:val="00041264"/>
    <w:rsid w:val="000418DD"/>
    <w:rsid w:val="00041D74"/>
    <w:rsid w:val="00041E7F"/>
    <w:rsid w:val="000423C2"/>
    <w:rsid w:val="0004274F"/>
    <w:rsid w:val="00043002"/>
    <w:rsid w:val="000447AB"/>
    <w:rsid w:val="00045066"/>
    <w:rsid w:val="00046164"/>
    <w:rsid w:val="00046941"/>
    <w:rsid w:val="00046FE1"/>
    <w:rsid w:val="0004734D"/>
    <w:rsid w:val="00047BF1"/>
    <w:rsid w:val="000501BC"/>
    <w:rsid w:val="000502F6"/>
    <w:rsid w:val="000513F5"/>
    <w:rsid w:val="000516F5"/>
    <w:rsid w:val="0005192B"/>
    <w:rsid w:val="00051B0C"/>
    <w:rsid w:val="00052D41"/>
    <w:rsid w:val="000537DF"/>
    <w:rsid w:val="00055DD3"/>
    <w:rsid w:val="00056785"/>
    <w:rsid w:val="000567A3"/>
    <w:rsid w:val="000575DE"/>
    <w:rsid w:val="00057E97"/>
    <w:rsid w:val="0006037E"/>
    <w:rsid w:val="00060A10"/>
    <w:rsid w:val="0006125C"/>
    <w:rsid w:val="00061B90"/>
    <w:rsid w:val="000636AF"/>
    <w:rsid w:val="00067589"/>
    <w:rsid w:val="00067CF5"/>
    <w:rsid w:val="00067E4C"/>
    <w:rsid w:val="00067F70"/>
    <w:rsid w:val="00072CB9"/>
    <w:rsid w:val="000733EE"/>
    <w:rsid w:val="00073DC7"/>
    <w:rsid w:val="00074280"/>
    <w:rsid w:val="0007456A"/>
    <w:rsid w:val="000755C6"/>
    <w:rsid w:val="00075E0F"/>
    <w:rsid w:val="00077446"/>
    <w:rsid w:val="00077ED2"/>
    <w:rsid w:val="0008070F"/>
    <w:rsid w:val="0008166E"/>
    <w:rsid w:val="000822D6"/>
    <w:rsid w:val="00082501"/>
    <w:rsid w:val="000833CA"/>
    <w:rsid w:val="00084063"/>
    <w:rsid w:val="00084F97"/>
    <w:rsid w:val="000858B2"/>
    <w:rsid w:val="0008590D"/>
    <w:rsid w:val="000861B0"/>
    <w:rsid w:val="0008679B"/>
    <w:rsid w:val="00087C95"/>
    <w:rsid w:val="0009159F"/>
    <w:rsid w:val="00091D90"/>
    <w:rsid w:val="00092773"/>
    <w:rsid w:val="00092E1A"/>
    <w:rsid w:val="00094B47"/>
    <w:rsid w:val="000953E2"/>
    <w:rsid w:val="000955DD"/>
    <w:rsid w:val="000957D8"/>
    <w:rsid w:val="000974C6"/>
    <w:rsid w:val="00097E27"/>
    <w:rsid w:val="000A16F2"/>
    <w:rsid w:val="000A1872"/>
    <w:rsid w:val="000A1B28"/>
    <w:rsid w:val="000A1C33"/>
    <w:rsid w:val="000A1DAC"/>
    <w:rsid w:val="000A203F"/>
    <w:rsid w:val="000A3B4D"/>
    <w:rsid w:val="000A3D4B"/>
    <w:rsid w:val="000A3E15"/>
    <w:rsid w:val="000A44E3"/>
    <w:rsid w:val="000A6A34"/>
    <w:rsid w:val="000A7E48"/>
    <w:rsid w:val="000B0AEC"/>
    <w:rsid w:val="000B0C33"/>
    <w:rsid w:val="000B1056"/>
    <w:rsid w:val="000B142D"/>
    <w:rsid w:val="000B2C95"/>
    <w:rsid w:val="000B43F1"/>
    <w:rsid w:val="000B4D85"/>
    <w:rsid w:val="000B5E5D"/>
    <w:rsid w:val="000B6EFC"/>
    <w:rsid w:val="000B7CA0"/>
    <w:rsid w:val="000C120E"/>
    <w:rsid w:val="000C128D"/>
    <w:rsid w:val="000C1759"/>
    <w:rsid w:val="000C19BA"/>
    <w:rsid w:val="000C2788"/>
    <w:rsid w:val="000C326E"/>
    <w:rsid w:val="000C3AB8"/>
    <w:rsid w:val="000C3F14"/>
    <w:rsid w:val="000C42B2"/>
    <w:rsid w:val="000C448B"/>
    <w:rsid w:val="000C4DB4"/>
    <w:rsid w:val="000C6EA6"/>
    <w:rsid w:val="000C6EEC"/>
    <w:rsid w:val="000D011B"/>
    <w:rsid w:val="000D38E0"/>
    <w:rsid w:val="000D3EB9"/>
    <w:rsid w:val="000D42B5"/>
    <w:rsid w:val="000D4779"/>
    <w:rsid w:val="000D547F"/>
    <w:rsid w:val="000D57DB"/>
    <w:rsid w:val="000D5875"/>
    <w:rsid w:val="000D7054"/>
    <w:rsid w:val="000D720C"/>
    <w:rsid w:val="000D73CF"/>
    <w:rsid w:val="000D7927"/>
    <w:rsid w:val="000D7AF6"/>
    <w:rsid w:val="000E1070"/>
    <w:rsid w:val="000E234E"/>
    <w:rsid w:val="000E24DF"/>
    <w:rsid w:val="000E2699"/>
    <w:rsid w:val="000E288B"/>
    <w:rsid w:val="000E2EDA"/>
    <w:rsid w:val="000E44E3"/>
    <w:rsid w:val="000E55CC"/>
    <w:rsid w:val="000E696E"/>
    <w:rsid w:val="000E7257"/>
    <w:rsid w:val="000E77B4"/>
    <w:rsid w:val="000E7807"/>
    <w:rsid w:val="000F1A73"/>
    <w:rsid w:val="000F2C06"/>
    <w:rsid w:val="000F4D49"/>
    <w:rsid w:val="000F57B2"/>
    <w:rsid w:val="000F6447"/>
    <w:rsid w:val="000F6D33"/>
    <w:rsid w:val="000F71A0"/>
    <w:rsid w:val="000F7277"/>
    <w:rsid w:val="00100696"/>
    <w:rsid w:val="001007A6"/>
    <w:rsid w:val="001009CD"/>
    <w:rsid w:val="00100C35"/>
    <w:rsid w:val="001054A6"/>
    <w:rsid w:val="00106A6E"/>
    <w:rsid w:val="001076C7"/>
    <w:rsid w:val="00107D6C"/>
    <w:rsid w:val="00110180"/>
    <w:rsid w:val="00110557"/>
    <w:rsid w:val="00110A1D"/>
    <w:rsid w:val="00111528"/>
    <w:rsid w:val="00112EC0"/>
    <w:rsid w:val="0011318F"/>
    <w:rsid w:val="001138BA"/>
    <w:rsid w:val="0011426F"/>
    <w:rsid w:val="00115A56"/>
    <w:rsid w:val="001172B3"/>
    <w:rsid w:val="00117A33"/>
    <w:rsid w:val="00120559"/>
    <w:rsid w:val="001207AD"/>
    <w:rsid w:val="00120F67"/>
    <w:rsid w:val="00121177"/>
    <w:rsid w:val="00121B37"/>
    <w:rsid w:val="001227EB"/>
    <w:rsid w:val="00122DE3"/>
    <w:rsid w:val="00124D58"/>
    <w:rsid w:val="00124F79"/>
    <w:rsid w:val="00125082"/>
    <w:rsid w:val="00125232"/>
    <w:rsid w:val="00130050"/>
    <w:rsid w:val="0013164D"/>
    <w:rsid w:val="00131DBD"/>
    <w:rsid w:val="0013230C"/>
    <w:rsid w:val="00132FE2"/>
    <w:rsid w:val="0013334F"/>
    <w:rsid w:val="001340EC"/>
    <w:rsid w:val="00135F32"/>
    <w:rsid w:val="00136029"/>
    <w:rsid w:val="0013675C"/>
    <w:rsid w:val="0014036F"/>
    <w:rsid w:val="00140478"/>
    <w:rsid w:val="001404AF"/>
    <w:rsid w:val="00140F82"/>
    <w:rsid w:val="0014114D"/>
    <w:rsid w:val="00141497"/>
    <w:rsid w:val="0014158A"/>
    <w:rsid w:val="001417C2"/>
    <w:rsid w:val="00141856"/>
    <w:rsid w:val="0014203E"/>
    <w:rsid w:val="00143543"/>
    <w:rsid w:val="00143729"/>
    <w:rsid w:val="001445C9"/>
    <w:rsid w:val="001446F8"/>
    <w:rsid w:val="001447B1"/>
    <w:rsid w:val="001453AB"/>
    <w:rsid w:val="001464AF"/>
    <w:rsid w:val="001478F6"/>
    <w:rsid w:val="00147E09"/>
    <w:rsid w:val="00147E1D"/>
    <w:rsid w:val="00150C06"/>
    <w:rsid w:val="00150D70"/>
    <w:rsid w:val="00151C4B"/>
    <w:rsid w:val="00152551"/>
    <w:rsid w:val="00153F4C"/>
    <w:rsid w:val="001542FF"/>
    <w:rsid w:val="00155DC6"/>
    <w:rsid w:val="00156440"/>
    <w:rsid w:val="00157522"/>
    <w:rsid w:val="00157F35"/>
    <w:rsid w:val="001603C1"/>
    <w:rsid w:val="001606A1"/>
    <w:rsid w:val="00160B32"/>
    <w:rsid w:val="00160F67"/>
    <w:rsid w:val="0016209C"/>
    <w:rsid w:val="00162560"/>
    <w:rsid w:val="00163280"/>
    <w:rsid w:val="00163E98"/>
    <w:rsid w:val="0016456D"/>
    <w:rsid w:val="00165772"/>
    <w:rsid w:val="00167393"/>
    <w:rsid w:val="00167784"/>
    <w:rsid w:val="001678B0"/>
    <w:rsid w:val="00167E26"/>
    <w:rsid w:val="0017069F"/>
    <w:rsid w:val="0017082D"/>
    <w:rsid w:val="00170A40"/>
    <w:rsid w:val="00170CCA"/>
    <w:rsid w:val="00172447"/>
    <w:rsid w:val="00172A6C"/>
    <w:rsid w:val="00172E83"/>
    <w:rsid w:val="00172F0F"/>
    <w:rsid w:val="001734CA"/>
    <w:rsid w:val="001739A6"/>
    <w:rsid w:val="00174392"/>
    <w:rsid w:val="00174585"/>
    <w:rsid w:val="00175118"/>
    <w:rsid w:val="001763DC"/>
    <w:rsid w:val="00181459"/>
    <w:rsid w:val="0018163A"/>
    <w:rsid w:val="00183CE8"/>
    <w:rsid w:val="00185476"/>
    <w:rsid w:val="00185EC0"/>
    <w:rsid w:val="00186C2F"/>
    <w:rsid w:val="001870E1"/>
    <w:rsid w:val="00187253"/>
    <w:rsid w:val="00187740"/>
    <w:rsid w:val="00187C91"/>
    <w:rsid w:val="00190009"/>
    <w:rsid w:val="00190230"/>
    <w:rsid w:val="001905C2"/>
    <w:rsid w:val="0019076F"/>
    <w:rsid w:val="001911E0"/>
    <w:rsid w:val="00191D5A"/>
    <w:rsid w:val="0019553D"/>
    <w:rsid w:val="00195904"/>
    <w:rsid w:val="00195DC4"/>
    <w:rsid w:val="00195FF8"/>
    <w:rsid w:val="001967C2"/>
    <w:rsid w:val="00196B8F"/>
    <w:rsid w:val="00196D37"/>
    <w:rsid w:val="00196F7D"/>
    <w:rsid w:val="0019745A"/>
    <w:rsid w:val="001A03A1"/>
    <w:rsid w:val="001A1297"/>
    <w:rsid w:val="001A1396"/>
    <w:rsid w:val="001A1AC1"/>
    <w:rsid w:val="001A1E28"/>
    <w:rsid w:val="001A2A87"/>
    <w:rsid w:val="001A3C05"/>
    <w:rsid w:val="001A439E"/>
    <w:rsid w:val="001A473F"/>
    <w:rsid w:val="001A5018"/>
    <w:rsid w:val="001A5229"/>
    <w:rsid w:val="001A66A6"/>
    <w:rsid w:val="001A6F4F"/>
    <w:rsid w:val="001B0743"/>
    <w:rsid w:val="001B0841"/>
    <w:rsid w:val="001B1963"/>
    <w:rsid w:val="001B225F"/>
    <w:rsid w:val="001B2271"/>
    <w:rsid w:val="001B2706"/>
    <w:rsid w:val="001B3E3D"/>
    <w:rsid w:val="001B46EF"/>
    <w:rsid w:val="001B4B59"/>
    <w:rsid w:val="001B5B35"/>
    <w:rsid w:val="001B5C0A"/>
    <w:rsid w:val="001B5FEE"/>
    <w:rsid w:val="001B6B00"/>
    <w:rsid w:val="001B7321"/>
    <w:rsid w:val="001B744A"/>
    <w:rsid w:val="001B745D"/>
    <w:rsid w:val="001C0B32"/>
    <w:rsid w:val="001C221F"/>
    <w:rsid w:val="001C24D6"/>
    <w:rsid w:val="001C2A7C"/>
    <w:rsid w:val="001C320F"/>
    <w:rsid w:val="001C4256"/>
    <w:rsid w:val="001C42B9"/>
    <w:rsid w:val="001C500F"/>
    <w:rsid w:val="001C5905"/>
    <w:rsid w:val="001C65F7"/>
    <w:rsid w:val="001C73B1"/>
    <w:rsid w:val="001C747F"/>
    <w:rsid w:val="001C754B"/>
    <w:rsid w:val="001D0A1E"/>
    <w:rsid w:val="001D1293"/>
    <w:rsid w:val="001D4724"/>
    <w:rsid w:val="001D5906"/>
    <w:rsid w:val="001D5D30"/>
    <w:rsid w:val="001D69AE"/>
    <w:rsid w:val="001D6ADE"/>
    <w:rsid w:val="001D7A12"/>
    <w:rsid w:val="001E0139"/>
    <w:rsid w:val="001E16D8"/>
    <w:rsid w:val="001E2E66"/>
    <w:rsid w:val="001E48BD"/>
    <w:rsid w:val="001E5735"/>
    <w:rsid w:val="001E6104"/>
    <w:rsid w:val="001E6694"/>
    <w:rsid w:val="001E6F7D"/>
    <w:rsid w:val="001F07E3"/>
    <w:rsid w:val="001F0AC7"/>
    <w:rsid w:val="001F0F6E"/>
    <w:rsid w:val="001F17E3"/>
    <w:rsid w:val="001F1977"/>
    <w:rsid w:val="001F29CB"/>
    <w:rsid w:val="001F37D4"/>
    <w:rsid w:val="001F3D8E"/>
    <w:rsid w:val="001F3F0B"/>
    <w:rsid w:val="001F49BF"/>
    <w:rsid w:val="001F50FA"/>
    <w:rsid w:val="001F7C96"/>
    <w:rsid w:val="00201890"/>
    <w:rsid w:val="002031C6"/>
    <w:rsid w:val="002033AA"/>
    <w:rsid w:val="00203909"/>
    <w:rsid w:val="00204153"/>
    <w:rsid w:val="0020452D"/>
    <w:rsid w:val="00205D0A"/>
    <w:rsid w:val="00205E90"/>
    <w:rsid w:val="00207B86"/>
    <w:rsid w:val="00207EC7"/>
    <w:rsid w:val="00207F25"/>
    <w:rsid w:val="00210069"/>
    <w:rsid w:val="00210635"/>
    <w:rsid w:val="002106E0"/>
    <w:rsid w:val="0021274E"/>
    <w:rsid w:val="002128E8"/>
    <w:rsid w:val="0021294E"/>
    <w:rsid w:val="00212B4E"/>
    <w:rsid w:val="002159CE"/>
    <w:rsid w:val="0021623E"/>
    <w:rsid w:val="002201ED"/>
    <w:rsid w:val="00221773"/>
    <w:rsid w:val="00221858"/>
    <w:rsid w:val="0022193E"/>
    <w:rsid w:val="002219AD"/>
    <w:rsid w:val="00223A68"/>
    <w:rsid w:val="00225CFF"/>
    <w:rsid w:val="00227555"/>
    <w:rsid w:val="00230B8E"/>
    <w:rsid w:val="00232766"/>
    <w:rsid w:val="00234069"/>
    <w:rsid w:val="002343FE"/>
    <w:rsid w:val="00234950"/>
    <w:rsid w:val="00234BF3"/>
    <w:rsid w:val="0023730A"/>
    <w:rsid w:val="00237786"/>
    <w:rsid w:val="00237D32"/>
    <w:rsid w:val="00237F51"/>
    <w:rsid w:val="002400DE"/>
    <w:rsid w:val="00241785"/>
    <w:rsid w:val="00241913"/>
    <w:rsid w:val="00242382"/>
    <w:rsid w:val="00242BF9"/>
    <w:rsid w:val="00242C76"/>
    <w:rsid w:val="002431C1"/>
    <w:rsid w:val="002450EC"/>
    <w:rsid w:val="002453E7"/>
    <w:rsid w:val="00245818"/>
    <w:rsid w:val="002467EE"/>
    <w:rsid w:val="00246A8F"/>
    <w:rsid w:val="00246AB0"/>
    <w:rsid w:val="00246EA2"/>
    <w:rsid w:val="002471DE"/>
    <w:rsid w:val="00247948"/>
    <w:rsid w:val="00250686"/>
    <w:rsid w:val="00250B81"/>
    <w:rsid w:val="00250C99"/>
    <w:rsid w:val="00251C05"/>
    <w:rsid w:val="00252487"/>
    <w:rsid w:val="00252A6A"/>
    <w:rsid w:val="00253E65"/>
    <w:rsid w:val="002547A0"/>
    <w:rsid w:val="002577F6"/>
    <w:rsid w:val="00257E5A"/>
    <w:rsid w:val="002602BD"/>
    <w:rsid w:val="00260865"/>
    <w:rsid w:val="00262DC8"/>
    <w:rsid w:val="00263D09"/>
    <w:rsid w:val="00263E79"/>
    <w:rsid w:val="00265BE3"/>
    <w:rsid w:val="00266954"/>
    <w:rsid w:val="00266F00"/>
    <w:rsid w:val="002671F6"/>
    <w:rsid w:val="00267523"/>
    <w:rsid w:val="00267BC6"/>
    <w:rsid w:val="00267EAF"/>
    <w:rsid w:val="00270302"/>
    <w:rsid w:val="0027118B"/>
    <w:rsid w:val="0027139E"/>
    <w:rsid w:val="00271CB3"/>
    <w:rsid w:val="0027222A"/>
    <w:rsid w:val="002730F2"/>
    <w:rsid w:val="00273A22"/>
    <w:rsid w:val="00275D67"/>
    <w:rsid w:val="0027634E"/>
    <w:rsid w:val="0027679B"/>
    <w:rsid w:val="00276E0B"/>
    <w:rsid w:val="00281675"/>
    <w:rsid w:val="0028235B"/>
    <w:rsid w:val="00284945"/>
    <w:rsid w:val="002854DB"/>
    <w:rsid w:val="002867FC"/>
    <w:rsid w:val="00287C0A"/>
    <w:rsid w:val="00290A79"/>
    <w:rsid w:val="00291AFD"/>
    <w:rsid w:val="00291AFF"/>
    <w:rsid w:val="002927F6"/>
    <w:rsid w:val="00293F45"/>
    <w:rsid w:val="002942D2"/>
    <w:rsid w:val="0029504C"/>
    <w:rsid w:val="0029547C"/>
    <w:rsid w:val="002958FE"/>
    <w:rsid w:val="0029670A"/>
    <w:rsid w:val="00297B45"/>
    <w:rsid w:val="002A0CA7"/>
    <w:rsid w:val="002A10F4"/>
    <w:rsid w:val="002A2461"/>
    <w:rsid w:val="002A4045"/>
    <w:rsid w:val="002A42A2"/>
    <w:rsid w:val="002A434C"/>
    <w:rsid w:val="002A45BB"/>
    <w:rsid w:val="002A49BA"/>
    <w:rsid w:val="002A4A9C"/>
    <w:rsid w:val="002A5955"/>
    <w:rsid w:val="002A59DE"/>
    <w:rsid w:val="002A6005"/>
    <w:rsid w:val="002A6625"/>
    <w:rsid w:val="002B167E"/>
    <w:rsid w:val="002B1CDE"/>
    <w:rsid w:val="002B2A77"/>
    <w:rsid w:val="002B35B4"/>
    <w:rsid w:val="002B4323"/>
    <w:rsid w:val="002B4A42"/>
    <w:rsid w:val="002B54BA"/>
    <w:rsid w:val="002B5DC8"/>
    <w:rsid w:val="002B748E"/>
    <w:rsid w:val="002B7ACE"/>
    <w:rsid w:val="002B7CA9"/>
    <w:rsid w:val="002C0777"/>
    <w:rsid w:val="002C0C2E"/>
    <w:rsid w:val="002C1065"/>
    <w:rsid w:val="002C1FA2"/>
    <w:rsid w:val="002C294E"/>
    <w:rsid w:val="002C2EC0"/>
    <w:rsid w:val="002C35A2"/>
    <w:rsid w:val="002C4AC8"/>
    <w:rsid w:val="002C68BC"/>
    <w:rsid w:val="002C73C3"/>
    <w:rsid w:val="002D0076"/>
    <w:rsid w:val="002D0FE4"/>
    <w:rsid w:val="002D1194"/>
    <w:rsid w:val="002D11BB"/>
    <w:rsid w:val="002D12AE"/>
    <w:rsid w:val="002D131E"/>
    <w:rsid w:val="002D1FA9"/>
    <w:rsid w:val="002D205F"/>
    <w:rsid w:val="002D29B0"/>
    <w:rsid w:val="002D322F"/>
    <w:rsid w:val="002D3244"/>
    <w:rsid w:val="002D35CA"/>
    <w:rsid w:val="002D3F56"/>
    <w:rsid w:val="002D6585"/>
    <w:rsid w:val="002D6A50"/>
    <w:rsid w:val="002D7A27"/>
    <w:rsid w:val="002E0A2C"/>
    <w:rsid w:val="002E0ED7"/>
    <w:rsid w:val="002E2280"/>
    <w:rsid w:val="002E235C"/>
    <w:rsid w:val="002E25D7"/>
    <w:rsid w:val="002E3174"/>
    <w:rsid w:val="002E3FC9"/>
    <w:rsid w:val="002E484E"/>
    <w:rsid w:val="002E4D2C"/>
    <w:rsid w:val="002E5955"/>
    <w:rsid w:val="002E6242"/>
    <w:rsid w:val="002E63C3"/>
    <w:rsid w:val="002E6444"/>
    <w:rsid w:val="002E6466"/>
    <w:rsid w:val="002E675A"/>
    <w:rsid w:val="002E6B03"/>
    <w:rsid w:val="002E6FDF"/>
    <w:rsid w:val="002E7E0C"/>
    <w:rsid w:val="002F0882"/>
    <w:rsid w:val="002F0AE2"/>
    <w:rsid w:val="002F1335"/>
    <w:rsid w:val="002F22B7"/>
    <w:rsid w:val="002F38A3"/>
    <w:rsid w:val="002F3EA1"/>
    <w:rsid w:val="002F42EB"/>
    <w:rsid w:val="002F5EBD"/>
    <w:rsid w:val="002F5FE8"/>
    <w:rsid w:val="002F6142"/>
    <w:rsid w:val="002F6616"/>
    <w:rsid w:val="002F79E2"/>
    <w:rsid w:val="002F7A2C"/>
    <w:rsid w:val="00301726"/>
    <w:rsid w:val="00302171"/>
    <w:rsid w:val="00302308"/>
    <w:rsid w:val="003037B6"/>
    <w:rsid w:val="00303A92"/>
    <w:rsid w:val="00303D0D"/>
    <w:rsid w:val="00304DE1"/>
    <w:rsid w:val="00305E31"/>
    <w:rsid w:val="00306EFC"/>
    <w:rsid w:val="0030764E"/>
    <w:rsid w:val="00307662"/>
    <w:rsid w:val="003106D1"/>
    <w:rsid w:val="00311FE3"/>
    <w:rsid w:val="00312871"/>
    <w:rsid w:val="003130B5"/>
    <w:rsid w:val="00313774"/>
    <w:rsid w:val="0031552E"/>
    <w:rsid w:val="00315869"/>
    <w:rsid w:val="0031601E"/>
    <w:rsid w:val="00317E68"/>
    <w:rsid w:val="00320F9E"/>
    <w:rsid w:val="00320FD1"/>
    <w:rsid w:val="003227F1"/>
    <w:rsid w:val="00324826"/>
    <w:rsid w:val="00325272"/>
    <w:rsid w:val="00325D48"/>
    <w:rsid w:val="0032731B"/>
    <w:rsid w:val="00330793"/>
    <w:rsid w:val="003320D9"/>
    <w:rsid w:val="003345A8"/>
    <w:rsid w:val="00334C61"/>
    <w:rsid w:val="0034096B"/>
    <w:rsid w:val="00341949"/>
    <w:rsid w:val="00342A97"/>
    <w:rsid w:val="00343326"/>
    <w:rsid w:val="003505BB"/>
    <w:rsid w:val="00350B25"/>
    <w:rsid w:val="00350BB0"/>
    <w:rsid w:val="0035176F"/>
    <w:rsid w:val="00352780"/>
    <w:rsid w:val="0035295F"/>
    <w:rsid w:val="00352A6E"/>
    <w:rsid w:val="00353492"/>
    <w:rsid w:val="00355377"/>
    <w:rsid w:val="00355B28"/>
    <w:rsid w:val="00356651"/>
    <w:rsid w:val="00356F7A"/>
    <w:rsid w:val="00357E39"/>
    <w:rsid w:val="00360106"/>
    <w:rsid w:val="003603B5"/>
    <w:rsid w:val="003607FB"/>
    <w:rsid w:val="00361685"/>
    <w:rsid w:val="003618EE"/>
    <w:rsid w:val="003619E4"/>
    <w:rsid w:val="00361C44"/>
    <w:rsid w:val="003621EC"/>
    <w:rsid w:val="00362AA2"/>
    <w:rsid w:val="00362ED8"/>
    <w:rsid w:val="00364BAB"/>
    <w:rsid w:val="003658D8"/>
    <w:rsid w:val="003669F5"/>
    <w:rsid w:val="00366CE0"/>
    <w:rsid w:val="00367E73"/>
    <w:rsid w:val="003708B3"/>
    <w:rsid w:val="00370A54"/>
    <w:rsid w:val="00370AB5"/>
    <w:rsid w:val="00371710"/>
    <w:rsid w:val="00373D7B"/>
    <w:rsid w:val="00374066"/>
    <w:rsid w:val="003743E7"/>
    <w:rsid w:val="0037560C"/>
    <w:rsid w:val="00376ABF"/>
    <w:rsid w:val="0037745E"/>
    <w:rsid w:val="00380585"/>
    <w:rsid w:val="0038145D"/>
    <w:rsid w:val="00381507"/>
    <w:rsid w:val="003838C1"/>
    <w:rsid w:val="003850A8"/>
    <w:rsid w:val="00385256"/>
    <w:rsid w:val="00386588"/>
    <w:rsid w:val="003867FB"/>
    <w:rsid w:val="003875DF"/>
    <w:rsid w:val="003902DA"/>
    <w:rsid w:val="00390637"/>
    <w:rsid w:val="00390E79"/>
    <w:rsid w:val="0039157A"/>
    <w:rsid w:val="003924FC"/>
    <w:rsid w:val="00392FD7"/>
    <w:rsid w:val="00393E3B"/>
    <w:rsid w:val="00393F92"/>
    <w:rsid w:val="00396617"/>
    <w:rsid w:val="00397418"/>
    <w:rsid w:val="003A1C99"/>
    <w:rsid w:val="003A3182"/>
    <w:rsid w:val="003A3268"/>
    <w:rsid w:val="003A44D2"/>
    <w:rsid w:val="003A4C97"/>
    <w:rsid w:val="003A68CD"/>
    <w:rsid w:val="003A70C1"/>
    <w:rsid w:val="003B0134"/>
    <w:rsid w:val="003B0A15"/>
    <w:rsid w:val="003B199F"/>
    <w:rsid w:val="003B1E77"/>
    <w:rsid w:val="003B29B9"/>
    <w:rsid w:val="003B31E3"/>
    <w:rsid w:val="003B42C7"/>
    <w:rsid w:val="003B46DA"/>
    <w:rsid w:val="003B4BE6"/>
    <w:rsid w:val="003B56C8"/>
    <w:rsid w:val="003B5BAF"/>
    <w:rsid w:val="003C0323"/>
    <w:rsid w:val="003C0F05"/>
    <w:rsid w:val="003C1605"/>
    <w:rsid w:val="003C3A44"/>
    <w:rsid w:val="003C421A"/>
    <w:rsid w:val="003C45EC"/>
    <w:rsid w:val="003C75EC"/>
    <w:rsid w:val="003D0A28"/>
    <w:rsid w:val="003D4B9C"/>
    <w:rsid w:val="003D4CC9"/>
    <w:rsid w:val="003E00A4"/>
    <w:rsid w:val="003E1CAE"/>
    <w:rsid w:val="003E2677"/>
    <w:rsid w:val="003E2EF8"/>
    <w:rsid w:val="003E4248"/>
    <w:rsid w:val="003E4346"/>
    <w:rsid w:val="003E466A"/>
    <w:rsid w:val="003E627D"/>
    <w:rsid w:val="003E63F5"/>
    <w:rsid w:val="003E775B"/>
    <w:rsid w:val="003E78A6"/>
    <w:rsid w:val="003F0CF0"/>
    <w:rsid w:val="003F3C2E"/>
    <w:rsid w:val="003F3E80"/>
    <w:rsid w:val="003F3EE6"/>
    <w:rsid w:val="003F43B2"/>
    <w:rsid w:val="003F44BB"/>
    <w:rsid w:val="003F472F"/>
    <w:rsid w:val="003F50D0"/>
    <w:rsid w:val="003F5745"/>
    <w:rsid w:val="003F75B3"/>
    <w:rsid w:val="003F7D44"/>
    <w:rsid w:val="00400460"/>
    <w:rsid w:val="00400CFF"/>
    <w:rsid w:val="0040186B"/>
    <w:rsid w:val="00401E15"/>
    <w:rsid w:val="00401F9F"/>
    <w:rsid w:val="004036C7"/>
    <w:rsid w:val="00403FE0"/>
    <w:rsid w:val="004052E0"/>
    <w:rsid w:val="00406A63"/>
    <w:rsid w:val="00406B0C"/>
    <w:rsid w:val="0040708C"/>
    <w:rsid w:val="0041050C"/>
    <w:rsid w:val="00410783"/>
    <w:rsid w:val="00411D7F"/>
    <w:rsid w:val="0041212E"/>
    <w:rsid w:val="00412456"/>
    <w:rsid w:val="00412619"/>
    <w:rsid w:val="00412887"/>
    <w:rsid w:val="00413B4E"/>
    <w:rsid w:val="00413DF5"/>
    <w:rsid w:val="00413F48"/>
    <w:rsid w:val="00414207"/>
    <w:rsid w:val="004145E3"/>
    <w:rsid w:val="00414D8E"/>
    <w:rsid w:val="00414FB7"/>
    <w:rsid w:val="00415EBE"/>
    <w:rsid w:val="00416BC9"/>
    <w:rsid w:val="00416F64"/>
    <w:rsid w:val="0041708E"/>
    <w:rsid w:val="00417170"/>
    <w:rsid w:val="004176D4"/>
    <w:rsid w:val="00417A13"/>
    <w:rsid w:val="00423678"/>
    <w:rsid w:val="004237FF"/>
    <w:rsid w:val="00423BB4"/>
    <w:rsid w:val="004250EF"/>
    <w:rsid w:val="00425F43"/>
    <w:rsid w:val="00426206"/>
    <w:rsid w:val="00427BFD"/>
    <w:rsid w:val="00427C43"/>
    <w:rsid w:val="00427CD7"/>
    <w:rsid w:val="00427D58"/>
    <w:rsid w:val="00430847"/>
    <w:rsid w:val="004308DF"/>
    <w:rsid w:val="00431466"/>
    <w:rsid w:val="004317DB"/>
    <w:rsid w:val="00432920"/>
    <w:rsid w:val="00433C31"/>
    <w:rsid w:val="00433ED3"/>
    <w:rsid w:val="00434A01"/>
    <w:rsid w:val="004358AA"/>
    <w:rsid w:val="00435EF8"/>
    <w:rsid w:val="004361CF"/>
    <w:rsid w:val="0043700C"/>
    <w:rsid w:val="004400FE"/>
    <w:rsid w:val="00440435"/>
    <w:rsid w:val="0044230F"/>
    <w:rsid w:val="0044423B"/>
    <w:rsid w:val="00444944"/>
    <w:rsid w:val="0044508D"/>
    <w:rsid w:val="004452B2"/>
    <w:rsid w:val="0044573C"/>
    <w:rsid w:val="004459B6"/>
    <w:rsid w:val="00446B3B"/>
    <w:rsid w:val="00447954"/>
    <w:rsid w:val="00447F42"/>
    <w:rsid w:val="0045019F"/>
    <w:rsid w:val="0045148E"/>
    <w:rsid w:val="00451919"/>
    <w:rsid w:val="00451E5F"/>
    <w:rsid w:val="00452701"/>
    <w:rsid w:val="00452DD2"/>
    <w:rsid w:val="00453880"/>
    <w:rsid w:val="004538FD"/>
    <w:rsid w:val="00453CDB"/>
    <w:rsid w:val="00454282"/>
    <w:rsid w:val="0045650C"/>
    <w:rsid w:val="004566AF"/>
    <w:rsid w:val="004569BA"/>
    <w:rsid w:val="00456D47"/>
    <w:rsid w:val="00456D72"/>
    <w:rsid w:val="004576B9"/>
    <w:rsid w:val="00457768"/>
    <w:rsid w:val="004579D9"/>
    <w:rsid w:val="00460AE1"/>
    <w:rsid w:val="004614E4"/>
    <w:rsid w:val="00462C1D"/>
    <w:rsid w:val="00463885"/>
    <w:rsid w:val="004650A0"/>
    <w:rsid w:val="00465F15"/>
    <w:rsid w:val="00465FEF"/>
    <w:rsid w:val="00466BF0"/>
    <w:rsid w:val="004674D7"/>
    <w:rsid w:val="004709A9"/>
    <w:rsid w:val="00470B55"/>
    <w:rsid w:val="00470C8B"/>
    <w:rsid w:val="00471316"/>
    <w:rsid w:val="00472D07"/>
    <w:rsid w:val="00473A4E"/>
    <w:rsid w:val="00475BB0"/>
    <w:rsid w:val="0047656F"/>
    <w:rsid w:val="00476EC2"/>
    <w:rsid w:val="00477BC6"/>
    <w:rsid w:val="00477E53"/>
    <w:rsid w:val="00480231"/>
    <w:rsid w:val="004805F4"/>
    <w:rsid w:val="00480D92"/>
    <w:rsid w:val="0048137E"/>
    <w:rsid w:val="00482819"/>
    <w:rsid w:val="004844B8"/>
    <w:rsid w:val="00484DC2"/>
    <w:rsid w:val="004858F4"/>
    <w:rsid w:val="00487D76"/>
    <w:rsid w:val="004904A1"/>
    <w:rsid w:val="004904E6"/>
    <w:rsid w:val="00490BEA"/>
    <w:rsid w:val="004910BB"/>
    <w:rsid w:val="004952DB"/>
    <w:rsid w:val="00495434"/>
    <w:rsid w:val="00495A87"/>
    <w:rsid w:val="004969D5"/>
    <w:rsid w:val="00497444"/>
    <w:rsid w:val="004A139F"/>
    <w:rsid w:val="004A170E"/>
    <w:rsid w:val="004A1C93"/>
    <w:rsid w:val="004A206F"/>
    <w:rsid w:val="004A27AE"/>
    <w:rsid w:val="004A32CE"/>
    <w:rsid w:val="004A51E2"/>
    <w:rsid w:val="004A5229"/>
    <w:rsid w:val="004A62D5"/>
    <w:rsid w:val="004A6EA0"/>
    <w:rsid w:val="004A7833"/>
    <w:rsid w:val="004B0EB4"/>
    <w:rsid w:val="004B1B1D"/>
    <w:rsid w:val="004B1C74"/>
    <w:rsid w:val="004B1F07"/>
    <w:rsid w:val="004B298F"/>
    <w:rsid w:val="004B319B"/>
    <w:rsid w:val="004B362F"/>
    <w:rsid w:val="004B3B1B"/>
    <w:rsid w:val="004B4385"/>
    <w:rsid w:val="004B4673"/>
    <w:rsid w:val="004B47E3"/>
    <w:rsid w:val="004B5251"/>
    <w:rsid w:val="004B5DBB"/>
    <w:rsid w:val="004B7C27"/>
    <w:rsid w:val="004C031C"/>
    <w:rsid w:val="004C0491"/>
    <w:rsid w:val="004C050E"/>
    <w:rsid w:val="004C25FB"/>
    <w:rsid w:val="004C455D"/>
    <w:rsid w:val="004C4E7C"/>
    <w:rsid w:val="004C54E6"/>
    <w:rsid w:val="004C7843"/>
    <w:rsid w:val="004C7EC8"/>
    <w:rsid w:val="004D161F"/>
    <w:rsid w:val="004D2562"/>
    <w:rsid w:val="004D2711"/>
    <w:rsid w:val="004D45FB"/>
    <w:rsid w:val="004D488A"/>
    <w:rsid w:val="004D6D45"/>
    <w:rsid w:val="004D7042"/>
    <w:rsid w:val="004E03FC"/>
    <w:rsid w:val="004E21BE"/>
    <w:rsid w:val="004E2D24"/>
    <w:rsid w:val="004E316C"/>
    <w:rsid w:val="004E4244"/>
    <w:rsid w:val="004E439D"/>
    <w:rsid w:val="004E54D2"/>
    <w:rsid w:val="004E582C"/>
    <w:rsid w:val="004E5A56"/>
    <w:rsid w:val="004E6B52"/>
    <w:rsid w:val="004E76C5"/>
    <w:rsid w:val="004E7760"/>
    <w:rsid w:val="004E78C6"/>
    <w:rsid w:val="004F0258"/>
    <w:rsid w:val="004F2BD0"/>
    <w:rsid w:val="004F3212"/>
    <w:rsid w:val="004F5389"/>
    <w:rsid w:val="004F58CF"/>
    <w:rsid w:val="004F5B3B"/>
    <w:rsid w:val="004F6F5B"/>
    <w:rsid w:val="004F76C8"/>
    <w:rsid w:val="0050004B"/>
    <w:rsid w:val="0050058A"/>
    <w:rsid w:val="00500907"/>
    <w:rsid w:val="00502A7C"/>
    <w:rsid w:val="00502A91"/>
    <w:rsid w:val="005041CE"/>
    <w:rsid w:val="005046EA"/>
    <w:rsid w:val="00504EE6"/>
    <w:rsid w:val="0050784B"/>
    <w:rsid w:val="00510279"/>
    <w:rsid w:val="00511070"/>
    <w:rsid w:val="005130D9"/>
    <w:rsid w:val="0051531D"/>
    <w:rsid w:val="00515C40"/>
    <w:rsid w:val="005166A0"/>
    <w:rsid w:val="00516DC8"/>
    <w:rsid w:val="00516F88"/>
    <w:rsid w:val="00517320"/>
    <w:rsid w:val="00520EFF"/>
    <w:rsid w:val="0052191F"/>
    <w:rsid w:val="005242F4"/>
    <w:rsid w:val="005246D5"/>
    <w:rsid w:val="00524F3C"/>
    <w:rsid w:val="005250D0"/>
    <w:rsid w:val="00526370"/>
    <w:rsid w:val="00527154"/>
    <w:rsid w:val="005300A6"/>
    <w:rsid w:val="00530A85"/>
    <w:rsid w:val="005310BD"/>
    <w:rsid w:val="0053197A"/>
    <w:rsid w:val="00531B0C"/>
    <w:rsid w:val="00531B24"/>
    <w:rsid w:val="00532425"/>
    <w:rsid w:val="00532922"/>
    <w:rsid w:val="00532D59"/>
    <w:rsid w:val="00533D14"/>
    <w:rsid w:val="00534242"/>
    <w:rsid w:val="0053425A"/>
    <w:rsid w:val="00534687"/>
    <w:rsid w:val="005347B6"/>
    <w:rsid w:val="005354C1"/>
    <w:rsid w:val="00535776"/>
    <w:rsid w:val="0053655B"/>
    <w:rsid w:val="00536EE2"/>
    <w:rsid w:val="00536EE8"/>
    <w:rsid w:val="00536FA4"/>
    <w:rsid w:val="00540057"/>
    <w:rsid w:val="0054230B"/>
    <w:rsid w:val="00543DDA"/>
    <w:rsid w:val="00543E8D"/>
    <w:rsid w:val="00544CDE"/>
    <w:rsid w:val="00546BAA"/>
    <w:rsid w:val="00547690"/>
    <w:rsid w:val="00547843"/>
    <w:rsid w:val="00547B06"/>
    <w:rsid w:val="005502C2"/>
    <w:rsid w:val="00550C0C"/>
    <w:rsid w:val="005526B4"/>
    <w:rsid w:val="00553275"/>
    <w:rsid w:val="0055341C"/>
    <w:rsid w:val="00554600"/>
    <w:rsid w:val="00554B98"/>
    <w:rsid w:val="00555740"/>
    <w:rsid w:val="00561887"/>
    <w:rsid w:val="00563196"/>
    <w:rsid w:val="00563AC1"/>
    <w:rsid w:val="00563B29"/>
    <w:rsid w:val="0056444A"/>
    <w:rsid w:val="00564538"/>
    <w:rsid w:val="00566BC6"/>
    <w:rsid w:val="0057001D"/>
    <w:rsid w:val="00570862"/>
    <w:rsid w:val="00570CBC"/>
    <w:rsid w:val="00571678"/>
    <w:rsid w:val="0057179B"/>
    <w:rsid w:val="00571825"/>
    <w:rsid w:val="0057199F"/>
    <w:rsid w:val="005729F8"/>
    <w:rsid w:val="00574661"/>
    <w:rsid w:val="00575418"/>
    <w:rsid w:val="00575D0B"/>
    <w:rsid w:val="0057639D"/>
    <w:rsid w:val="0057742C"/>
    <w:rsid w:val="00580142"/>
    <w:rsid w:val="00582195"/>
    <w:rsid w:val="005823BA"/>
    <w:rsid w:val="00582E5F"/>
    <w:rsid w:val="00584296"/>
    <w:rsid w:val="005858B0"/>
    <w:rsid w:val="005858BC"/>
    <w:rsid w:val="005870CA"/>
    <w:rsid w:val="00590240"/>
    <w:rsid w:val="00590CE1"/>
    <w:rsid w:val="00591B45"/>
    <w:rsid w:val="00591B76"/>
    <w:rsid w:val="00591F64"/>
    <w:rsid w:val="00592DDD"/>
    <w:rsid w:val="005930B3"/>
    <w:rsid w:val="0059564B"/>
    <w:rsid w:val="00596094"/>
    <w:rsid w:val="005963CC"/>
    <w:rsid w:val="005969FE"/>
    <w:rsid w:val="0059705D"/>
    <w:rsid w:val="005971CF"/>
    <w:rsid w:val="00597960"/>
    <w:rsid w:val="005A0255"/>
    <w:rsid w:val="005A11EA"/>
    <w:rsid w:val="005A2EDF"/>
    <w:rsid w:val="005A397C"/>
    <w:rsid w:val="005A41FD"/>
    <w:rsid w:val="005A434E"/>
    <w:rsid w:val="005A52C0"/>
    <w:rsid w:val="005A6F25"/>
    <w:rsid w:val="005B021D"/>
    <w:rsid w:val="005B0982"/>
    <w:rsid w:val="005B215F"/>
    <w:rsid w:val="005B397B"/>
    <w:rsid w:val="005B3A9A"/>
    <w:rsid w:val="005B41EA"/>
    <w:rsid w:val="005B4713"/>
    <w:rsid w:val="005B49D8"/>
    <w:rsid w:val="005B4B7F"/>
    <w:rsid w:val="005B6D4B"/>
    <w:rsid w:val="005B725A"/>
    <w:rsid w:val="005C0737"/>
    <w:rsid w:val="005C1558"/>
    <w:rsid w:val="005C276A"/>
    <w:rsid w:val="005C2F12"/>
    <w:rsid w:val="005C2F3E"/>
    <w:rsid w:val="005C32AD"/>
    <w:rsid w:val="005C3E23"/>
    <w:rsid w:val="005C3E25"/>
    <w:rsid w:val="005C4F40"/>
    <w:rsid w:val="005C52D7"/>
    <w:rsid w:val="005C5A7A"/>
    <w:rsid w:val="005D0079"/>
    <w:rsid w:val="005D162A"/>
    <w:rsid w:val="005D1C0F"/>
    <w:rsid w:val="005D1DF7"/>
    <w:rsid w:val="005D2419"/>
    <w:rsid w:val="005D30F3"/>
    <w:rsid w:val="005D3A44"/>
    <w:rsid w:val="005D3D19"/>
    <w:rsid w:val="005D4D0A"/>
    <w:rsid w:val="005D504B"/>
    <w:rsid w:val="005D6CDD"/>
    <w:rsid w:val="005D7102"/>
    <w:rsid w:val="005E3F9A"/>
    <w:rsid w:val="005E4C30"/>
    <w:rsid w:val="005E5360"/>
    <w:rsid w:val="005E5939"/>
    <w:rsid w:val="005E6D67"/>
    <w:rsid w:val="005F10DA"/>
    <w:rsid w:val="005F2D02"/>
    <w:rsid w:val="005F313C"/>
    <w:rsid w:val="005F38C8"/>
    <w:rsid w:val="005F3C7E"/>
    <w:rsid w:val="005F41AE"/>
    <w:rsid w:val="005F5654"/>
    <w:rsid w:val="005F59C4"/>
    <w:rsid w:val="005F729D"/>
    <w:rsid w:val="005F75A2"/>
    <w:rsid w:val="005F7F06"/>
    <w:rsid w:val="006002E1"/>
    <w:rsid w:val="0060056C"/>
    <w:rsid w:val="00602761"/>
    <w:rsid w:val="00602B53"/>
    <w:rsid w:val="00605CD8"/>
    <w:rsid w:val="0060747C"/>
    <w:rsid w:val="00607C39"/>
    <w:rsid w:val="00610EBF"/>
    <w:rsid w:val="006129C4"/>
    <w:rsid w:val="00612A9A"/>
    <w:rsid w:val="00613685"/>
    <w:rsid w:val="00614431"/>
    <w:rsid w:val="00614776"/>
    <w:rsid w:val="006166A9"/>
    <w:rsid w:val="00616DC7"/>
    <w:rsid w:val="00616F74"/>
    <w:rsid w:val="00617293"/>
    <w:rsid w:val="006212C9"/>
    <w:rsid w:val="00621F60"/>
    <w:rsid w:val="0062237C"/>
    <w:rsid w:val="00623FAF"/>
    <w:rsid w:val="006249AC"/>
    <w:rsid w:val="00625902"/>
    <w:rsid w:val="00626B57"/>
    <w:rsid w:val="00626D73"/>
    <w:rsid w:val="0063090A"/>
    <w:rsid w:val="00630F59"/>
    <w:rsid w:val="00631B8E"/>
    <w:rsid w:val="006326C3"/>
    <w:rsid w:val="00632E11"/>
    <w:rsid w:val="006342DF"/>
    <w:rsid w:val="00640564"/>
    <w:rsid w:val="00640598"/>
    <w:rsid w:val="0064088D"/>
    <w:rsid w:val="00640CD8"/>
    <w:rsid w:val="00642081"/>
    <w:rsid w:val="0064219B"/>
    <w:rsid w:val="00642389"/>
    <w:rsid w:val="006425F5"/>
    <w:rsid w:val="0064337B"/>
    <w:rsid w:val="006433E2"/>
    <w:rsid w:val="00643950"/>
    <w:rsid w:val="0064425B"/>
    <w:rsid w:val="00644D77"/>
    <w:rsid w:val="00644F7F"/>
    <w:rsid w:val="0064648C"/>
    <w:rsid w:val="00646D19"/>
    <w:rsid w:val="00647EDD"/>
    <w:rsid w:val="006509C3"/>
    <w:rsid w:val="00651636"/>
    <w:rsid w:val="00651A70"/>
    <w:rsid w:val="00652D79"/>
    <w:rsid w:val="006539F0"/>
    <w:rsid w:val="00654050"/>
    <w:rsid w:val="00654511"/>
    <w:rsid w:val="00654B9D"/>
    <w:rsid w:val="00655297"/>
    <w:rsid w:val="006552E1"/>
    <w:rsid w:val="006559D4"/>
    <w:rsid w:val="006561CC"/>
    <w:rsid w:val="006567D5"/>
    <w:rsid w:val="0066052B"/>
    <w:rsid w:val="006605C6"/>
    <w:rsid w:val="00662E5E"/>
    <w:rsid w:val="0066377D"/>
    <w:rsid w:val="006650C8"/>
    <w:rsid w:val="006659BB"/>
    <w:rsid w:val="00665DE5"/>
    <w:rsid w:val="00665F15"/>
    <w:rsid w:val="00666C40"/>
    <w:rsid w:val="00667850"/>
    <w:rsid w:val="00667E3C"/>
    <w:rsid w:val="00667EAB"/>
    <w:rsid w:val="00670379"/>
    <w:rsid w:val="006707A2"/>
    <w:rsid w:val="00670B3D"/>
    <w:rsid w:val="00673735"/>
    <w:rsid w:val="00674219"/>
    <w:rsid w:val="00674284"/>
    <w:rsid w:val="00674EAF"/>
    <w:rsid w:val="00674F5E"/>
    <w:rsid w:val="0067538F"/>
    <w:rsid w:val="00676E70"/>
    <w:rsid w:val="00677E8B"/>
    <w:rsid w:val="00680496"/>
    <w:rsid w:val="00680C90"/>
    <w:rsid w:val="00681765"/>
    <w:rsid w:val="00682B60"/>
    <w:rsid w:val="00682F38"/>
    <w:rsid w:val="00684F60"/>
    <w:rsid w:val="006850A5"/>
    <w:rsid w:val="006855A7"/>
    <w:rsid w:val="00685FCF"/>
    <w:rsid w:val="006860A2"/>
    <w:rsid w:val="0068629F"/>
    <w:rsid w:val="006863CF"/>
    <w:rsid w:val="00687188"/>
    <w:rsid w:val="00690134"/>
    <w:rsid w:val="00690347"/>
    <w:rsid w:val="00691207"/>
    <w:rsid w:val="0069144F"/>
    <w:rsid w:val="0069151D"/>
    <w:rsid w:val="0069166B"/>
    <w:rsid w:val="006923A1"/>
    <w:rsid w:val="00692A89"/>
    <w:rsid w:val="00694E02"/>
    <w:rsid w:val="00695012"/>
    <w:rsid w:val="00695E28"/>
    <w:rsid w:val="00696972"/>
    <w:rsid w:val="00696E6F"/>
    <w:rsid w:val="006975D2"/>
    <w:rsid w:val="006A0CD1"/>
    <w:rsid w:val="006A13BC"/>
    <w:rsid w:val="006A2238"/>
    <w:rsid w:val="006A2D94"/>
    <w:rsid w:val="006A4B76"/>
    <w:rsid w:val="006A6AF3"/>
    <w:rsid w:val="006B0B45"/>
    <w:rsid w:val="006B3274"/>
    <w:rsid w:val="006B3ED2"/>
    <w:rsid w:val="006B55AA"/>
    <w:rsid w:val="006B5609"/>
    <w:rsid w:val="006B6887"/>
    <w:rsid w:val="006B6D5C"/>
    <w:rsid w:val="006C21D8"/>
    <w:rsid w:val="006C257A"/>
    <w:rsid w:val="006C359A"/>
    <w:rsid w:val="006C4EA1"/>
    <w:rsid w:val="006C5116"/>
    <w:rsid w:val="006C7797"/>
    <w:rsid w:val="006D061E"/>
    <w:rsid w:val="006D1A98"/>
    <w:rsid w:val="006D20E1"/>
    <w:rsid w:val="006D2308"/>
    <w:rsid w:val="006D3ACE"/>
    <w:rsid w:val="006D40C6"/>
    <w:rsid w:val="006D4128"/>
    <w:rsid w:val="006D4B9E"/>
    <w:rsid w:val="006D516E"/>
    <w:rsid w:val="006D77E8"/>
    <w:rsid w:val="006E09FD"/>
    <w:rsid w:val="006E101C"/>
    <w:rsid w:val="006E17A8"/>
    <w:rsid w:val="006E1935"/>
    <w:rsid w:val="006E3482"/>
    <w:rsid w:val="006E38E2"/>
    <w:rsid w:val="006E3ADF"/>
    <w:rsid w:val="006E3B84"/>
    <w:rsid w:val="006E41B3"/>
    <w:rsid w:val="006E4E6E"/>
    <w:rsid w:val="006E76FA"/>
    <w:rsid w:val="006E7BC6"/>
    <w:rsid w:val="006F0323"/>
    <w:rsid w:val="006F0932"/>
    <w:rsid w:val="006F0E28"/>
    <w:rsid w:val="006F3D25"/>
    <w:rsid w:val="006F3FD1"/>
    <w:rsid w:val="006F554F"/>
    <w:rsid w:val="006F59DE"/>
    <w:rsid w:val="006F5A95"/>
    <w:rsid w:val="006F6962"/>
    <w:rsid w:val="006F73B9"/>
    <w:rsid w:val="006F7A46"/>
    <w:rsid w:val="00700627"/>
    <w:rsid w:val="00701070"/>
    <w:rsid w:val="007011C2"/>
    <w:rsid w:val="00702C17"/>
    <w:rsid w:val="007032BA"/>
    <w:rsid w:val="00703C6B"/>
    <w:rsid w:val="007058B1"/>
    <w:rsid w:val="00706A3D"/>
    <w:rsid w:val="007079B1"/>
    <w:rsid w:val="00707B7E"/>
    <w:rsid w:val="00707CC4"/>
    <w:rsid w:val="00710B38"/>
    <w:rsid w:val="0071113E"/>
    <w:rsid w:val="007117DC"/>
    <w:rsid w:val="0071215D"/>
    <w:rsid w:val="00712563"/>
    <w:rsid w:val="007128F0"/>
    <w:rsid w:val="00712CFD"/>
    <w:rsid w:val="00712EAD"/>
    <w:rsid w:val="00713FEE"/>
    <w:rsid w:val="00716729"/>
    <w:rsid w:val="00720435"/>
    <w:rsid w:val="007204B3"/>
    <w:rsid w:val="00720F13"/>
    <w:rsid w:val="00721204"/>
    <w:rsid w:val="0072231E"/>
    <w:rsid w:val="00723159"/>
    <w:rsid w:val="0072597E"/>
    <w:rsid w:val="00726472"/>
    <w:rsid w:val="0072659F"/>
    <w:rsid w:val="00726A8A"/>
    <w:rsid w:val="00726CED"/>
    <w:rsid w:val="00727051"/>
    <w:rsid w:val="00727221"/>
    <w:rsid w:val="00727781"/>
    <w:rsid w:val="007306AA"/>
    <w:rsid w:val="007306C6"/>
    <w:rsid w:val="00730EF1"/>
    <w:rsid w:val="00730F39"/>
    <w:rsid w:val="0073142F"/>
    <w:rsid w:val="00731463"/>
    <w:rsid w:val="00732CE9"/>
    <w:rsid w:val="0073330C"/>
    <w:rsid w:val="00733B39"/>
    <w:rsid w:val="00734249"/>
    <w:rsid w:val="0073424C"/>
    <w:rsid w:val="00735186"/>
    <w:rsid w:val="007359AF"/>
    <w:rsid w:val="00735C10"/>
    <w:rsid w:val="00736639"/>
    <w:rsid w:val="00736AF7"/>
    <w:rsid w:val="00737115"/>
    <w:rsid w:val="00737658"/>
    <w:rsid w:val="00740A90"/>
    <w:rsid w:val="00740C21"/>
    <w:rsid w:val="0074147C"/>
    <w:rsid w:val="00741618"/>
    <w:rsid w:val="007420A5"/>
    <w:rsid w:val="00742292"/>
    <w:rsid w:val="007435C8"/>
    <w:rsid w:val="007438CD"/>
    <w:rsid w:val="00745870"/>
    <w:rsid w:val="00745C63"/>
    <w:rsid w:val="00746CA0"/>
    <w:rsid w:val="007471D7"/>
    <w:rsid w:val="007509C5"/>
    <w:rsid w:val="00750B45"/>
    <w:rsid w:val="00753055"/>
    <w:rsid w:val="007547A0"/>
    <w:rsid w:val="007549F0"/>
    <w:rsid w:val="00754F3E"/>
    <w:rsid w:val="00756121"/>
    <w:rsid w:val="0075668D"/>
    <w:rsid w:val="00756EBE"/>
    <w:rsid w:val="007571CF"/>
    <w:rsid w:val="0075786E"/>
    <w:rsid w:val="0076074F"/>
    <w:rsid w:val="007614EF"/>
    <w:rsid w:val="007615E3"/>
    <w:rsid w:val="0076173D"/>
    <w:rsid w:val="00761A49"/>
    <w:rsid w:val="00763ED5"/>
    <w:rsid w:val="007657DF"/>
    <w:rsid w:val="00766FA2"/>
    <w:rsid w:val="007672E0"/>
    <w:rsid w:val="007676E5"/>
    <w:rsid w:val="00767E2B"/>
    <w:rsid w:val="007700D6"/>
    <w:rsid w:val="007716C0"/>
    <w:rsid w:val="007718DC"/>
    <w:rsid w:val="00771CBE"/>
    <w:rsid w:val="007733C6"/>
    <w:rsid w:val="007736DA"/>
    <w:rsid w:val="0077379D"/>
    <w:rsid w:val="007748E1"/>
    <w:rsid w:val="007758D0"/>
    <w:rsid w:val="00775BA9"/>
    <w:rsid w:val="007779CA"/>
    <w:rsid w:val="00782210"/>
    <w:rsid w:val="00782567"/>
    <w:rsid w:val="00782CF4"/>
    <w:rsid w:val="00784D5C"/>
    <w:rsid w:val="00784DD9"/>
    <w:rsid w:val="007850B2"/>
    <w:rsid w:val="00785292"/>
    <w:rsid w:val="00787989"/>
    <w:rsid w:val="00787E9C"/>
    <w:rsid w:val="007910A7"/>
    <w:rsid w:val="007910D4"/>
    <w:rsid w:val="00791494"/>
    <w:rsid w:val="00793C86"/>
    <w:rsid w:val="007944E4"/>
    <w:rsid w:val="00794AB6"/>
    <w:rsid w:val="00795A0F"/>
    <w:rsid w:val="0079657C"/>
    <w:rsid w:val="00797623"/>
    <w:rsid w:val="007A0316"/>
    <w:rsid w:val="007A0B71"/>
    <w:rsid w:val="007A145A"/>
    <w:rsid w:val="007A1D84"/>
    <w:rsid w:val="007A2B52"/>
    <w:rsid w:val="007A4D02"/>
    <w:rsid w:val="007A5557"/>
    <w:rsid w:val="007A6160"/>
    <w:rsid w:val="007A61D0"/>
    <w:rsid w:val="007A6D12"/>
    <w:rsid w:val="007A6E32"/>
    <w:rsid w:val="007A71E4"/>
    <w:rsid w:val="007A725C"/>
    <w:rsid w:val="007A758D"/>
    <w:rsid w:val="007B0129"/>
    <w:rsid w:val="007B34BE"/>
    <w:rsid w:val="007B3791"/>
    <w:rsid w:val="007B4810"/>
    <w:rsid w:val="007B4D22"/>
    <w:rsid w:val="007B56A8"/>
    <w:rsid w:val="007B5E46"/>
    <w:rsid w:val="007B6075"/>
    <w:rsid w:val="007C1D07"/>
    <w:rsid w:val="007C1E06"/>
    <w:rsid w:val="007C33B3"/>
    <w:rsid w:val="007C38EB"/>
    <w:rsid w:val="007C3CA3"/>
    <w:rsid w:val="007C43AB"/>
    <w:rsid w:val="007C4A2F"/>
    <w:rsid w:val="007C56C8"/>
    <w:rsid w:val="007C5BCF"/>
    <w:rsid w:val="007C6595"/>
    <w:rsid w:val="007D04BC"/>
    <w:rsid w:val="007D089F"/>
    <w:rsid w:val="007D1107"/>
    <w:rsid w:val="007D11B9"/>
    <w:rsid w:val="007D21FC"/>
    <w:rsid w:val="007D5616"/>
    <w:rsid w:val="007D6054"/>
    <w:rsid w:val="007D781F"/>
    <w:rsid w:val="007E035D"/>
    <w:rsid w:val="007E0AAA"/>
    <w:rsid w:val="007E0C9A"/>
    <w:rsid w:val="007E1110"/>
    <w:rsid w:val="007E17D2"/>
    <w:rsid w:val="007E1B33"/>
    <w:rsid w:val="007E28D8"/>
    <w:rsid w:val="007E3661"/>
    <w:rsid w:val="007E3AAC"/>
    <w:rsid w:val="007E5113"/>
    <w:rsid w:val="007E5297"/>
    <w:rsid w:val="007E6B5B"/>
    <w:rsid w:val="007E70D9"/>
    <w:rsid w:val="007E77F5"/>
    <w:rsid w:val="007F00E1"/>
    <w:rsid w:val="007F09B1"/>
    <w:rsid w:val="007F10EF"/>
    <w:rsid w:val="007F1E79"/>
    <w:rsid w:val="007F2296"/>
    <w:rsid w:val="007F2427"/>
    <w:rsid w:val="007F2921"/>
    <w:rsid w:val="007F2A88"/>
    <w:rsid w:val="007F3157"/>
    <w:rsid w:val="007F3632"/>
    <w:rsid w:val="007F36B7"/>
    <w:rsid w:val="007F3D0E"/>
    <w:rsid w:val="007F4CDF"/>
    <w:rsid w:val="007F524B"/>
    <w:rsid w:val="007F53EC"/>
    <w:rsid w:val="007F5742"/>
    <w:rsid w:val="007F5813"/>
    <w:rsid w:val="007F64D2"/>
    <w:rsid w:val="007F6734"/>
    <w:rsid w:val="007F7816"/>
    <w:rsid w:val="007F7DA2"/>
    <w:rsid w:val="00801C98"/>
    <w:rsid w:val="00801CCF"/>
    <w:rsid w:val="00802535"/>
    <w:rsid w:val="008025FD"/>
    <w:rsid w:val="008026D6"/>
    <w:rsid w:val="00803707"/>
    <w:rsid w:val="00804422"/>
    <w:rsid w:val="008053B1"/>
    <w:rsid w:val="0080567A"/>
    <w:rsid w:val="00805C16"/>
    <w:rsid w:val="008061E6"/>
    <w:rsid w:val="0081056C"/>
    <w:rsid w:val="00810C7B"/>
    <w:rsid w:val="00811837"/>
    <w:rsid w:val="00812E6D"/>
    <w:rsid w:val="00813795"/>
    <w:rsid w:val="00813FC2"/>
    <w:rsid w:val="00814494"/>
    <w:rsid w:val="00814AE2"/>
    <w:rsid w:val="00814C75"/>
    <w:rsid w:val="00814E6D"/>
    <w:rsid w:val="00814F5C"/>
    <w:rsid w:val="008156D4"/>
    <w:rsid w:val="00815A88"/>
    <w:rsid w:val="0081685D"/>
    <w:rsid w:val="0081690A"/>
    <w:rsid w:val="008170BC"/>
    <w:rsid w:val="008200DE"/>
    <w:rsid w:val="008205F1"/>
    <w:rsid w:val="0082093D"/>
    <w:rsid w:val="008212F7"/>
    <w:rsid w:val="0082160C"/>
    <w:rsid w:val="0082278F"/>
    <w:rsid w:val="00822ADC"/>
    <w:rsid w:val="00823DD6"/>
    <w:rsid w:val="0082454C"/>
    <w:rsid w:val="00826044"/>
    <w:rsid w:val="00826872"/>
    <w:rsid w:val="00826D41"/>
    <w:rsid w:val="00826E7E"/>
    <w:rsid w:val="00827040"/>
    <w:rsid w:val="008276B3"/>
    <w:rsid w:val="008278D8"/>
    <w:rsid w:val="00827F5D"/>
    <w:rsid w:val="00831924"/>
    <w:rsid w:val="00831E5F"/>
    <w:rsid w:val="008321A4"/>
    <w:rsid w:val="008323F3"/>
    <w:rsid w:val="00832ECC"/>
    <w:rsid w:val="00833241"/>
    <w:rsid w:val="00834935"/>
    <w:rsid w:val="00835358"/>
    <w:rsid w:val="00835AEB"/>
    <w:rsid w:val="008361D2"/>
    <w:rsid w:val="00836B85"/>
    <w:rsid w:val="00837A40"/>
    <w:rsid w:val="00837CDC"/>
    <w:rsid w:val="0084082B"/>
    <w:rsid w:val="00840F6B"/>
    <w:rsid w:val="0084132E"/>
    <w:rsid w:val="00842423"/>
    <w:rsid w:val="00843214"/>
    <w:rsid w:val="008435F6"/>
    <w:rsid w:val="00844152"/>
    <w:rsid w:val="0084510B"/>
    <w:rsid w:val="00845946"/>
    <w:rsid w:val="00846C36"/>
    <w:rsid w:val="00846CB6"/>
    <w:rsid w:val="00850287"/>
    <w:rsid w:val="00852882"/>
    <w:rsid w:val="00852F8A"/>
    <w:rsid w:val="008533B2"/>
    <w:rsid w:val="0085345B"/>
    <w:rsid w:val="00854035"/>
    <w:rsid w:val="0085464F"/>
    <w:rsid w:val="008574F0"/>
    <w:rsid w:val="00857623"/>
    <w:rsid w:val="00857828"/>
    <w:rsid w:val="008578B9"/>
    <w:rsid w:val="00857B55"/>
    <w:rsid w:val="0086006E"/>
    <w:rsid w:val="00861ACC"/>
    <w:rsid w:val="00862389"/>
    <w:rsid w:val="008628AC"/>
    <w:rsid w:val="0086340A"/>
    <w:rsid w:val="0086415F"/>
    <w:rsid w:val="008645AC"/>
    <w:rsid w:val="00865A35"/>
    <w:rsid w:val="00865F97"/>
    <w:rsid w:val="008668A9"/>
    <w:rsid w:val="008669B0"/>
    <w:rsid w:val="0086789B"/>
    <w:rsid w:val="00867A3B"/>
    <w:rsid w:val="00870019"/>
    <w:rsid w:val="00870567"/>
    <w:rsid w:val="00871F0E"/>
    <w:rsid w:val="0087241E"/>
    <w:rsid w:val="0087534A"/>
    <w:rsid w:val="00877649"/>
    <w:rsid w:val="008803D4"/>
    <w:rsid w:val="00880753"/>
    <w:rsid w:val="00881067"/>
    <w:rsid w:val="0088142F"/>
    <w:rsid w:val="00881D08"/>
    <w:rsid w:val="00882B25"/>
    <w:rsid w:val="00883BEB"/>
    <w:rsid w:val="008847B7"/>
    <w:rsid w:val="00884F2C"/>
    <w:rsid w:val="008851AC"/>
    <w:rsid w:val="008853F5"/>
    <w:rsid w:val="00886DD1"/>
    <w:rsid w:val="008900CE"/>
    <w:rsid w:val="00890419"/>
    <w:rsid w:val="00890810"/>
    <w:rsid w:val="00890AFD"/>
    <w:rsid w:val="00890C8F"/>
    <w:rsid w:val="00891133"/>
    <w:rsid w:val="00891637"/>
    <w:rsid w:val="00892C81"/>
    <w:rsid w:val="008936B2"/>
    <w:rsid w:val="00894C9B"/>
    <w:rsid w:val="00894D75"/>
    <w:rsid w:val="0089663A"/>
    <w:rsid w:val="0089686A"/>
    <w:rsid w:val="00896DC1"/>
    <w:rsid w:val="008971F8"/>
    <w:rsid w:val="00897E20"/>
    <w:rsid w:val="008A01A3"/>
    <w:rsid w:val="008A09A0"/>
    <w:rsid w:val="008A0A2D"/>
    <w:rsid w:val="008A5922"/>
    <w:rsid w:val="008A5C5D"/>
    <w:rsid w:val="008B0A62"/>
    <w:rsid w:val="008B2ED9"/>
    <w:rsid w:val="008B3F1C"/>
    <w:rsid w:val="008B4867"/>
    <w:rsid w:val="008B4C1C"/>
    <w:rsid w:val="008B5401"/>
    <w:rsid w:val="008B5E38"/>
    <w:rsid w:val="008B67FE"/>
    <w:rsid w:val="008B686E"/>
    <w:rsid w:val="008B69AC"/>
    <w:rsid w:val="008B7671"/>
    <w:rsid w:val="008B7785"/>
    <w:rsid w:val="008B78CB"/>
    <w:rsid w:val="008C0E0E"/>
    <w:rsid w:val="008C2C21"/>
    <w:rsid w:val="008C3D50"/>
    <w:rsid w:val="008C4B05"/>
    <w:rsid w:val="008C4B90"/>
    <w:rsid w:val="008C5E2C"/>
    <w:rsid w:val="008C6695"/>
    <w:rsid w:val="008C7D56"/>
    <w:rsid w:val="008C7D77"/>
    <w:rsid w:val="008D07AB"/>
    <w:rsid w:val="008D46C9"/>
    <w:rsid w:val="008D4B64"/>
    <w:rsid w:val="008D6183"/>
    <w:rsid w:val="008D6990"/>
    <w:rsid w:val="008D72EC"/>
    <w:rsid w:val="008D77D7"/>
    <w:rsid w:val="008E15A3"/>
    <w:rsid w:val="008E2228"/>
    <w:rsid w:val="008E5AEC"/>
    <w:rsid w:val="008E5B27"/>
    <w:rsid w:val="008E677A"/>
    <w:rsid w:val="008E6973"/>
    <w:rsid w:val="008E6C85"/>
    <w:rsid w:val="008E7861"/>
    <w:rsid w:val="008E7BB2"/>
    <w:rsid w:val="008F1F25"/>
    <w:rsid w:val="008F226E"/>
    <w:rsid w:val="008F29B6"/>
    <w:rsid w:val="008F334A"/>
    <w:rsid w:val="008F3642"/>
    <w:rsid w:val="008F4D9B"/>
    <w:rsid w:val="008F6042"/>
    <w:rsid w:val="008F6CC3"/>
    <w:rsid w:val="008F6F56"/>
    <w:rsid w:val="008F72B0"/>
    <w:rsid w:val="008F780E"/>
    <w:rsid w:val="00900E68"/>
    <w:rsid w:val="0090475B"/>
    <w:rsid w:val="00905AFA"/>
    <w:rsid w:val="00907DD0"/>
    <w:rsid w:val="00907F12"/>
    <w:rsid w:val="0091032E"/>
    <w:rsid w:val="0091082C"/>
    <w:rsid w:val="00911F70"/>
    <w:rsid w:val="00912475"/>
    <w:rsid w:val="00913592"/>
    <w:rsid w:val="00913825"/>
    <w:rsid w:val="0091418B"/>
    <w:rsid w:val="009142D2"/>
    <w:rsid w:val="00920F2D"/>
    <w:rsid w:val="0092254E"/>
    <w:rsid w:val="00923874"/>
    <w:rsid w:val="00924CED"/>
    <w:rsid w:val="00925740"/>
    <w:rsid w:val="0092620F"/>
    <w:rsid w:val="009268BD"/>
    <w:rsid w:val="00930157"/>
    <w:rsid w:val="009307EE"/>
    <w:rsid w:val="009309E5"/>
    <w:rsid w:val="00930E7B"/>
    <w:rsid w:val="009312B9"/>
    <w:rsid w:val="00931F17"/>
    <w:rsid w:val="00931FDF"/>
    <w:rsid w:val="009323AA"/>
    <w:rsid w:val="00932521"/>
    <w:rsid w:val="00932BF4"/>
    <w:rsid w:val="0093313C"/>
    <w:rsid w:val="0093419F"/>
    <w:rsid w:val="009342A0"/>
    <w:rsid w:val="00934942"/>
    <w:rsid w:val="00936A83"/>
    <w:rsid w:val="00936EA0"/>
    <w:rsid w:val="00936FFF"/>
    <w:rsid w:val="00937AB8"/>
    <w:rsid w:val="00937B4F"/>
    <w:rsid w:val="00937C6E"/>
    <w:rsid w:val="00937D2E"/>
    <w:rsid w:val="00940740"/>
    <w:rsid w:val="00940755"/>
    <w:rsid w:val="00940D63"/>
    <w:rsid w:val="00941754"/>
    <w:rsid w:val="0094258D"/>
    <w:rsid w:val="00942EF2"/>
    <w:rsid w:val="00943322"/>
    <w:rsid w:val="009440F8"/>
    <w:rsid w:val="009447C7"/>
    <w:rsid w:val="00947687"/>
    <w:rsid w:val="00950773"/>
    <w:rsid w:val="00951F1D"/>
    <w:rsid w:val="00953A1A"/>
    <w:rsid w:val="00953F33"/>
    <w:rsid w:val="009540DF"/>
    <w:rsid w:val="00954261"/>
    <w:rsid w:val="00954A89"/>
    <w:rsid w:val="00954E9F"/>
    <w:rsid w:val="00955AEE"/>
    <w:rsid w:val="00956517"/>
    <w:rsid w:val="009573B3"/>
    <w:rsid w:val="009602CE"/>
    <w:rsid w:val="009603AD"/>
    <w:rsid w:val="009612B7"/>
    <w:rsid w:val="0096139E"/>
    <w:rsid w:val="00961DDA"/>
    <w:rsid w:val="009624F4"/>
    <w:rsid w:val="00962B71"/>
    <w:rsid w:val="0096369B"/>
    <w:rsid w:val="00966311"/>
    <w:rsid w:val="00971908"/>
    <w:rsid w:val="00971A8C"/>
    <w:rsid w:val="00971D38"/>
    <w:rsid w:val="00972850"/>
    <w:rsid w:val="0097299F"/>
    <w:rsid w:val="009730C9"/>
    <w:rsid w:val="00973655"/>
    <w:rsid w:val="0097470D"/>
    <w:rsid w:val="00975661"/>
    <w:rsid w:val="00975DE9"/>
    <w:rsid w:val="0097657A"/>
    <w:rsid w:val="00976BEF"/>
    <w:rsid w:val="00980789"/>
    <w:rsid w:val="009810F4"/>
    <w:rsid w:val="009840F6"/>
    <w:rsid w:val="00984EA7"/>
    <w:rsid w:val="00985057"/>
    <w:rsid w:val="00986FFD"/>
    <w:rsid w:val="009870CE"/>
    <w:rsid w:val="00987190"/>
    <w:rsid w:val="009876E7"/>
    <w:rsid w:val="00987D57"/>
    <w:rsid w:val="00991347"/>
    <w:rsid w:val="009922A6"/>
    <w:rsid w:val="009930EE"/>
    <w:rsid w:val="00993116"/>
    <w:rsid w:val="009940CF"/>
    <w:rsid w:val="009955CF"/>
    <w:rsid w:val="00995B33"/>
    <w:rsid w:val="00996217"/>
    <w:rsid w:val="0099638F"/>
    <w:rsid w:val="00996D6D"/>
    <w:rsid w:val="00997180"/>
    <w:rsid w:val="00997D48"/>
    <w:rsid w:val="009A0021"/>
    <w:rsid w:val="009A0078"/>
    <w:rsid w:val="009A057F"/>
    <w:rsid w:val="009A2351"/>
    <w:rsid w:val="009A2EAC"/>
    <w:rsid w:val="009A2FDE"/>
    <w:rsid w:val="009A57E4"/>
    <w:rsid w:val="009A68B3"/>
    <w:rsid w:val="009A73FF"/>
    <w:rsid w:val="009B04BC"/>
    <w:rsid w:val="009B10F2"/>
    <w:rsid w:val="009B17D1"/>
    <w:rsid w:val="009B2A71"/>
    <w:rsid w:val="009B2B19"/>
    <w:rsid w:val="009B3516"/>
    <w:rsid w:val="009B3B20"/>
    <w:rsid w:val="009B3B47"/>
    <w:rsid w:val="009B45D7"/>
    <w:rsid w:val="009B4AA5"/>
    <w:rsid w:val="009B6E0E"/>
    <w:rsid w:val="009B6E78"/>
    <w:rsid w:val="009C0268"/>
    <w:rsid w:val="009C0B6B"/>
    <w:rsid w:val="009C119E"/>
    <w:rsid w:val="009C16E1"/>
    <w:rsid w:val="009C235A"/>
    <w:rsid w:val="009C24A4"/>
    <w:rsid w:val="009C279C"/>
    <w:rsid w:val="009C27D1"/>
    <w:rsid w:val="009C3776"/>
    <w:rsid w:val="009C7344"/>
    <w:rsid w:val="009C7D73"/>
    <w:rsid w:val="009D01FD"/>
    <w:rsid w:val="009D19D0"/>
    <w:rsid w:val="009D1E2C"/>
    <w:rsid w:val="009D2261"/>
    <w:rsid w:val="009D2EFC"/>
    <w:rsid w:val="009D3822"/>
    <w:rsid w:val="009D40E3"/>
    <w:rsid w:val="009D4F60"/>
    <w:rsid w:val="009D6C7F"/>
    <w:rsid w:val="009D6D8F"/>
    <w:rsid w:val="009D6E00"/>
    <w:rsid w:val="009D76E7"/>
    <w:rsid w:val="009D7862"/>
    <w:rsid w:val="009E0085"/>
    <w:rsid w:val="009E1495"/>
    <w:rsid w:val="009E1726"/>
    <w:rsid w:val="009E1C92"/>
    <w:rsid w:val="009E27B4"/>
    <w:rsid w:val="009E2C14"/>
    <w:rsid w:val="009E2F97"/>
    <w:rsid w:val="009E3C6B"/>
    <w:rsid w:val="009E3FD0"/>
    <w:rsid w:val="009E44F3"/>
    <w:rsid w:val="009E53D0"/>
    <w:rsid w:val="009E5E4E"/>
    <w:rsid w:val="009E7BA2"/>
    <w:rsid w:val="009E7D34"/>
    <w:rsid w:val="009E7F50"/>
    <w:rsid w:val="009F0BA5"/>
    <w:rsid w:val="009F0C30"/>
    <w:rsid w:val="009F1545"/>
    <w:rsid w:val="009F207B"/>
    <w:rsid w:val="009F26ED"/>
    <w:rsid w:val="009F4642"/>
    <w:rsid w:val="009F6497"/>
    <w:rsid w:val="009F7523"/>
    <w:rsid w:val="009F792B"/>
    <w:rsid w:val="00A00188"/>
    <w:rsid w:val="00A00F23"/>
    <w:rsid w:val="00A01A6E"/>
    <w:rsid w:val="00A01AD2"/>
    <w:rsid w:val="00A023F8"/>
    <w:rsid w:val="00A02BFE"/>
    <w:rsid w:val="00A0324C"/>
    <w:rsid w:val="00A03B20"/>
    <w:rsid w:val="00A04296"/>
    <w:rsid w:val="00A046A6"/>
    <w:rsid w:val="00A0500C"/>
    <w:rsid w:val="00A051C6"/>
    <w:rsid w:val="00A06BB8"/>
    <w:rsid w:val="00A07B5D"/>
    <w:rsid w:val="00A07FF8"/>
    <w:rsid w:val="00A10493"/>
    <w:rsid w:val="00A12649"/>
    <w:rsid w:val="00A13075"/>
    <w:rsid w:val="00A13DBF"/>
    <w:rsid w:val="00A16694"/>
    <w:rsid w:val="00A17C73"/>
    <w:rsid w:val="00A20961"/>
    <w:rsid w:val="00A211FB"/>
    <w:rsid w:val="00A215A3"/>
    <w:rsid w:val="00A23BC4"/>
    <w:rsid w:val="00A23C72"/>
    <w:rsid w:val="00A254BD"/>
    <w:rsid w:val="00A26142"/>
    <w:rsid w:val="00A262DA"/>
    <w:rsid w:val="00A2727B"/>
    <w:rsid w:val="00A30026"/>
    <w:rsid w:val="00A30393"/>
    <w:rsid w:val="00A31429"/>
    <w:rsid w:val="00A320CB"/>
    <w:rsid w:val="00A3287A"/>
    <w:rsid w:val="00A329EB"/>
    <w:rsid w:val="00A34231"/>
    <w:rsid w:val="00A34918"/>
    <w:rsid w:val="00A34C2A"/>
    <w:rsid w:val="00A36768"/>
    <w:rsid w:val="00A37963"/>
    <w:rsid w:val="00A4005F"/>
    <w:rsid w:val="00A40A87"/>
    <w:rsid w:val="00A410AC"/>
    <w:rsid w:val="00A4125B"/>
    <w:rsid w:val="00A42060"/>
    <w:rsid w:val="00A42C45"/>
    <w:rsid w:val="00A4343A"/>
    <w:rsid w:val="00A436A3"/>
    <w:rsid w:val="00A43FC3"/>
    <w:rsid w:val="00A448AA"/>
    <w:rsid w:val="00A46D09"/>
    <w:rsid w:val="00A470A4"/>
    <w:rsid w:val="00A511C0"/>
    <w:rsid w:val="00A517C1"/>
    <w:rsid w:val="00A52A6D"/>
    <w:rsid w:val="00A54F70"/>
    <w:rsid w:val="00A559A9"/>
    <w:rsid w:val="00A565F8"/>
    <w:rsid w:val="00A603F4"/>
    <w:rsid w:val="00A62575"/>
    <w:rsid w:val="00A62CAE"/>
    <w:rsid w:val="00A62F2B"/>
    <w:rsid w:val="00A64CD6"/>
    <w:rsid w:val="00A64E53"/>
    <w:rsid w:val="00A650AF"/>
    <w:rsid w:val="00A66A6F"/>
    <w:rsid w:val="00A66B91"/>
    <w:rsid w:val="00A719BA"/>
    <w:rsid w:val="00A71A20"/>
    <w:rsid w:val="00A723A2"/>
    <w:rsid w:val="00A725F4"/>
    <w:rsid w:val="00A725F9"/>
    <w:rsid w:val="00A736E6"/>
    <w:rsid w:val="00A744E4"/>
    <w:rsid w:val="00A75113"/>
    <w:rsid w:val="00A752E0"/>
    <w:rsid w:val="00A773FB"/>
    <w:rsid w:val="00A77B28"/>
    <w:rsid w:val="00A80AF1"/>
    <w:rsid w:val="00A8122A"/>
    <w:rsid w:val="00A81BCD"/>
    <w:rsid w:val="00A82917"/>
    <w:rsid w:val="00A837BE"/>
    <w:rsid w:val="00A843D2"/>
    <w:rsid w:val="00A85515"/>
    <w:rsid w:val="00A85B4B"/>
    <w:rsid w:val="00A8623D"/>
    <w:rsid w:val="00A87109"/>
    <w:rsid w:val="00A871C7"/>
    <w:rsid w:val="00A9074F"/>
    <w:rsid w:val="00A913C4"/>
    <w:rsid w:val="00A9180E"/>
    <w:rsid w:val="00A926EB"/>
    <w:rsid w:val="00A9332B"/>
    <w:rsid w:val="00A935E2"/>
    <w:rsid w:val="00A93AD7"/>
    <w:rsid w:val="00A93EC8"/>
    <w:rsid w:val="00A944E3"/>
    <w:rsid w:val="00A96D17"/>
    <w:rsid w:val="00A974D8"/>
    <w:rsid w:val="00AA01EF"/>
    <w:rsid w:val="00AA03ED"/>
    <w:rsid w:val="00AA0D13"/>
    <w:rsid w:val="00AA26C1"/>
    <w:rsid w:val="00AA2AB7"/>
    <w:rsid w:val="00AA3A9F"/>
    <w:rsid w:val="00AA4071"/>
    <w:rsid w:val="00AA4460"/>
    <w:rsid w:val="00AA537D"/>
    <w:rsid w:val="00AA53FF"/>
    <w:rsid w:val="00AA5D50"/>
    <w:rsid w:val="00AA64C5"/>
    <w:rsid w:val="00AA6A19"/>
    <w:rsid w:val="00AA6BDD"/>
    <w:rsid w:val="00AB05DB"/>
    <w:rsid w:val="00AB0718"/>
    <w:rsid w:val="00AB32B3"/>
    <w:rsid w:val="00AB4447"/>
    <w:rsid w:val="00AB4946"/>
    <w:rsid w:val="00AB6DA7"/>
    <w:rsid w:val="00AB7E6B"/>
    <w:rsid w:val="00AC0010"/>
    <w:rsid w:val="00AC1041"/>
    <w:rsid w:val="00AC1751"/>
    <w:rsid w:val="00AC2AB6"/>
    <w:rsid w:val="00AC2AD9"/>
    <w:rsid w:val="00AC3209"/>
    <w:rsid w:val="00AC3312"/>
    <w:rsid w:val="00AC41EA"/>
    <w:rsid w:val="00AC5821"/>
    <w:rsid w:val="00AC6062"/>
    <w:rsid w:val="00AC6D1D"/>
    <w:rsid w:val="00AC6F2E"/>
    <w:rsid w:val="00AD224F"/>
    <w:rsid w:val="00AD2978"/>
    <w:rsid w:val="00AD36BC"/>
    <w:rsid w:val="00AD375F"/>
    <w:rsid w:val="00AD3EAB"/>
    <w:rsid w:val="00AD49BF"/>
    <w:rsid w:val="00AD4CB1"/>
    <w:rsid w:val="00AD540B"/>
    <w:rsid w:val="00AD6132"/>
    <w:rsid w:val="00AD6E06"/>
    <w:rsid w:val="00AD74CA"/>
    <w:rsid w:val="00AD77EE"/>
    <w:rsid w:val="00AD7E55"/>
    <w:rsid w:val="00AE0317"/>
    <w:rsid w:val="00AE06FC"/>
    <w:rsid w:val="00AE088D"/>
    <w:rsid w:val="00AE33A9"/>
    <w:rsid w:val="00AE3EA6"/>
    <w:rsid w:val="00AE4033"/>
    <w:rsid w:val="00AE6F4B"/>
    <w:rsid w:val="00AE75CB"/>
    <w:rsid w:val="00AE7FFA"/>
    <w:rsid w:val="00AF0848"/>
    <w:rsid w:val="00AF0C40"/>
    <w:rsid w:val="00AF1B77"/>
    <w:rsid w:val="00AF36CF"/>
    <w:rsid w:val="00AF5ACA"/>
    <w:rsid w:val="00AF5B55"/>
    <w:rsid w:val="00AF67A9"/>
    <w:rsid w:val="00AF7025"/>
    <w:rsid w:val="00AF7DF9"/>
    <w:rsid w:val="00B01793"/>
    <w:rsid w:val="00B02908"/>
    <w:rsid w:val="00B02C13"/>
    <w:rsid w:val="00B0306C"/>
    <w:rsid w:val="00B03C21"/>
    <w:rsid w:val="00B03E8C"/>
    <w:rsid w:val="00B04720"/>
    <w:rsid w:val="00B05A58"/>
    <w:rsid w:val="00B06560"/>
    <w:rsid w:val="00B0674B"/>
    <w:rsid w:val="00B07A15"/>
    <w:rsid w:val="00B07AE7"/>
    <w:rsid w:val="00B10165"/>
    <w:rsid w:val="00B11142"/>
    <w:rsid w:val="00B11AAE"/>
    <w:rsid w:val="00B11F55"/>
    <w:rsid w:val="00B128CC"/>
    <w:rsid w:val="00B12924"/>
    <w:rsid w:val="00B12B7B"/>
    <w:rsid w:val="00B13A75"/>
    <w:rsid w:val="00B1542F"/>
    <w:rsid w:val="00B15A56"/>
    <w:rsid w:val="00B15CD5"/>
    <w:rsid w:val="00B15FE0"/>
    <w:rsid w:val="00B1615E"/>
    <w:rsid w:val="00B16DF3"/>
    <w:rsid w:val="00B17D7B"/>
    <w:rsid w:val="00B20012"/>
    <w:rsid w:val="00B205DD"/>
    <w:rsid w:val="00B20DCC"/>
    <w:rsid w:val="00B21FA9"/>
    <w:rsid w:val="00B2294C"/>
    <w:rsid w:val="00B23EE6"/>
    <w:rsid w:val="00B244E4"/>
    <w:rsid w:val="00B26A53"/>
    <w:rsid w:val="00B27165"/>
    <w:rsid w:val="00B27A33"/>
    <w:rsid w:val="00B27F90"/>
    <w:rsid w:val="00B3005C"/>
    <w:rsid w:val="00B31098"/>
    <w:rsid w:val="00B3140C"/>
    <w:rsid w:val="00B32C4F"/>
    <w:rsid w:val="00B34D8F"/>
    <w:rsid w:val="00B3508B"/>
    <w:rsid w:val="00B35549"/>
    <w:rsid w:val="00B3580D"/>
    <w:rsid w:val="00B35FE8"/>
    <w:rsid w:val="00B366CD"/>
    <w:rsid w:val="00B36DEE"/>
    <w:rsid w:val="00B370D1"/>
    <w:rsid w:val="00B3721F"/>
    <w:rsid w:val="00B373F2"/>
    <w:rsid w:val="00B4178E"/>
    <w:rsid w:val="00B41B96"/>
    <w:rsid w:val="00B4408F"/>
    <w:rsid w:val="00B44177"/>
    <w:rsid w:val="00B44955"/>
    <w:rsid w:val="00B44D68"/>
    <w:rsid w:val="00B45DBD"/>
    <w:rsid w:val="00B46919"/>
    <w:rsid w:val="00B469A3"/>
    <w:rsid w:val="00B46CDF"/>
    <w:rsid w:val="00B46CF5"/>
    <w:rsid w:val="00B46D3B"/>
    <w:rsid w:val="00B47470"/>
    <w:rsid w:val="00B47FF2"/>
    <w:rsid w:val="00B5013C"/>
    <w:rsid w:val="00B504CC"/>
    <w:rsid w:val="00B507DC"/>
    <w:rsid w:val="00B508C0"/>
    <w:rsid w:val="00B508D6"/>
    <w:rsid w:val="00B51147"/>
    <w:rsid w:val="00B51B19"/>
    <w:rsid w:val="00B52F00"/>
    <w:rsid w:val="00B53483"/>
    <w:rsid w:val="00B535F7"/>
    <w:rsid w:val="00B54588"/>
    <w:rsid w:val="00B54BE7"/>
    <w:rsid w:val="00B5561A"/>
    <w:rsid w:val="00B57ED1"/>
    <w:rsid w:val="00B60653"/>
    <w:rsid w:val="00B606B8"/>
    <w:rsid w:val="00B60A7A"/>
    <w:rsid w:val="00B62390"/>
    <w:rsid w:val="00B626DE"/>
    <w:rsid w:val="00B63242"/>
    <w:rsid w:val="00B637A3"/>
    <w:rsid w:val="00B63C0F"/>
    <w:rsid w:val="00B659EB"/>
    <w:rsid w:val="00B66587"/>
    <w:rsid w:val="00B66728"/>
    <w:rsid w:val="00B667F7"/>
    <w:rsid w:val="00B71530"/>
    <w:rsid w:val="00B71E3B"/>
    <w:rsid w:val="00B72887"/>
    <w:rsid w:val="00B72895"/>
    <w:rsid w:val="00B73486"/>
    <w:rsid w:val="00B740EB"/>
    <w:rsid w:val="00B749FA"/>
    <w:rsid w:val="00B74ADC"/>
    <w:rsid w:val="00B76110"/>
    <w:rsid w:val="00B77AB0"/>
    <w:rsid w:val="00B77B98"/>
    <w:rsid w:val="00B80780"/>
    <w:rsid w:val="00B81115"/>
    <w:rsid w:val="00B81220"/>
    <w:rsid w:val="00B81CC4"/>
    <w:rsid w:val="00B82934"/>
    <w:rsid w:val="00B82E0E"/>
    <w:rsid w:val="00B86324"/>
    <w:rsid w:val="00B865EB"/>
    <w:rsid w:val="00B90636"/>
    <w:rsid w:val="00B908B3"/>
    <w:rsid w:val="00B91243"/>
    <w:rsid w:val="00B916F6"/>
    <w:rsid w:val="00B937AB"/>
    <w:rsid w:val="00B94B27"/>
    <w:rsid w:val="00B953E4"/>
    <w:rsid w:val="00B9655B"/>
    <w:rsid w:val="00B967DA"/>
    <w:rsid w:val="00B96E6E"/>
    <w:rsid w:val="00B9748B"/>
    <w:rsid w:val="00B97F28"/>
    <w:rsid w:val="00BA06F2"/>
    <w:rsid w:val="00BA081C"/>
    <w:rsid w:val="00BA1239"/>
    <w:rsid w:val="00BA12C3"/>
    <w:rsid w:val="00BA1763"/>
    <w:rsid w:val="00BA2337"/>
    <w:rsid w:val="00BA285C"/>
    <w:rsid w:val="00BA28F2"/>
    <w:rsid w:val="00BA2A9C"/>
    <w:rsid w:val="00BA2E0F"/>
    <w:rsid w:val="00BA382D"/>
    <w:rsid w:val="00BA3FFB"/>
    <w:rsid w:val="00BA4544"/>
    <w:rsid w:val="00BA4FA5"/>
    <w:rsid w:val="00BA50C7"/>
    <w:rsid w:val="00BA5E24"/>
    <w:rsid w:val="00BA7351"/>
    <w:rsid w:val="00BA73A5"/>
    <w:rsid w:val="00BB02B3"/>
    <w:rsid w:val="00BB045B"/>
    <w:rsid w:val="00BB1DFD"/>
    <w:rsid w:val="00BB287D"/>
    <w:rsid w:val="00BB30E6"/>
    <w:rsid w:val="00BB3616"/>
    <w:rsid w:val="00BB3C3D"/>
    <w:rsid w:val="00BB3FA3"/>
    <w:rsid w:val="00BB4005"/>
    <w:rsid w:val="00BB49E7"/>
    <w:rsid w:val="00BB4A58"/>
    <w:rsid w:val="00BB6B17"/>
    <w:rsid w:val="00BB6BFA"/>
    <w:rsid w:val="00BB6CD6"/>
    <w:rsid w:val="00BB7F6E"/>
    <w:rsid w:val="00BC0340"/>
    <w:rsid w:val="00BC1D62"/>
    <w:rsid w:val="00BC2E95"/>
    <w:rsid w:val="00BC36D8"/>
    <w:rsid w:val="00BC404E"/>
    <w:rsid w:val="00BC628B"/>
    <w:rsid w:val="00BC7787"/>
    <w:rsid w:val="00BD0615"/>
    <w:rsid w:val="00BD1051"/>
    <w:rsid w:val="00BD1282"/>
    <w:rsid w:val="00BD1968"/>
    <w:rsid w:val="00BD381C"/>
    <w:rsid w:val="00BD38D1"/>
    <w:rsid w:val="00BD45EE"/>
    <w:rsid w:val="00BD5D1F"/>
    <w:rsid w:val="00BD6BAD"/>
    <w:rsid w:val="00BD7453"/>
    <w:rsid w:val="00BE1763"/>
    <w:rsid w:val="00BE35C9"/>
    <w:rsid w:val="00BE742A"/>
    <w:rsid w:val="00BE77FD"/>
    <w:rsid w:val="00BF0E5D"/>
    <w:rsid w:val="00BF14E9"/>
    <w:rsid w:val="00BF197E"/>
    <w:rsid w:val="00BF23E5"/>
    <w:rsid w:val="00BF2FF4"/>
    <w:rsid w:val="00BF30A4"/>
    <w:rsid w:val="00BF3FB6"/>
    <w:rsid w:val="00BF48D0"/>
    <w:rsid w:val="00BF572A"/>
    <w:rsid w:val="00BF6AFE"/>
    <w:rsid w:val="00C00975"/>
    <w:rsid w:val="00C00D53"/>
    <w:rsid w:val="00C01099"/>
    <w:rsid w:val="00C0219C"/>
    <w:rsid w:val="00C03587"/>
    <w:rsid w:val="00C0422F"/>
    <w:rsid w:val="00C0465A"/>
    <w:rsid w:val="00C06750"/>
    <w:rsid w:val="00C1267C"/>
    <w:rsid w:val="00C1324F"/>
    <w:rsid w:val="00C13EC1"/>
    <w:rsid w:val="00C150CE"/>
    <w:rsid w:val="00C152B3"/>
    <w:rsid w:val="00C155F2"/>
    <w:rsid w:val="00C15A17"/>
    <w:rsid w:val="00C15ACA"/>
    <w:rsid w:val="00C16883"/>
    <w:rsid w:val="00C171BC"/>
    <w:rsid w:val="00C20370"/>
    <w:rsid w:val="00C209ED"/>
    <w:rsid w:val="00C22262"/>
    <w:rsid w:val="00C22E10"/>
    <w:rsid w:val="00C2336C"/>
    <w:rsid w:val="00C23EDF"/>
    <w:rsid w:val="00C24822"/>
    <w:rsid w:val="00C25BA6"/>
    <w:rsid w:val="00C27625"/>
    <w:rsid w:val="00C303F6"/>
    <w:rsid w:val="00C308B5"/>
    <w:rsid w:val="00C30A23"/>
    <w:rsid w:val="00C30E28"/>
    <w:rsid w:val="00C30FD1"/>
    <w:rsid w:val="00C321F6"/>
    <w:rsid w:val="00C337DE"/>
    <w:rsid w:val="00C344BB"/>
    <w:rsid w:val="00C35669"/>
    <w:rsid w:val="00C3654A"/>
    <w:rsid w:val="00C40A87"/>
    <w:rsid w:val="00C41D90"/>
    <w:rsid w:val="00C4380E"/>
    <w:rsid w:val="00C439F9"/>
    <w:rsid w:val="00C43CF4"/>
    <w:rsid w:val="00C445EC"/>
    <w:rsid w:val="00C45073"/>
    <w:rsid w:val="00C455C3"/>
    <w:rsid w:val="00C46D06"/>
    <w:rsid w:val="00C47116"/>
    <w:rsid w:val="00C47206"/>
    <w:rsid w:val="00C47D2B"/>
    <w:rsid w:val="00C47F46"/>
    <w:rsid w:val="00C506A4"/>
    <w:rsid w:val="00C50722"/>
    <w:rsid w:val="00C54951"/>
    <w:rsid w:val="00C55E3C"/>
    <w:rsid w:val="00C56BEF"/>
    <w:rsid w:val="00C56C18"/>
    <w:rsid w:val="00C56E12"/>
    <w:rsid w:val="00C577ED"/>
    <w:rsid w:val="00C60B90"/>
    <w:rsid w:val="00C60E25"/>
    <w:rsid w:val="00C612BC"/>
    <w:rsid w:val="00C6167F"/>
    <w:rsid w:val="00C6187E"/>
    <w:rsid w:val="00C62A29"/>
    <w:rsid w:val="00C62F6C"/>
    <w:rsid w:val="00C6453C"/>
    <w:rsid w:val="00C65B59"/>
    <w:rsid w:val="00C6732F"/>
    <w:rsid w:val="00C72C01"/>
    <w:rsid w:val="00C73FC3"/>
    <w:rsid w:val="00C7616C"/>
    <w:rsid w:val="00C774E8"/>
    <w:rsid w:val="00C8000F"/>
    <w:rsid w:val="00C80BC9"/>
    <w:rsid w:val="00C8289F"/>
    <w:rsid w:val="00C829B3"/>
    <w:rsid w:val="00C82ED5"/>
    <w:rsid w:val="00C83110"/>
    <w:rsid w:val="00C84FF4"/>
    <w:rsid w:val="00C8535E"/>
    <w:rsid w:val="00C86746"/>
    <w:rsid w:val="00C86ED9"/>
    <w:rsid w:val="00C87663"/>
    <w:rsid w:val="00C8788E"/>
    <w:rsid w:val="00C91140"/>
    <w:rsid w:val="00C91459"/>
    <w:rsid w:val="00C91F71"/>
    <w:rsid w:val="00C92279"/>
    <w:rsid w:val="00C92719"/>
    <w:rsid w:val="00C9358C"/>
    <w:rsid w:val="00C948A0"/>
    <w:rsid w:val="00C95208"/>
    <w:rsid w:val="00CA00F7"/>
    <w:rsid w:val="00CA0630"/>
    <w:rsid w:val="00CA1DC3"/>
    <w:rsid w:val="00CA24D2"/>
    <w:rsid w:val="00CA2642"/>
    <w:rsid w:val="00CA2DAB"/>
    <w:rsid w:val="00CA388D"/>
    <w:rsid w:val="00CA4547"/>
    <w:rsid w:val="00CA4E18"/>
    <w:rsid w:val="00CA5534"/>
    <w:rsid w:val="00CA5DD3"/>
    <w:rsid w:val="00CA61E1"/>
    <w:rsid w:val="00CA746F"/>
    <w:rsid w:val="00CA7FA8"/>
    <w:rsid w:val="00CB035A"/>
    <w:rsid w:val="00CB118F"/>
    <w:rsid w:val="00CB12F3"/>
    <w:rsid w:val="00CB2515"/>
    <w:rsid w:val="00CB2C4B"/>
    <w:rsid w:val="00CB393D"/>
    <w:rsid w:val="00CB45D9"/>
    <w:rsid w:val="00CB46B6"/>
    <w:rsid w:val="00CB5A1D"/>
    <w:rsid w:val="00CB6C06"/>
    <w:rsid w:val="00CB7310"/>
    <w:rsid w:val="00CC0724"/>
    <w:rsid w:val="00CC17E7"/>
    <w:rsid w:val="00CC1856"/>
    <w:rsid w:val="00CC18A9"/>
    <w:rsid w:val="00CC21E9"/>
    <w:rsid w:val="00CC2F98"/>
    <w:rsid w:val="00CC3795"/>
    <w:rsid w:val="00CC43D8"/>
    <w:rsid w:val="00CC5239"/>
    <w:rsid w:val="00CC60CC"/>
    <w:rsid w:val="00CC60FB"/>
    <w:rsid w:val="00CC78B1"/>
    <w:rsid w:val="00CD0732"/>
    <w:rsid w:val="00CD2896"/>
    <w:rsid w:val="00CD335E"/>
    <w:rsid w:val="00CD3869"/>
    <w:rsid w:val="00CD4070"/>
    <w:rsid w:val="00CD4C40"/>
    <w:rsid w:val="00CD5B18"/>
    <w:rsid w:val="00CD5E2D"/>
    <w:rsid w:val="00CD664C"/>
    <w:rsid w:val="00CD7140"/>
    <w:rsid w:val="00CE09D9"/>
    <w:rsid w:val="00CE0AC2"/>
    <w:rsid w:val="00CE1007"/>
    <w:rsid w:val="00CE11AA"/>
    <w:rsid w:val="00CE12D0"/>
    <w:rsid w:val="00CE1AA8"/>
    <w:rsid w:val="00CE263E"/>
    <w:rsid w:val="00CE61A5"/>
    <w:rsid w:val="00CE64CB"/>
    <w:rsid w:val="00CE6B05"/>
    <w:rsid w:val="00CF026A"/>
    <w:rsid w:val="00CF1206"/>
    <w:rsid w:val="00CF198F"/>
    <w:rsid w:val="00CF268B"/>
    <w:rsid w:val="00CF4257"/>
    <w:rsid w:val="00CF522C"/>
    <w:rsid w:val="00CF59AA"/>
    <w:rsid w:val="00CF61AE"/>
    <w:rsid w:val="00CF6D05"/>
    <w:rsid w:val="00CF7469"/>
    <w:rsid w:val="00CF7B3F"/>
    <w:rsid w:val="00D013E7"/>
    <w:rsid w:val="00D018BA"/>
    <w:rsid w:val="00D034A1"/>
    <w:rsid w:val="00D03624"/>
    <w:rsid w:val="00D054BC"/>
    <w:rsid w:val="00D05A02"/>
    <w:rsid w:val="00D0651E"/>
    <w:rsid w:val="00D06677"/>
    <w:rsid w:val="00D07B6C"/>
    <w:rsid w:val="00D07B77"/>
    <w:rsid w:val="00D1303B"/>
    <w:rsid w:val="00D1363D"/>
    <w:rsid w:val="00D13C80"/>
    <w:rsid w:val="00D13D8A"/>
    <w:rsid w:val="00D14699"/>
    <w:rsid w:val="00D15680"/>
    <w:rsid w:val="00D158FC"/>
    <w:rsid w:val="00D2097D"/>
    <w:rsid w:val="00D21E3E"/>
    <w:rsid w:val="00D22178"/>
    <w:rsid w:val="00D221BC"/>
    <w:rsid w:val="00D23276"/>
    <w:rsid w:val="00D25123"/>
    <w:rsid w:val="00D257E9"/>
    <w:rsid w:val="00D26116"/>
    <w:rsid w:val="00D26FD8"/>
    <w:rsid w:val="00D27C00"/>
    <w:rsid w:val="00D27E4E"/>
    <w:rsid w:val="00D3015F"/>
    <w:rsid w:val="00D3120C"/>
    <w:rsid w:val="00D31821"/>
    <w:rsid w:val="00D3201D"/>
    <w:rsid w:val="00D3262A"/>
    <w:rsid w:val="00D326C7"/>
    <w:rsid w:val="00D3326A"/>
    <w:rsid w:val="00D336E0"/>
    <w:rsid w:val="00D33F21"/>
    <w:rsid w:val="00D35323"/>
    <w:rsid w:val="00D35802"/>
    <w:rsid w:val="00D36D60"/>
    <w:rsid w:val="00D37B3F"/>
    <w:rsid w:val="00D40CE2"/>
    <w:rsid w:val="00D4166A"/>
    <w:rsid w:val="00D4184A"/>
    <w:rsid w:val="00D41A3E"/>
    <w:rsid w:val="00D43096"/>
    <w:rsid w:val="00D4316A"/>
    <w:rsid w:val="00D43D45"/>
    <w:rsid w:val="00D43DAB"/>
    <w:rsid w:val="00D44394"/>
    <w:rsid w:val="00D44CA9"/>
    <w:rsid w:val="00D454C9"/>
    <w:rsid w:val="00D46190"/>
    <w:rsid w:val="00D46E9A"/>
    <w:rsid w:val="00D46FB0"/>
    <w:rsid w:val="00D47F04"/>
    <w:rsid w:val="00D5014A"/>
    <w:rsid w:val="00D502E1"/>
    <w:rsid w:val="00D52ECB"/>
    <w:rsid w:val="00D53102"/>
    <w:rsid w:val="00D5412C"/>
    <w:rsid w:val="00D54454"/>
    <w:rsid w:val="00D549E0"/>
    <w:rsid w:val="00D5543D"/>
    <w:rsid w:val="00D555DA"/>
    <w:rsid w:val="00D55CD2"/>
    <w:rsid w:val="00D57DBD"/>
    <w:rsid w:val="00D60612"/>
    <w:rsid w:val="00D61076"/>
    <w:rsid w:val="00D6142C"/>
    <w:rsid w:val="00D644D3"/>
    <w:rsid w:val="00D6505E"/>
    <w:rsid w:val="00D65106"/>
    <w:rsid w:val="00D65176"/>
    <w:rsid w:val="00D65C44"/>
    <w:rsid w:val="00D6678A"/>
    <w:rsid w:val="00D673B0"/>
    <w:rsid w:val="00D705E6"/>
    <w:rsid w:val="00D70BD3"/>
    <w:rsid w:val="00D70C78"/>
    <w:rsid w:val="00D710F9"/>
    <w:rsid w:val="00D73763"/>
    <w:rsid w:val="00D745A2"/>
    <w:rsid w:val="00D75B47"/>
    <w:rsid w:val="00D76511"/>
    <w:rsid w:val="00D811FC"/>
    <w:rsid w:val="00D81680"/>
    <w:rsid w:val="00D82EC5"/>
    <w:rsid w:val="00D83014"/>
    <w:rsid w:val="00D83698"/>
    <w:rsid w:val="00D8404F"/>
    <w:rsid w:val="00D84AD7"/>
    <w:rsid w:val="00D84ED3"/>
    <w:rsid w:val="00D85D96"/>
    <w:rsid w:val="00D90DBC"/>
    <w:rsid w:val="00D92621"/>
    <w:rsid w:val="00D92B7D"/>
    <w:rsid w:val="00D93099"/>
    <w:rsid w:val="00D93946"/>
    <w:rsid w:val="00D94610"/>
    <w:rsid w:val="00D9542A"/>
    <w:rsid w:val="00D956F7"/>
    <w:rsid w:val="00D9576E"/>
    <w:rsid w:val="00D96182"/>
    <w:rsid w:val="00DA01CF"/>
    <w:rsid w:val="00DA09C4"/>
    <w:rsid w:val="00DA0BAE"/>
    <w:rsid w:val="00DA192B"/>
    <w:rsid w:val="00DA27AF"/>
    <w:rsid w:val="00DA33D5"/>
    <w:rsid w:val="00DA35FF"/>
    <w:rsid w:val="00DA3874"/>
    <w:rsid w:val="00DA3A8D"/>
    <w:rsid w:val="00DA449D"/>
    <w:rsid w:val="00DA5BA6"/>
    <w:rsid w:val="00DA6413"/>
    <w:rsid w:val="00DA7764"/>
    <w:rsid w:val="00DA7889"/>
    <w:rsid w:val="00DB068F"/>
    <w:rsid w:val="00DB0ED5"/>
    <w:rsid w:val="00DB156F"/>
    <w:rsid w:val="00DB17AF"/>
    <w:rsid w:val="00DB18C4"/>
    <w:rsid w:val="00DB2165"/>
    <w:rsid w:val="00DB28A1"/>
    <w:rsid w:val="00DB2B89"/>
    <w:rsid w:val="00DB2D4A"/>
    <w:rsid w:val="00DB39DD"/>
    <w:rsid w:val="00DB419C"/>
    <w:rsid w:val="00DB5642"/>
    <w:rsid w:val="00DB5E32"/>
    <w:rsid w:val="00DB7359"/>
    <w:rsid w:val="00DB7D08"/>
    <w:rsid w:val="00DC13D9"/>
    <w:rsid w:val="00DC21F6"/>
    <w:rsid w:val="00DC231A"/>
    <w:rsid w:val="00DC2EA5"/>
    <w:rsid w:val="00DC2ED9"/>
    <w:rsid w:val="00DC44F8"/>
    <w:rsid w:val="00DC4EA7"/>
    <w:rsid w:val="00DC6588"/>
    <w:rsid w:val="00DC6F83"/>
    <w:rsid w:val="00DC724C"/>
    <w:rsid w:val="00DC72E3"/>
    <w:rsid w:val="00DC7405"/>
    <w:rsid w:val="00DC74C4"/>
    <w:rsid w:val="00DC790D"/>
    <w:rsid w:val="00DC7E1B"/>
    <w:rsid w:val="00DD02AE"/>
    <w:rsid w:val="00DD09A2"/>
    <w:rsid w:val="00DD155D"/>
    <w:rsid w:val="00DD21F5"/>
    <w:rsid w:val="00DD2E9A"/>
    <w:rsid w:val="00DD3735"/>
    <w:rsid w:val="00DD38BB"/>
    <w:rsid w:val="00DD40D0"/>
    <w:rsid w:val="00DD4B56"/>
    <w:rsid w:val="00DD6AF0"/>
    <w:rsid w:val="00DD6DAD"/>
    <w:rsid w:val="00DD7DEC"/>
    <w:rsid w:val="00DE09CA"/>
    <w:rsid w:val="00DE20AA"/>
    <w:rsid w:val="00DE3DAC"/>
    <w:rsid w:val="00DE3FBA"/>
    <w:rsid w:val="00DE40F9"/>
    <w:rsid w:val="00DE44BE"/>
    <w:rsid w:val="00DE47D0"/>
    <w:rsid w:val="00DE5496"/>
    <w:rsid w:val="00DE62BA"/>
    <w:rsid w:val="00DE707C"/>
    <w:rsid w:val="00DE7950"/>
    <w:rsid w:val="00DE7A37"/>
    <w:rsid w:val="00DF00A5"/>
    <w:rsid w:val="00DF2C21"/>
    <w:rsid w:val="00DF2C63"/>
    <w:rsid w:val="00DF3F49"/>
    <w:rsid w:val="00DF4493"/>
    <w:rsid w:val="00DF66D4"/>
    <w:rsid w:val="00DF7792"/>
    <w:rsid w:val="00DF78B2"/>
    <w:rsid w:val="00E01445"/>
    <w:rsid w:val="00E02143"/>
    <w:rsid w:val="00E03404"/>
    <w:rsid w:val="00E0462A"/>
    <w:rsid w:val="00E05231"/>
    <w:rsid w:val="00E05915"/>
    <w:rsid w:val="00E10E89"/>
    <w:rsid w:val="00E1168A"/>
    <w:rsid w:val="00E128B9"/>
    <w:rsid w:val="00E13E3C"/>
    <w:rsid w:val="00E14679"/>
    <w:rsid w:val="00E14CD7"/>
    <w:rsid w:val="00E14F1A"/>
    <w:rsid w:val="00E160F4"/>
    <w:rsid w:val="00E16387"/>
    <w:rsid w:val="00E179A5"/>
    <w:rsid w:val="00E21898"/>
    <w:rsid w:val="00E218DA"/>
    <w:rsid w:val="00E21CBA"/>
    <w:rsid w:val="00E2227B"/>
    <w:rsid w:val="00E23158"/>
    <w:rsid w:val="00E239F8"/>
    <w:rsid w:val="00E2462F"/>
    <w:rsid w:val="00E25C00"/>
    <w:rsid w:val="00E26459"/>
    <w:rsid w:val="00E26D09"/>
    <w:rsid w:val="00E27251"/>
    <w:rsid w:val="00E274CD"/>
    <w:rsid w:val="00E276ED"/>
    <w:rsid w:val="00E315B3"/>
    <w:rsid w:val="00E31EDF"/>
    <w:rsid w:val="00E32EA4"/>
    <w:rsid w:val="00E33605"/>
    <w:rsid w:val="00E33C46"/>
    <w:rsid w:val="00E34A07"/>
    <w:rsid w:val="00E34AA8"/>
    <w:rsid w:val="00E370FD"/>
    <w:rsid w:val="00E4083C"/>
    <w:rsid w:val="00E410DF"/>
    <w:rsid w:val="00E420BE"/>
    <w:rsid w:val="00E427C1"/>
    <w:rsid w:val="00E42D78"/>
    <w:rsid w:val="00E43B2B"/>
    <w:rsid w:val="00E4450A"/>
    <w:rsid w:val="00E446B8"/>
    <w:rsid w:val="00E456FE"/>
    <w:rsid w:val="00E45B51"/>
    <w:rsid w:val="00E45E0B"/>
    <w:rsid w:val="00E45FC7"/>
    <w:rsid w:val="00E46107"/>
    <w:rsid w:val="00E46CAB"/>
    <w:rsid w:val="00E47DDF"/>
    <w:rsid w:val="00E50C9A"/>
    <w:rsid w:val="00E5225C"/>
    <w:rsid w:val="00E5367D"/>
    <w:rsid w:val="00E536DE"/>
    <w:rsid w:val="00E5412E"/>
    <w:rsid w:val="00E55736"/>
    <w:rsid w:val="00E56A7E"/>
    <w:rsid w:val="00E56E3A"/>
    <w:rsid w:val="00E57E28"/>
    <w:rsid w:val="00E60257"/>
    <w:rsid w:val="00E60E4C"/>
    <w:rsid w:val="00E61E77"/>
    <w:rsid w:val="00E63A3D"/>
    <w:rsid w:val="00E65059"/>
    <w:rsid w:val="00E65794"/>
    <w:rsid w:val="00E65B04"/>
    <w:rsid w:val="00E666C8"/>
    <w:rsid w:val="00E671F1"/>
    <w:rsid w:val="00E67293"/>
    <w:rsid w:val="00E708C6"/>
    <w:rsid w:val="00E70D82"/>
    <w:rsid w:val="00E71A3C"/>
    <w:rsid w:val="00E71E59"/>
    <w:rsid w:val="00E726C5"/>
    <w:rsid w:val="00E745C5"/>
    <w:rsid w:val="00E75CDC"/>
    <w:rsid w:val="00E75ECB"/>
    <w:rsid w:val="00E76551"/>
    <w:rsid w:val="00E76601"/>
    <w:rsid w:val="00E77EF2"/>
    <w:rsid w:val="00E82615"/>
    <w:rsid w:val="00E82931"/>
    <w:rsid w:val="00E8543A"/>
    <w:rsid w:val="00E856CA"/>
    <w:rsid w:val="00E8599E"/>
    <w:rsid w:val="00E879B5"/>
    <w:rsid w:val="00E87BDA"/>
    <w:rsid w:val="00E87CFE"/>
    <w:rsid w:val="00E90A4A"/>
    <w:rsid w:val="00E90C76"/>
    <w:rsid w:val="00E91099"/>
    <w:rsid w:val="00E930DF"/>
    <w:rsid w:val="00E94338"/>
    <w:rsid w:val="00E949DB"/>
    <w:rsid w:val="00E9530D"/>
    <w:rsid w:val="00E955B1"/>
    <w:rsid w:val="00E97053"/>
    <w:rsid w:val="00E970CD"/>
    <w:rsid w:val="00EA0144"/>
    <w:rsid w:val="00EA403A"/>
    <w:rsid w:val="00EA40AB"/>
    <w:rsid w:val="00EA42E2"/>
    <w:rsid w:val="00EA49E6"/>
    <w:rsid w:val="00EA66B6"/>
    <w:rsid w:val="00EA6E2F"/>
    <w:rsid w:val="00EA7364"/>
    <w:rsid w:val="00EB17FB"/>
    <w:rsid w:val="00EB1A7A"/>
    <w:rsid w:val="00EB1CCD"/>
    <w:rsid w:val="00EB22BA"/>
    <w:rsid w:val="00EB3A69"/>
    <w:rsid w:val="00EB4FB2"/>
    <w:rsid w:val="00EB57C5"/>
    <w:rsid w:val="00EB6426"/>
    <w:rsid w:val="00EB6B0F"/>
    <w:rsid w:val="00EB79D4"/>
    <w:rsid w:val="00EC0691"/>
    <w:rsid w:val="00EC098C"/>
    <w:rsid w:val="00EC0D9D"/>
    <w:rsid w:val="00EC181A"/>
    <w:rsid w:val="00EC2548"/>
    <w:rsid w:val="00EC2B91"/>
    <w:rsid w:val="00EC2ED4"/>
    <w:rsid w:val="00EC2EF3"/>
    <w:rsid w:val="00EC5451"/>
    <w:rsid w:val="00EC57E2"/>
    <w:rsid w:val="00EC5D3F"/>
    <w:rsid w:val="00EC5E22"/>
    <w:rsid w:val="00EC69F0"/>
    <w:rsid w:val="00EC7D4B"/>
    <w:rsid w:val="00ED196B"/>
    <w:rsid w:val="00ED1B49"/>
    <w:rsid w:val="00ED2230"/>
    <w:rsid w:val="00ED25FD"/>
    <w:rsid w:val="00ED78B5"/>
    <w:rsid w:val="00ED7A2E"/>
    <w:rsid w:val="00EE285C"/>
    <w:rsid w:val="00EE4D33"/>
    <w:rsid w:val="00EE5640"/>
    <w:rsid w:val="00EE64BC"/>
    <w:rsid w:val="00EE6E6D"/>
    <w:rsid w:val="00EE7425"/>
    <w:rsid w:val="00EE78A9"/>
    <w:rsid w:val="00EF0475"/>
    <w:rsid w:val="00EF11A8"/>
    <w:rsid w:val="00EF1A46"/>
    <w:rsid w:val="00EF20B1"/>
    <w:rsid w:val="00EF246C"/>
    <w:rsid w:val="00EF7456"/>
    <w:rsid w:val="00EF75CF"/>
    <w:rsid w:val="00EF7C57"/>
    <w:rsid w:val="00EF7FC7"/>
    <w:rsid w:val="00F004DE"/>
    <w:rsid w:val="00F019F5"/>
    <w:rsid w:val="00F01B89"/>
    <w:rsid w:val="00F0207B"/>
    <w:rsid w:val="00F02602"/>
    <w:rsid w:val="00F02687"/>
    <w:rsid w:val="00F02691"/>
    <w:rsid w:val="00F030AC"/>
    <w:rsid w:val="00F03558"/>
    <w:rsid w:val="00F03E7D"/>
    <w:rsid w:val="00F0444B"/>
    <w:rsid w:val="00F07284"/>
    <w:rsid w:val="00F10FCF"/>
    <w:rsid w:val="00F126CF"/>
    <w:rsid w:val="00F1270D"/>
    <w:rsid w:val="00F12FDE"/>
    <w:rsid w:val="00F14094"/>
    <w:rsid w:val="00F14158"/>
    <w:rsid w:val="00F141BE"/>
    <w:rsid w:val="00F1420C"/>
    <w:rsid w:val="00F14762"/>
    <w:rsid w:val="00F14A6D"/>
    <w:rsid w:val="00F15918"/>
    <w:rsid w:val="00F15FB5"/>
    <w:rsid w:val="00F166E8"/>
    <w:rsid w:val="00F16A11"/>
    <w:rsid w:val="00F17D1F"/>
    <w:rsid w:val="00F22196"/>
    <w:rsid w:val="00F23EFC"/>
    <w:rsid w:val="00F25C55"/>
    <w:rsid w:val="00F26735"/>
    <w:rsid w:val="00F27172"/>
    <w:rsid w:val="00F30A27"/>
    <w:rsid w:val="00F30CEB"/>
    <w:rsid w:val="00F31285"/>
    <w:rsid w:val="00F34A08"/>
    <w:rsid w:val="00F37373"/>
    <w:rsid w:val="00F417DD"/>
    <w:rsid w:val="00F42869"/>
    <w:rsid w:val="00F43E39"/>
    <w:rsid w:val="00F4486A"/>
    <w:rsid w:val="00F44A11"/>
    <w:rsid w:val="00F453CF"/>
    <w:rsid w:val="00F478D1"/>
    <w:rsid w:val="00F509F7"/>
    <w:rsid w:val="00F5164F"/>
    <w:rsid w:val="00F518AF"/>
    <w:rsid w:val="00F5259E"/>
    <w:rsid w:val="00F52C6C"/>
    <w:rsid w:val="00F52C9F"/>
    <w:rsid w:val="00F533CA"/>
    <w:rsid w:val="00F544A9"/>
    <w:rsid w:val="00F54E8F"/>
    <w:rsid w:val="00F559FC"/>
    <w:rsid w:val="00F56004"/>
    <w:rsid w:val="00F6110E"/>
    <w:rsid w:val="00F61BC3"/>
    <w:rsid w:val="00F62628"/>
    <w:rsid w:val="00F62F53"/>
    <w:rsid w:val="00F6449B"/>
    <w:rsid w:val="00F64B9B"/>
    <w:rsid w:val="00F7058E"/>
    <w:rsid w:val="00F713CB"/>
    <w:rsid w:val="00F716CA"/>
    <w:rsid w:val="00F718DA"/>
    <w:rsid w:val="00F71CA1"/>
    <w:rsid w:val="00F72B5A"/>
    <w:rsid w:val="00F73691"/>
    <w:rsid w:val="00F73C79"/>
    <w:rsid w:val="00F760CB"/>
    <w:rsid w:val="00F77159"/>
    <w:rsid w:val="00F81CF4"/>
    <w:rsid w:val="00F83CC2"/>
    <w:rsid w:val="00F83F4E"/>
    <w:rsid w:val="00F853D4"/>
    <w:rsid w:val="00F8721A"/>
    <w:rsid w:val="00F91C2B"/>
    <w:rsid w:val="00F92943"/>
    <w:rsid w:val="00F952A6"/>
    <w:rsid w:val="00F97809"/>
    <w:rsid w:val="00FA0157"/>
    <w:rsid w:val="00FA1899"/>
    <w:rsid w:val="00FA2059"/>
    <w:rsid w:val="00FA2112"/>
    <w:rsid w:val="00FA2AF4"/>
    <w:rsid w:val="00FA43DA"/>
    <w:rsid w:val="00FA6779"/>
    <w:rsid w:val="00FA713E"/>
    <w:rsid w:val="00FA75A6"/>
    <w:rsid w:val="00FA7926"/>
    <w:rsid w:val="00FB0857"/>
    <w:rsid w:val="00FB0CED"/>
    <w:rsid w:val="00FB126C"/>
    <w:rsid w:val="00FB1D4E"/>
    <w:rsid w:val="00FB29A4"/>
    <w:rsid w:val="00FB5162"/>
    <w:rsid w:val="00FB55A6"/>
    <w:rsid w:val="00FB61D1"/>
    <w:rsid w:val="00FC0238"/>
    <w:rsid w:val="00FC0672"/>
    <w:rsid w:val="00FC1BCA"/>
    <w:rsid w:val="00FC2941"/>
    <w:rsid w:val="00FC42BD"/>
    <w:rsid w:val="00FC487E"/>
    <w:rsid w:val="00FC58E7"/>
    <w:rsid w:val="00FC6066"/>
    <w:rsid w:val="00FC6260"/>
    <w:rsid w:val="00FC7A0A"/>
    <w:rsid w:val="00FD2238"/>
    <w:rsid w:val="00FD271B"/>
    <w:rsid w:val="00FD31FF"/>
    <w:rsid w:val="00FD3D01"/>
    <w:rsid w:val="00FD4F38"/>
    <w:rsid w:val="00FD5C88"/>
    <w:rsid w:val="00FD5F41"/>
    <w:rsid w:val="00FD5FA3"/>
    <w:rsid w:val="00FD62D7"/>
    <w:rsid w:val="00FD68FC"/>
    <w:rsid w:val="00FD724E"/>
    <w:rsid w:val="00FE08C2"/>
    <w:rsid w:val="00FE0DEE"/>
    <w:rsid w:val="00FE1520"/>
    <w:rsid w:val="00FE1E5E"/>
    <w:rsid w:val="00FE2072"/>
    <w:rsid w:val="00FE2A1B"/>
    <w:rsid w:val="00FE2C17"/>
    <w:rsid w:val="00FE3241"/>
    <w:rsid w:val="00FE4F47"/>
    <w:rsid w:val="00FE5A5B"/>
    <w:rsid w:val="00FE5F83"/>
    <w:rsid w:val="00FE6057"/>
    <w:rsid w:val="00FE63A1"/>
    <w:rsid w:val="00FE6505"/>
    <w:rsid w:val="00FE6972"/>
    <w:rsid w:val="00FE6E11"/>
    <w:rsid w:val="00FE74FF"/>
    <w:rsid w:val="00FE7DFF"/>
    <w:rsid w:val="00FF122C"/>
    <w:rsid w:val="00FF2533"/>
    <w:rsid w:val="00FF2AAA"/>
    <w:rsid w:val="00FF304E"/>
    <w:rsid w:val="00FF3891"/>
    <w:rsid w:val="00FF38FC"/>
    <w:rsid w:val="00FF40FE"/>
    <w:rsid w:val="00FF4EE2"/>
    <w:rsid w:val="00FF5C3A"/>
    <w:rsid w:val="00FF6E8F"/>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A7E1"/>
  <w15:docId w15:val="{DD22483C-C6BC-485A-96AA-033B9EDB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49DB"/>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D129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1293"/>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93"/>
    <w:pPr>
      <w:keepNext/>
      <w:keepLines/>
      <w:spacing w:before="40" w:after="0" w:line="256" w:lineRule="auto"/>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1D1293"/>
    <w:pPr>
      <w:keepNext/>
      <w:keepLines/>
      <w:spacing w:before="40" w:after="0" w:line="25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948"/>
    <w:rPr>
      <w:rFonts w:eastAsiaTheme="minorEastAsia" w:cstheme="minorBidi"/>
      <w:sz w:val="18"/>
      <w:szCs w:val="20"/>
    </w:rPr>
  </w:style>
  <w:style w:type="character" w:customStyle="1" w:styleId="FootnoteTextChar">
    <w:name w:val="Footnote Text Char"/>
    <w:basedOn w:val="DefaultParagraphFont"/>
    <w:link w:val="FootnoteText"/>
    <w:uiPriority w:val="99"/>
    <w:semiHidden/>
    <w:rsid w:val="00247948"/>
    <w:rPr>
      <w:rFonts w:ascii="Times New Roman" w:eastAsiaTheme="minorEastAsia" w:hAnsi="Times New Roman"/>
      <w:sz w:val="18"/>
      <w:szCs w:val="20"/>
    </w:rPr>
  </w:style>
  <w:style w:type="paragraph" w:customStyle="1" w:styleId="Default">
    <w:name w:val="Default"/>
    <w:rsid w:val="00E949DB"/>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E9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DB"/>
    <w:rPr>
      <w:rFonts w:ascii="Times New Roman" w:eastAsia="Calibri" w:hAnsi="Times New Roman" w:cs="Times New Roman"/>
      <w:sz w:val="24"/>
    </w:rPr>
  </w:style>
  <w:style w:type="paragraph" w:styleId="ListParagraph">
    <w:name w:val="List Paragraph"/>
    <w:aliases w:val="References,Bullets,Numbered List Paragraph,Liste 1,Liste couleur - Accent 11,Paragraphe  revu,List Paragraph (numbered (a)),List Paragraph1,List Bullet Mary,Medium Grid 1 - Accent 21,Listeafsnit"/>
    <w:basedOn w:val="Normal"/>
    <w:link w:val="ListParagraphChar"/>
    <w:uiPriority w:val="34"/>
    <w:qFormat/>
    <w:rsid w:val="00E949DB"/>
    <w:pPr>
      <w:ind w:left="720"/>
      <w:contextualSpacing/>
    </w:pPr>
  </w:style>
  <w:style w:type="character" w:styleId="FootnoteReference">
    <w:name w:val="footnote reference"/>
    <w:basedOn w:val="DefaultParagraphFont"/>
    <w:uiPriority w:val="99"/>
    <w:semiHidden/>
    <w:unhideWhenUsed/>
    <w:rsid w:val="00E949DB"/>
    <w:rPr>
      <w:vertAlign w:val="superscript"/>
    </w:rPr>
  </w:style>
  <w:style w:type="paragraph" w:styleId="Header">
    <w:name w:val="header"/>
    <w:basedOn w:val="Normal"/>
    <w:link w:val="HeaderChar"/>
    <w:uiPriority w:val="99"/>
    <w:unhideWhenUsed/>
    <w:rsid w:val="00933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13C"/>
    <w:rPr>
      <w:rFonts w:ascii="Times New Roman" w:eastAsia="Calibri" w:hAnsi="Times New Roman" w:cs="Times New Roman"/>
      <w:sz w:val="24"/>
    </w:rPr>
  </w:style>
  <w:style w:type="paragraph" w:styleId="Caption">
    <w:name w:val="caption"/>
    <w:basedOn w:val="Normal"/>
    <w:next w:val="Normal"/>
    <w:uiPriority w:val="35"/>
    <w:unhideWhenUsed/>
    <w:qFormat/>
    <w:rsid w:val="002958FE"/>
    <w:pPr>
      <w:spacing w:line="240" w:lineRule="auto"/>
    </w:pPr>
    <w:rPr>
      <w:b/>
      <w:bCs/>
      <w:szCs w:val="18"/>
      <w:lang w:val="fr-FR"/>
    </w:rPr>
  </w:style>
  <w:style w:type="paragraph" w:styleId="BalloonText">
    <w:name w:val="Balloon Text"/>
    <w:basedOn w:val="Normal"/>
    <w:link w:val="BalloonTextChar"/>
    <w:uiPriority w:val="99"/>
    <w:semiHidden/>
    <w:unhideWhenUsed/>
    <w:rsid w:val="00F5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9E"/>
    <w:rPr>
      <w:rFonts w:ascii="Tahoma" w:eastAsia="Calibri" w:hAnsi="Tahoma" w:cs="Tahoma"/>
      <w:sz w:val="16"/>
      <w:szCs w:val="16"/>
    </w:rPr>
  </w:style>
  <w:style w:type="character" w:styleId="CommentReference">
    <w:name w:val="annotation reference"/>
    <w:basedOn w:val="DefaultParagraphFont"/>
    <w:uiPriority w:val="99"/>
    <w:semiHidden/>
    <w:unhideWhenUsed/>
    <w:rsid w:val="00FE0DEE"/>
    <w:rPr>
      <w:sz w:val="16"/>
      <w:szCs w:val="16"/>
    </w:rPr>
  </w:style>
  <w:style w:type="paragraph" w:styleId="CommentText">
    <w:name w:val="annotation text"/>
    <w:basedOn w:val="Normal"/>
    <w:link w:val="CommentTextChar"/>
    <w:uiPriority w:val="99"/>
    <w:semiHidden/>
    <w:unhideWhenUsed/>
    <w:rsid w:val="00FE0DEE"/>
    <w:pPr>
      <w:spacing w:line="240" w:lineRule="auto"/>
    </w:pPr>
    <w:rPr>
      <w:sz w:val="20"/>
      <w:szCs w:val="20"/>
    </w:rPr>
  </w:style>
  <w:style w:type="character" w:customStyle="1" w:styleId="CommentTextChar">
    <w:name w:val="Comment Text Char"/>
    <w:basedOn w:val="DefaultParagraphFont"/>
    <w:link w:val="CommentText"/>
    <w:uiPriority w:val="99"/>
    <w:semiHidden/>
    <w:rsid w:val="00FE0DE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DEE"/>
    <w:rPr>
      <w:b/>
      <w:bCs/>
    </w:rPr>
  </w:style>
  <w:style w:type="character" w:customStyle="1" w:styleId="CommentSubjectChar">
    <w:name w:val="Comment Subject Char"/>
    <w:basedOn w:val="CommentTextChar"/>
    <w:link w:val="CommentSubject"/>
    <w:uiPriority w:val="99"/>
    <w:semiHidden/>
    <w:rsid w:val="00FE0DEE"/>
    <w:rPr>
      <w:rFonts w:ascii="Times New Roman" w:eastAsia="Calibri" w:hAnsi="Times New Roman" w:cs="Times New Roman"/>
      <w:b/>
      <w:bCs/>
      <w:sz w:val="20"/>
      <w:szCs w:val="20"/>
    </w:rPr>
  </w:style>
  <w:style w:type="paragraph" w:styleId="Revision">
    <w:name w:val="Revision"/>
    <w:hidden/>
    <w:uiPriority w:val="99"/>
    <w:semiHidden/>
    <w:rsid w:val="00FE0DEE"/>
    <w:rPr>
      <w:rFonts w:ascii="Times New Roman" w:eastAsia="Calibri" w:hAnsi="Times New Roman" w:cs="Times New Roman"/>
      <w:sz w:val="24"/>
    </w:rPr>
  </w:style>
  <w:style w:type="table" w:styleId="TableGrid">
    <w:name w:val="Table Grid"/>
    <w:basedOn w:val="TableNormal"/>
    <w:uiPriority w:val="59"/>
    <w:rsid w:val="002C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s Char,Numbered List Paragraph Char,Liste 1 Char,Liste couleur - Accent 11 Char,Paragraphe  revu Char,List Paragraph (numbered (a)) Char,List Paragraph1 Char,List Bullet Mary Char,Medium Grid 1 - Accent 21 Char"/>
    <w:link w:val="ListParagraph"/>
    <w:uiPriority w:val="34"/>
    <w:locked/>
    <w:rsid w:val="00614776"/>
    <w:rPr>
      <w:rFonts w:ascii="Times New Roman" w:eastAsia="Calibri" w:hAnsi="Times New Roman" w:cs="Times New Roman"/>
      <w:sz w:val="24"/>
    </w:rPr>
  </w:style>
  <w:style w:type="paragraph" w:styleId="NormalWeb">
    <w:name w:val="Normal (Web)"/>
    <w:basedOn w:val="Normal"/>
    <w:uiPriority w:val="99"/>
    <w:semiHidden/>
    <w:unhideWhenUsed/>
    <w:rsid w:val="00D3326A"/>
    <w:pPr>
      <w:spacing w:after="0" w:line="240" w:lineRule="auto"/>
    </w:pPr>
    <w:rPr>
      <w:rFonts w:eastAsiaTheme="minorHAnsi"/>
      <w:szCs w:val="24"/>
    </w:rPr>
  </w:style>
  <w:style w:type="paragraph" w:customStyle="1" w:styleId="yiv5947304659msonormal">
    <w:name w:val="yiv5947304659msonormal"/>
    <w:basedOn w:val="Normal"/>
    <w:rsid w:val="00BB49E7"/>
    <w:pPr>
      <w:spacing w:before="100" w:beforeAutospacing="1" w:after="100" w:afterAutospacing="1" w:line="240" w:lineRule="auto"/>
    </w:pPr>
    <w:rPr>
      <w:rFonts w:eastAsia="Times New Roman"/>
      <w:szCs w:val="24"/>
      <w:lang w:val="fr-FR" w:eastAsia="fr-FR"/>
    </w:rPr>
  </w:style>
  <w:style w:type="paragraph" w:customStyle="1" w:styleId="yiv5947304659msolistparagraph">
    <w:name w:val="yiv5947304659msolistparagraph"/>
    <w:basedOn w:val="Normal"/>
    <w:rsid w:val="00BB49E7"/>
    <w:pPr>
      <w:spacing w:before="100" w:beforeAutospacing="1" w:after="100" w:afterAutospacing="1" w:line="240" w:lineRule="auto"/>
    </w:pPr>
    <w:rPr>
      <w:rFonts w:eastAsia="Times New Roman"/>
      <w:szCs w:val="24"/>
      <w:lang w:val="fr-FR" w:eastAsia="fr-FR"/>
    </w:rPr>
  </w:style>
  <w:style w:type="paragraph" w:styleId="EndnoteText">
    <w:name w:val="endnote text"/>
    <w:basedOn w:val="Normal"/>
    <w:link w:val="EndnoteTextChar"/>
    <w:uiPriority w:val="99"/>
    <w:semiHidden/>
    <w:unhideWhenUsed/>
    <w:rsid w:val="00F718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8D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F718DA"/>
    <w:rPr>
      <w:vertAlign w:val="superscript"/>
    </w:rPr>
  </w:style>
  <w:style w:type="character" w:customStyle="1" w:styleId="Heading1Char">
    <w:name w:val="Heading 1 Char"/>
    <w:basedOn w:val="DefaultParagraphFont"/>
    <w:link w:val="Heading1"/>
    <w:uiPriority w:val="9"/>
    <w:rsid w:val="001D12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D12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9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1D129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979">
      <w:bodyDiv w:val="1"/>
      <w:marLeft w:val="0"/>
      <w:marRight w:val="0"/>
      <w:marTop w:val="0"/>
      <w:marBottom w:val="0"/>
      <w:divBdr>
        <w:top w:val="none" w:sz="0" w:space="0" w:color="auto"/>
        <w:left w:val="none" w:sz="0" w:space="0" w:color="auto"/>
        <w:bottom w:val="none" w:sz="0" w:space="0" w:color="auto"/>
        <w:right w:val="none" w:sz="0" w:space="0" w:color="auto"/>
      </w:divBdr>
    </w:div>
    <w:div w:id="288827700">
      <w:bodyDiv w:val="1"/>
      <w:marLeft w:val="0"/>
      <w:marRight w:val="0"/>
      <w:marTop w:val="0"/>
      <w:marBottom w:val="0"/>
      <w:divBdr>
        <w:top w:val="none" w:sz="0" w:space="0" w:color="auto"/>
        <w:left w:val="none" w:sz="0" w:space="0" w:color="auto"/>
        <w:bottom w:val="none" w:sz="0" w:space="0" w:color="auto"/>
        <w:right w:val="none" w:sz="0" w:space="0" w:color="auto"/>
      </w:divBdr>
    </w:div>
    <w:div w:id="700088271">
      <w:bodyDiv w:val="1"/>
      <w:marLeft w:val="0"/>
      <w:marRight w:val="0"/>
      <w:marTop w:val="0"/>
      <w:marBottom w:val="0"/>
      <w:divBdr>
        <w:top w:val="none" w:sz="0" w:space="0" w:color="auto"/>
        <w:left w:val="none" w:sz="0" w:space="0" w:color="auto"/>
        <w:bottom w:val="none" w:sz="0" w:space="0" w:color="auto"/>
        <w:right w:val="none" w:sz="0" w:space="0" w:color="auto"/>
      </w:divBdr>
    </w:div>
    <w:div w:id="750934669">
      <w:bodyDiv w:val="1"/>
      <w:marLeft w:val="0"/>
      <w:marRight w:val="0"/>
      <w:marTop w:val="0"/>
      <w:marBottom w:val="0"/>
      <w:divBdr>
        <w:top w:val="none" w:sz="0" w:space="0" w:color="auto"/>
        <w:left w:val="none" w:sz="0" w:space="0" w:color="auto"/>
        <w:bottom w:val="none" w:sz="0" w:space="0" w:color="auto"/>
        <w:right w:val="none" w:sz="0" w:space="0" w:color="auto"/>
      </w:divBdr>
    </w:div>
    <w:div w:id="953827547">
      <w:bodyDiv w:val="1"/>
      <w:marLeft w:val="0"/>
      <w:marRight w:val="0"/>
      <w:marTop w:val="0"/>
      <w:marBottom w:val="0"/>
      <w:divBdr>
        <w:top w:val="none" w:sz="0" w:space="0" w:color="auto"/>
        <w:left w:val="none" w:sz="0" w:space="0" w:color="auto"/>
        <w:bottom w:val="none" w:sz="0" w:space="0" w:color="auto"/>
        <w:right w:val="none" w:sz="0" w:space="0" w:color="auto"/>
      </w:divBdr>
    </w:div>
    <w:div w:id="1467354300">
      <w:bodyDiv w:val="1"/>
      <w:marLeft w:val="0"/>
      <w:marRight w:val="0"/>
      <w:marTop w:val="0"/>
      <w:marBottom w:val="0"/>
      <w:divBdr>
        <w:top w:val="none" w:sz="0" w:space="0" w:color="auto"/>
        <w:left w:val="none" w:sz="0" w:space="0" w:color="auto"/>
        <w:bottom w:val="none" w:sz="0" w:space="0" w:color="auto"/>
        <w:right w:val="none" w:sz="0" w:space="0" w:color="auto"/>
      </w:divBdr>
    </w:div>
    <w:div w:id="1499080540">
      <w:bodyDiv w:val="1"/>
      <w:marLeft w:val="0"/>
      <w:marRight w:val="0"/>
      <w:marTop w:val="0"/>
      <w:marBottom w:val="0"/>
      <w:divBdr>
        <w:top w:val="none" w:sz="0" w:space="0" w:color="auto"/>
        <w:left w:val="none" w:sz="0" w:space="0" w:color="auto"/>
        <w:bottom w:val="none" w:sz="0" w:space="0" w:color="auto"/>
        <w:right w:val="none" w:sz="0" w:space="0" w:color="auto"/>
      </w:divBdr>
    </w:div>
    <w:div w:id="1605117270">
      <w:bodyDiv w:val="1"/>
      <w:marLeft w:val="0"/>
      <w:marRight w:val="0"/>
      <w:marTop w:val="0"/>
      <w:marBottom w:val="0"/>
      <w:divBdr>
        <w:top w:val="none" w:sz="0" w:space="0" w:color="auto"/>
        <w:left w:val="none" w:sz="0" w:space="0" w:color="auto"/>
        <w:bottom w:val="none" w:sz="0" w:space="0" w:color="auto"/>
        <w:right w:val="none" w:sz="0" w:space="0" w:color="auto"/>
      </w:divBdr>
    </w:div>
    <w:div w:id="1822697569">
      <w:bodyDiv w:val="1"/>
      <w:marLeft w:val="0"/>
      <w:marRight w:val="0"/>
      <w:marTop w:val="0"/>
      <w:marBottom w:val="0"/>
      <w:divBdr>
        <w:top w:val="none" w:sz="0" w:space="0" w:color="auto"/>
        <w:left w:val="none" w:sz="0" w:space="0" w:color="auto"/>
        <w:bottom w:val="none" w:sz="0" w:space="0" w:color="auto"/>
        <w:right w:val="none" w:sz="0" w:space="0" w:color="auto"/>
      </w:divBdr>
    </w:div>
    <w:div w:id="1982805390">
      <w:bodyDiv w:val="1"/>
      <w:marLeft w:val="0"/>
      <w:marRight w:val="0"/>
      <w:marTop w:val="0"/>
      <w:marBottom w:val="0"/>
      <w:divBdr>
        <w:top w:val="none" w:sz="0" w:space="0" w:color="auto"/>
        <w:left w:val="none" w:sz="0" w:space="0" w:color="auto"/>
        <w:bottom w:val="none" w:sz="0" w:space="0" w:color="auto"/>
        <w:right w:val="none" w:sz="0" w:space="0" w:color="auto"/>
      </w:divBdr>
    </w:div>
    <w:div w:id="21473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000239433:Christophe Rockmore:crockmore@worldbank.org;</DocAuthors>
    <Authors xmlns="b99a068c-3844-4a16-badd-77233eea0529">
      <UserInfo>
        <DisplayName>i:0#.w|wb\wb239433</DisplayName>
        <AccountId>3811</AccountId>
        <AccountType/>
      </UserInfo>
      <UserInfo>
        <DisplayName/>
        <AccountId xsi:nil="true"/>
        <AccountType/>
      </UserInfo>
    </Authors>
    <Cordis_x0020_ID xmlns="b99a068c-3844-4a16-badd-77233eea0529">ITM00267</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2017-10-11T04:00:00+00:00</DocumentDate>
    <WBDocType xmlns="b99a068c-3844-4a16-badd-77233eea0529">Aide Memoire</WBDocType>
    <SecurityClassification xmlns="b99a068c-3844-4a16-badd-77233eea0529">Public</SecurityClassification>
    <DeliverableID xmlns="b99a068c-3844-4a16-badd-77233eea0529" xsi:nil="true"/>
    <ProjectID xmlns="b99a068c-3844-4a16-badd-77233eea0529">P145965</ProjectID>
    <Task_x0020_ID xmlns="b99a068c-3844-4a16-badd-77233eea0529">TSK7042505</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322259150AF7BC46B4578D185BA825B1" ma:contentTypeVersion="16" ma:contentTypeDescription="" ma:contentTypeScope="" ma:versionID="fe1f5ab80ae5a81e3c6fd5321778ad4a">
  <xsd:schema xmlns:xsd="http://www.w3.org/2001/XMLSchema" xmlns:xs="http://www.w3.org/2001/XMLSchema" xmlns:p="http://schemas.microsoft.com/office/2006/metadata/properties" xmlns:ns2="b99a068c-3844-4a16-badd-77233eea0529" targetNamespace="http://schemas.microsoft.com/office/2006/metadata/properties" ma:root="true" ma:fieldsID="2b3a9bbb542628bb3aa1a1776cfa5568"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653075DA-A6BD-4B6C-9DE9-D1C60956FAA1}"/>
</file>

<file path=customXml/itemProps2.xml><?xml version="1.0" encoding="utf-8"?>
<ds:datastoreItem xmlns:ds="http://schemas.openxmlformats.org/officeDocument/2006/customXml" ds:itemID="{39B5FD13-AB04-4212-AFEA-C3E1D9DCD5C3}"/>
</file>

<file path=customXml/itemProps3.xml><?xml version="1.0" encoding="utf-8"?>
<ds:datastoreItem xmlns:ds="http://schemas.openxmlformats.org/officeDocument/2006/customXml" ds:itemID="{E942D769-AF86-412C-A199-8F11665EDC8A}"/>
</file>

<file path=customXml/itemProps4.xml><?xml version="1.0" encoding="utf-8"?>
<ds:datastoreItem xmlns:ds="http://schemas.openxmlformats.org/officeDocument/2006/customXml" ds:itemID="{A1AF6C03-8984-445C-B1BE-2FDB4B709981}"/>
</file>

<file path=customXml/itemProps5.xml><?xml version="1.0" encoding="utf-8"?>
<ds:datastoreItem xmlns:ds="http://schemas.openxmlformats.org/officeDocument/2006/customXml" ds:itemID="{BEBD874C-A4FE-4346-901C-10BEB2B04566}"/>
</file>

<file path=customXml/itemProps6.xml><?xml version="1.0" encoding="utf-8"?>
<ds:datastoreItem xmlns:ds="http://schemas.openxmlformats.org/officeDocument/2006/customXml" ds:itemID="{0FD9525B-FF0E-42C4-84B3-1D144AE25F54}"/>
</file>

<file path=docProps/app.xml><?xml version="1.0" encoding="utf-8"?>
<Properties xmlns="http://schemas.openxmlformats.org/officeDocument/2006/extended-properties" xmlns:vt="http://schemas.openxmlformats.org/officeDocument/2006/docPropsVTypes">
  <Template>Normal.dotm</Template>
  <TotalTime>23</TotalTime>
  <Pages>22</Pages>
  <Words>9188</Words>
  <Characters>52376</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61442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PRSDHU_AM_201708</dc:title>
  <dc:creator>Christophe Rockmore</dc:creator>
  <cp:lastModifiedBy>Christophe Rockmore</cp:lastModifiedBy>
  <cp:revision>7</cp:revision>
  <cp:lastPrinted>2016-08-16T07:48:00Z</cp:lastPrinted>
  <dcterms:created xsi:type="dcterms:W3CDTF">2017-10-11T07:39:00Z</dcterms:created>
  <dcterms:modified xsi:type="dcterms:W3CDTF">2017-10-11T08:26:00Z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0x01010054E0FEF4951F9D49A6F48A35419983C700322259150AF7BC46B4578D185BA825B1</vt:lpwstr>
  </property>
  <property fmtid="{D5CDD505-2E9C-101B-9397-08002B2CF9AE}" pid="5" name="RatedBy">
    <vt:lpwstr/>
  </property>
  <property fmtid="{D5CDD505-2E9C-101B-9397-08002B2CF9AE}" pid="7" name="LikedBy">
    <vt:lpwstr/>
  </property>
</Properties>
</file>