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3A2A7" w14:textId="77777777" w:rsidR="00FC291A" w:rsidRDefault="00FC291A" w:rsidP="00FC291A">
      <w:pPr>
        <w:pStyle w:val="Title"/>
        <w:rPr>
          <w:rFonts w:ascii="Times New Roman" w:hAnsi="Times New Roman" w:cs="Times New Roman"/>
          <w:b/>
          <w:sz w:val="64"/>
          <w:szCs w:val="64"/>
        </w:rPr>
      </w:pPr>
      <w:bookmarkStart w:id="0" w:name="_GoBack"/>
      <w:bookmarkEnd w:id="0"/>
    </w:p>
    <w:p w14:paraId="70B3E178" w14:textId="77777777" w:rsidR="00FC291A" w:rsidRDefault="00FC291A" w:rsidP="00FC291A">
      <w:pPr>
        <w:pStyle w:val="Title"/>
        <w:rPr>
          <w:rFonts w:ascii="Times New Roman" w:hAnsi="Times New Roman" w:cs="Times New Roman"/>
          <w:b/>
          <w:sz w:val="64"/>
          <w:szCs w:val="64"/>
        </w:rPr>
      </w:pPr>
    </w:p>
    <w:p w14:paraId="3FDD9BB9" w14:textId="77777777" w:rsidR="00FC291A" w:rsidRDefault="00FC291A" w:rsidP="00FC291A">
      <w:pPr>
        <w:pStyle w:val="Title"/>
        <w:rPr>
          <w:rFonts w:ascii="Times New Roman" w:hAnsi="Times New Roman" w:cs="Times New Roman"/>
          <w:b/>
          <w:sz w:val="64"/>
          <w:szCs w:val="64"/>
        </w:rPr>
      </w:pPr>
    </w:p>
    <w:p w14:paraId="33ABEE09" w14:textId="77777777" w:rsidR="00FC291A" w:rsidRDefault="00FC291A" w:rsidP="00FC291A">
      <w:pPr>
        <w:pStyle w:val="Title"/>
        <w:rPr>
          <w:rFonts w:ascii="Times New Roman" w:hAnsi="Times New Roman" w:cs="Times New Roman"/>
          <w:b/>
          <w:sz w:val="64"/>
          <w:szCs w:val="64"/>
        </w:rPr>
      </w:pPr>
    </w:p>
    <w:p w14:paraId="65D7A356" w14:textId="77777777" w:rsidR="00FC291A" w:rsidRDefault="00FC291A" w:rsidP="00FC291A">
      <w:pPr>
        <w:pStyle w:val="Title"/>
        <w:rPr>
          <w:rFonts w:ascii="Times New Roman" w:hAnsi="Times New Roman" w:cs="Times New Roman"/>
          <w:b/>
          <w:sz w:val="64"/>
          <w:szCs w:val="64"/>
        </w:rPr>
      </w:pPr>
    </w:p>
    <w:p w14:paraId="71A15543" w14:textId="65E17443" w:rsidR="005A224A" w:rsidRPr="005A224A" w:rsidRDefault="005A224A" w:rsidP="005E5467">
      <w:pPr>
        <w:pStyle w:val="Title"/>
        <w:jc w:val="left"/>
        <w:rPr>
          <w:rFonts w:ascii="Times New Roman" w:hAnsi="Times New Roman" w:cs="Times New Roman"/>
          <w:b/>
          <w:sz w:val="64"/>
          <w:szCs w:val="64"/>
        </w:rPr>
      </w:pPr>
      <w:r w:rsidRPr="005A224A">
        <w:rPr>
          <w:rFonts w:ascii="Times New Roman" w:hAnsi="Times New Roman" w:cs="Times New Roman"/>
          <w:b/>
          <w:sz w:val="64"/>
          <w:szCs w:val="64"/>
        </w:rPr>
        <w:t>The Effect</w:t>
      </w:r>
      <w:r w:rsidR="00CC39E7">
        <w:rPr>
          <w:rFonts w:ascii="Times New Roman" w:hAnsi="Times New Roman" w:cs="Times New Roman"/>
          <w:b/>
          <w:sz w:val="64"/>
          <w:szCs w:val="64"/>
        </w:rPr>
        <w:t>s</w:t>
      </w:r>
      <w:r w:rsidRPr="005A224A">
        <w:rPr>
          <w:rFonts w:ascii="Times New Roman" w:hAnsi="Times New Roman" w:cs="Times New Roman"/>
          <w:b/>
          <w:sz w:val="64"/>
          <w:szCs w:val="64"/>
        </w:rPr>
        <w:t xml:space="preserve"> of Taxes and Social </w:t>
      </w:r>
      <w:r w:rsidR="00CC39E7">
        <w:rPr>
          <w:rFonts w:ascii="Times New Roman" w:hAnsi="Times New Roman" w:cs="Times New Roman"/>
          <w:b/>
          <w:sz w:val="64"/>
          <w:szCs w:val="64"/>
        </w:rPr>
        <w:t>S</w:t>
      </w:r>
      <w:r w:rsidRPr="005A224A">
        <w:rPr>
          <w:rFonts w:ascii="Times New Roman" w:hAnsi="Times New Roman" w:cs="Times New Roman"/>
          <w:b/>
          <w:sz w:val="64"/>
          <w:szCs w:val="64"/>
        </w:rPr>
        <w:t>pending on the Distribution o</w:t>
      </w:r>
      <w:r w:rsidR="005D54EF">
        <w:rPr>
          <w:rFonts w:ascii="Times New Roman" w:hAnsi="Times New Roman" w:cs="Times New Roman"/>
          <w:b/>
          <w:sz w:val="64"/>
          <w:szCs w:val="64"/>
        </w:rPr>
        <w:t>f</w:t>
      </w:r>
      <w:r w:rsidRPr="005A224A">
        <w:rPr>
          <w:rFonts w:ascii="Times New Roman" w:hAnsi="Times New Roman" w:cs="Times New Roman"/>
          <w:b/>
          <w:sz w:val="64"/>
          <w:szCs w:val="64"/>
        </w:rPr>
        <w:t xml:space="preserve"> Household Income in Mauritius</w:t>
      </w:r>
    </w:p>
    <w:p w14:paraId="10B82648" w14:textId="3FA8C0C2" w:rsidR="00847D21" w:rsidRDefault="00FC291A">
      <w:pPr>
        <w:jc w:val="left"/>
      </w:pPr>
      <w:r>
        <w:br w:type="page"/>
      </w:r>
      <w:r w:rsidR="00847D21">
        <w:lastRenderedPageBreak/>
        <w:br w:type="page"/>
      </w:r>
    </w:p>
    <w:p w14:paraId="47F7B4B5" w14:textId="5CDC9C3B" w:rsidR="00847D21" w:rsidRPr="00923302" w:rsidRDefault="00847D21" w:rsidP="00923302">
      <w:pPr>
        <w:pStyle w:val="Heading1"/>
        <w:pBdr>
          <w:bottom w:val="none" w:sz="0" w:space="0" w:color="auto"/>
        </w:pBdr>
        <w:spacing w:before="240" w:after="0" w:line="259" w:lineRule="auto"/>
        <w:jc w:val="left"/>
        <w:rPr>
          <w:sz w:val="22"/>
          <w:szCs w:val="22"/>
        </w:rPr>
      </w:pPr>
      <w:bookmarkStart w:id="1" w:name="_Toc8773843"/>
      <w:bookmarkStart w:id="2" w:name="_Toc8812790"/>
      <w:bookmarkStart w:id="3" w:name="_Toc8813206"/>
      <w:bookmarkStart w:id="4" w:name="_Toc10824862"/>
      <w:bookmarkStart w:id="5" w:name="_Toc10824934"/>
      <w:r w:rsidRPr="00F72E7B">
        <w:rPr>
          <w:b/>
          <w:color w:val="auto"/>
          <w:sz w:val="32"/>
          <w:szCs w:val="32"/>
        </w:rPr>
        <w:lastRenderedPageBreak/>
        <w:t>Table of Contents</w:t>
      </w:r>
      <w:bookmarkEnd w:id="1"/>
      <w:bookmarkEnd w:id="2"/>
      <w:bookmarkEnd w:id="3"/>
      <w:bookmarkEnd w:id="4"/>
      <w:bookmarkEnd w:id="5"/>
    </w:p>
    <w:p w14:paraId="3F614174" w14:textId="7D07B99E" w:rsidR="00ED0F73" w:rsidRPr="00ED0F73" w:rsidRDefault="00ED0F73">
      <w:pPr>
        <w:pStyle w:val="TOC1"/>
        <w:tabs>
          <w:tab w:val="right" w:leader="dot" w:pos="9350"/>
        </w:tabs>
        <w:rPr>
          <w:rFonts w:cs="Times New Roman"/>
          <w:noProof/>
          <w:szCs w:val="22"/>
        </w:rPr>
      </w:pPr>
      <w:r w:rsidRPr="00ED0F73">
        <w:rPr>
          <w:rStyle w:val="Hyperlink"/>
          <w:rFonts w:cs="Times New Roman"/>
          <w:noProof/>
          <w:szCs w:val="22"/>
          <w:lang w:eastAsia="en-GB"/>
        </w:rPr>
        <w:fldChar w:fldCharType="begin"/>
      </w:r>
      <w:r w:rsidRPr="00ED0F73">
        <w:rPr>
          <w:rStyle w:val="Hyperlink"/>
          <w:rFonts w:cs="Times New Roman"/>
          <w:noProof/>
          <w:szCs w:val="22"/>
          <w:lang w:eastAsia="en-GB"/>
        </w:rPr>
        <w:instrText xml:space="preserve"> TOC \o "1-3" \h \z \u </w:instrText>
      </w:r>
      <w:r w:rsidRPr="00ED0F73">
        <w:rPr>
          <w:rStyle w:val="Hyperlink"/>
          <w:rFonts w:cs="Times New Roman"/>
          <w:noProof/>
          <w:szCs w:val="22"/>
          <w:lang w:eastAsia="en-GB"/>
        </w:rPr>
        <w:fldChar w:fldCharType="separate"/>
      </w:r>
      <w:hyperlink w:anchor="_Toc10824937" w:history="1">
        <w:r w:rsidRPr="00ED0F73">
          <w:rPr>
            <w:rStyle w:val="Hyperlink"/>
            <w:rFonts w:cs="Times New Roman"/>
            <w:noProof/>
            <w:szCs w:val="22"/>
          </w:rPr>
          <w:t>Acknowledgments</w:t>
        </w:r>
        <w:r w:rsidRPr="00ED0F73">
          <w:rPr>
            <w:rFonts w:cs="Times New Roman"/>
            <w:noProof/>
            <w:webHidden/>
            <w:szCs w:val="22"/>
          </w:rPr>
          <w:tab/>
        </w:r>
        <w:r w:rsidRPr="00ED0F73">
          <w:rPr>
            <w:rFonts w:cs="Times New Roman"/>
            <w:noProof/>
            <w:webHidden/>
            <w:szCs w:val="22"/>
          </w:rPr>
          <w:fldChar w:fldCharType="begin"/>
        </w:r>
        <w:r w:rsidRPr="00ED0F73">
          <w:rPr>
            <w:rFonts w:cs="Times New Roman"/>
            <w:noProof/>
            <w:webHidden/>
            <w:szCs w:val="22"/>
          </w:rPr>
          <w:instrText xml:space="preserve"> PAGEREF _Toc10824937 \h </w:instrText>
        </w:r>
        <w:r w:rsidRPr="00ED0F73">
          <w:rPr>
            <w:rFonts w:cs="Times New Roman"/>
            <w:noProof/>
            <w:webHidden/>
            <w:szCs w:val="22"/>
          </w:rPr>
        </w:r>
        <w:r w:rsidRPr="00ED0F73">
          <w:rPr>
            <w:rFonts w:cs="Times New Roman"/>
            <w:noProof/>
            <w:webHidden/>
            <w:szCs w:val="22"/>
          </w:rPr>
          <w:fldChar w:fldCharType="separate"/>
        </w:r>
        <w:r w:rsidR="00200930">
          <w:rPr>
            <w:rFonts w:cs="Times New Roman"/>
            <w:noProof/>
            <w:webHidden/>
            <w:szCs w:val="22"/>
          </w:rPr>
          <w:t>7</w:t>
        </w:r>
        <w:r w:rsidRPr="00ED0F73">
          <w:rPr>
            <w:rFonts w:cs="Times New Roman"/>
            <w:noProof/>
            <w:webHidden/>
            <w:szCs w:val="22"/>
          </w:rPr>
          <w:fldChar w:fldCharType="end"/>
        </w:r>
      </w:hyperlink>
    </w:p>
    <w:p w14:paraId="1118E7F8" w14:textId="3AEB806E" w:rsidR="00ED0F73" w:rsidRPr="00ED0F73" w:rsidRDefault="00B0774B">
      <w:pPr>
        <w:pStyle w:val="TOC1"/>
        <w:tabs>
          <w:tab w:val="right" w:leader="dot" w:pos="9350"/>
        </w:tabs>
        <w:rPr>
          <w:rFonts w:cs="Times New Roman"/>
          <w:noProof/>
          <w:szCs w:val="22"/>
        </w:rPr>
      </w:pPr>
      <w:hyperlink w:anchor="_Toc10824938" w:history="1">
        <w:r w:rsidR="00ED0F73" w:rsidRPr="00ED0F73">
          <w:rPr>
            <w:rStyle w:val="Hyperlink"/>
            <w:rFonts w:cs="Times New Roman"/>
            <w:noProof/>
            <w:szCs w:val="22"/>
          </w:rPr>
          <w:t>Executive Summary</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_Toc10824938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9</w:t>
        </w:r>
        <w:r w:rsidR="00ED0F73" w:rsidRPr="00ED0F73">
          <w:rPr>
            <w:rFonts w:cs="Times New Roman"/>
            <w:noProof/>
            <w:webHidden/>
            <w:szCs w:val="22"/>
          </w:rPr>
          <w:fldChar w:fldCharType="end"/>
        </w:r>
      </w:hyperlink>
    </w:p>
    <w:p w14:paraId="0387CCFF" w14:textId="372490D9" w:rsidR="00ED0F73" w:rsidRPr="00ED0F73" w:rsidRDefault="00B0774B">
      <w:pPr>
        <w:pStyle w:val="TOC1"/>
        <w:tabs>
          <w:tab w:val="left" w:pos="440"/>
          <w:tab w:val="right" w:leader="dot" w:pos="9350"/>
        </w:tabs>
        <w:rPr>
          <w:rFonts w:cs="Times New Roman"/>
          <w:noProof/>
          <w:szCs w:val="22"/>
        </w:rPr>
      </w:pPr>
      <w:hyperlink w:anchor="_Toc10824939" w:history="1">
        <w:r w:rsidR="00ED0F73" w:rsidRPr="00ED0F73">
          <w:rPr>
            <w:rStyle w:val="Hyperlink"/>
            <w:rFonts w:cs="Times New Roman"/>
            <w:noProof/>
            <w:szCs w:val="22"/>
          </w:rPr>
          <w:t>1.</w:t>
        </w:r>
        <w:r w:rsidR="00ED0F73" w:rsidRPr="00ED0F73">
          <w:rPr>
            <w:rFonts w:cs="Times New Roman"/>
            <w:noProof/>
            <w:szCs w:val="22"/>
          </w:rPr>
          <w:tab/>
        </w:r>
        <w:r w:rsidR="00ED0F73" w:rsidRPr="00ED0F73">
          <w:rPr>
            <w:rStyle w:val="Hyperlink"/>
            <w:rFonts w:cs="Times New Roman"/>
            <w:noProof/>
            <w:szCs w:val="22"/>
          </w:rPr>
          <w:t>Introduction</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_Toc10824939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12</w:t>
        </w:r>
        <w:r w:rsidR="00ED0F73" w:rsidRPr="00ED0F73">
          <w:rPr>
            <w:rFonts w:cs="Times New Roman"/>
            <w:noProof/>
            <w:webHidden/>
            <w:szCs w:val="22"/>
          </w:rPr>
          <w:fldChar w:fldCharType="end"/>
        </w:r>
      </w:hyperlink>
    </w:p>
    <w:p w14:paraId="0BCFF316" w14:textId="45467AC9" w:rsidR="00ED0F73" w:rsidRPr="00ED0F73" w:rsidRDefault="00B0774B">
      <w:pPr>
        <w:pStyle w:val="TOC1"/>
        <w:tabs>
          <w:tab w:val="left" w:pos="440"/>
          <w:tab w:val="right" w:leader="dot" w:pos="9350"/>
        </w:tabs>
        <w:rPr>
          <w:rFonts w:cs="Times New Roman"/>
          <w:noProof/>
          <w:szCs w:val="22"/>
        </w:rPr>
      </w:pPr>
      <w:hyperlink w:anchor="_Toc10824940" w:history="1">
        <w:r w:rsidR="00ED0F73" w:rsidRPr="00ED0F73">
          <w:rPr>
            <w:rStyle w:val="Hyperlink"/>
            <w:rFonts w:cs="Times New Roman"/>
            <w:noProof/>
            <w:szCs w:val="22"/>
          </w:rPr>
          <w:t>2.</w:t>
        </w:r>
        <w:r w:rsidR="00ED0F73" w:rsidRPr="00ED0F73">
          <w:rPr>
            <w:rFonts w:cs="Times New Roman"/>
            <w:noProof/>
            <w:szCs w:val="22"/>
          </w:rPr>
          <w:tab/>
        </w:r>
        <w:r w:rsidR="00ED0F73" w:rsidRPr="00ED0F73">
          <w:rPr>
            <w:rStyle w:val="Hyperlink"/>
            <w:rFonts w:cs="Times New Roman"/>
            <w:noProof/>
            <w:szCs w:val="22"/>
          </w:rPr>
          <w:t>Methodology</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_Toc10824940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14</w:t>
        </w:r>
        <w:r w:rsidR="00ED0F73" w:rsidRPr="00ED0F73">
          <w:rPr>
            <w:rFonts w:cs="Times New Roman"/>
            <w:noProof/>
            <w:webHidden/>
            <w:szCs w:val="22"/>
          </w:rPr>
          <w:fldChar w:fldCharType="end"/>
        </w:r>
      </w:hyperlink>
    </w:p>
    <w:p w14:paraId="43AD390E" w14:textId="092E64D5" w:rsidR="00ED0F73" w:rsidRPr="00ED0F73" w:rsidRDefault="00B0774B">
      <w:pPr>
        <w:pStyle w:val="TOC1"/>
        <w:tabs>
          <w:tab w:val="left" w:pos="440"/>
          <w:tab w:val="right" w:leader="dot" w:pos="9350"/>
        </w:tabs>
        <w:rPr>
          <w:rFonts w:cs="Times New Roman"/>
          <w:noProof/>
          <w:szCs w:val="22"/>
        </w:rPr>
      </w:pPr>
      <w:hyperlink w:anchor="_Toc10824941" w:history="1">
        <w:r w:rsidR="00ED0F73" w:rsidRPr="00ED0F73">
          <w:rPr>
            <w:rStyle w:val="Hyperlink"/>
            <w:rFonts w:cs="Times New Roman"/>
            <w:noProof/>
            <w:szCs w:val="22"/>
          </w:rPr>
          <w:t>3.</w:t>
        </w:r>
        <w:r w:rsidR="00ED0F73" w:rsidRPr="00ED0F73">
          <w:rPr>
            <w:rFonts w:cs="Times New Roman"/>
            <w:noProof/>
            <w:szCs w:val="22"/>
          </w:rPr>
          <w:tab/>
        </w:r>
        <w:r w:rsidR="00ED0F73" w:rsidRPr="00ED0F73">
          <w:rPr>
            <w:rStyle w:val="Hyperlink"/>
            <w:rFonts w:cs="Times New Roman"/>
            <w:noProof/>
            <w:szCs w:val="22"/>
          </w:rPr>
          <w:t>Taxes and Social Spending in Mauritius: A Bird’s-eye View</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_Toc10824941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19</w:t>
        </w:r>
        <w:r w:rsidR="00ED0F73" w:rsidRPr="00ED0F73">
          <w:rPr>
            <w:rFonts w:cs="Times New Roman"/>
            <w:noProof/>
            <w:webHidden/>
            <w:szCs w:val="22"/>
          </w:rPr>
          <w:fldChar w:fldCharType="end"/>
        </w:r>
      </w:hyperlink>
    </w:p>
    <w:p w14:paraId="6772B26A" w14:textId="063406E1" w:rsidR="00ED0F73" w:rsidRPr="00ED0F73" w:rsidRDefault="00B0774B">
      <w:pPr>
        <w:pStyle w:val="TOC2"/>
        <w:tabs>
          <w:tab w:val="left" w:pos="880"/>
          <w:tab w:val="right" w:leader="dot" w:pos="9350"/>
        </w:tabs>
        <w:rPr>
          <w:rFonts w:cs="Times New Roman"/>
          <w:noProof/>
          <w:szCs w:val="22"/>
        </w:rPr>
      </w:pPr>
      <w:hyperlink w:anchor="_Toc10824942" w:history="1">
        <w:r w:rsidR="00ED0F73" w:rsidRPr="00ED0F73">
          <w:rPr>
            <w:rStyle w:val="Hyperlink"/>
            <w:rFonts w:cs="Times New Roman"/>
            <w:noProof/>
            <w:szCs w:val="22"/>
          </w:rPr>
          <w:t>3.1</w:t>
        </w:r>
        <w:r w:rsidR="00ED0F73" w:rsidRPr="00ED0F73">
          <w:rPr>
            <w:rFonts w:cs="Times New Roman"/>
            <w:noProof/>
            <w:szCs w:val="22"/>
          </w:rPr>
          <w:tab/>
        </w:r>
        <w:r w:rsidR="00ED0F73" w:rsidRPr="00ED0F73">
          <w:rPr>
            <w:rStyle w:val="Hyperlink"/>
            <w:rFonts w:cs="Times New Roman"/>
            <w:noProof/>
            <w:szCs w:val="22"/>
          </w:rPr>
          <w:t>Direct Taxes and Transfers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_Toc10824942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22</w:t>
        </w:r>
        <w:r w:rsidR="00ED0F73" w:rsidRPr="00ED0F73">
          <w:rPr>
            <w:rFonts w:cs="Times New Roman"/>
            <w:noProof/>
            <w:webHidden/>
            <w:szCs w:val="22"/>
          </w:rPr>
          <w:fldChar w:fldCharType="end"/>
        </w:r>
      </w:hyperlink>
    </w:p>
    <w:p w14:paraId="36336EAA" w14:textId="3EE02040" w:rsidR="00ED0F73" w:rsidRPr="00ED0F73" w:rsidRDefault="00B0774B">
      <w:pPr>
        <w:pStyle w:val="TOC3"/>
        <w:tabs>
          <w:tab w:val="right" w:leader="dot" w:pos="9350"/>
        </w:tabs>
        <w:rPr>
          <w:rFonts w:cs="Times New Roman"/>
          <w:noProof/>
          <w:szCs w:val="22"/>
        </w:rPr>
      </w:pPr>
      <w:hyperlink w:anchor="_Toc10824943" w:history="1">
        <w:r w:rsidR="00ED0F73" w:rsidRPr="00ED0F73">
          <w:rPr>
            <w:rStyle w:val="Hyperlink"/>
            <w:rFonts w:cs="Times New Roman"/>
            <w:noProof/>
            <w:szCs w:val="22"/>
          </w:rPr>
          <w:t>Direct Taxes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_Toc10824943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22</w:t>
        </w:r>
        <w:r w:rsidR="00ED0F73" w:rsidRPr="00ED0F73">
          <w:rPr>
            <w:rFonts w:cs="Times New Roman"/>
            <w:noProof/>
            <w:webHidden/>
            <w:szCs w:val="22"/>
          </w:rPr>
          <w:fldChar w:fldCharType="end"/>
        </w:r>
      </w:hyperlink>
    </w:p>
    <w:p w14:paraId="6E2947A5" w14:textId="7D8C6AD1" w:rsidR="00ED0F73" w:rsidRPr="00ED0F73" w:rsidRDefault="00B0774B">
      <w:pPr>
        <w:pStyle w:val="TOC3"/>
        <w:tabs>
          <w:tab w:val="right" w:leader="dot" w:pos="9350"/>
        </w:tabs>
        <w:rPr>
          <w:rFonts w:cs="Times New Roman"/>
          <w:noProof/>
          <w:szCs w:val="22"/>
        </w:rPr>
      </w:pPr>
      <w:hyperlink w:anchor="_Toc10824944" w:history="1">
        <w:r w:rsidR="00ED0F73" w:rsidRPr="00ED0F73">
          <w:rPr>
            <w:rStyle w:val="Hyperlink"/>
            <w:rFonts w:cs="Times New Roman"/>
            <w:noProof/>
            <w:szCs w:val="22"/>
          </w:rPr>
          <w:t>Cash Transfers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_Toc10824944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25</w:t>
        </w:r>
        <w:r w:rsidR="00ED0F73" w:rsidRPr="00ED0F73">
          <w:rPr>
            <w:rFonts w:cs="Times New Roman"/>
            <w:noProof/>
            <w:webHidden/>
            <w:szCs w:val="22"/>
          </w:rPr>
          <w:fldChar w:fldCharType="end"/>
        </w:r>
      </w:hyperlink>
    </w:p>
    <w:p w14:paraId="40AE879E" w14:textId="70892DD4" w:rsidR="00ED0F73" w:rsidRPr="00ED0F73" w:rsidRDefault="00B0774B">
      <w:pPr>
        <w:pStyle w:val="TOC2"/>
        <w:tabs>
          <w:tab w:val="left" w:pos="880"/>
          <w:tab w:val="right" w:leader="dot" w:pos="9350"/>
        </w:tabs>
        <w:rPr>
          <w:rFonts w:cs="Times New Roman"/>
          <w:noProof/>
          <w:szCs w:val="22"/>
        </w:rPr>
      </w:pPr>
      <w:hyperlink w:anchor="_Toc10824945" w:history="1">
        <w:r w:rsidR="00ED0F73" w:rsidRPr="00ED0F73">
          <w:rPr>
            <w:rStyle w:val="Hyperlink"/>
            <w:rFonts w:cs="Times New Roman"/>
            <w:noProof/>
            <w:szCs w:val="22"/>
          </w:rPr>
          <w:t>3.2</w:t>
        </w:r>
        <w:r w:rsidR="00ED0F73" w:rsidRPr="00ED0F73">
          <w:rPr>
            <w:rFonts w:cs="Times New Roman"/>
            <w:noProof/>
            <w:szCs w:val="22"/>
          </w:rPr>
          <w:tab/>
        </w:r>
        <w:r w:rsidR="00ED0F73" w:rsidRPr="00ED0F73">
          <w:rPr>
            <w:rStyle w:val="Hyperlink"/>
            <w:rFonts w:cs="Times New Roman"/>
            <w:noProof/>
            <w:szCs w:val="22"/>
          </w:rPr>
          <w:t>Indirect Taxes and Subsidies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_Toc10824945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27</w:t>
        </w:r>
        <w:r w:rsidR="00ED0F73" w:rsidRPr="00ED0F73">
          <w:rPr>
            <w:rFonts w:cs="Times New Roman"/>
            <w:noProof/>
            <w:webHidden/>
            <w:szCs w:val="22"/>
          </w:rPr>
          <w:fldChar w:fldCharType="end"/>
        </w:r>
      </w:hyperlink>
    </w:p>
    <w:p w14:paraId="029589D9" w14:textId="285C289F" w:rsidR="00ED0F73" w:rsidRPr="00ED0F73" w:rsidRDefault="00B0774B">
      <w:pPr>
        <w:pStyle w:val="TOC3"/>
        <w:tabs>
          <w:tab w:val="right" w:leader="dot" w:pos="9350"/>
        </w:tabs>
        <w:rPr>
          <w:rFonts w:cs="Times New Roman"/>
          <w:noProof/>
          <w:szCs w:val="22"/>
        </w:rPr>
      </w:pPr>
      <w:hyperlink w:anchor="_Toc10824946" w:history="1">
        <w:r w:rsidR="00ED0F73" w:rsidRPr="00ED0F73">
          <w:rPr>
            <w:rStyle w:val="Hyperlink"/>
            <w:rFonts w:cs="Times New Roman"/>
            <w:noProof/>
            <w:szCs w:val="22"/>
          </w:rPr>
          <w:t>Value Added Tax</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_Toc10824946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27</w:t>
        </w:r>
        <w:r w:rsidR="00ED0F73" w:rsidRPr="00ED0F73">
          <w:rPr>
            <w:rFonts w:cs="Times New Roman"/>
            <w:noProof/>
            <w:webHidden/>
            <w:szCs w:val="22"/>
          </w:rPr>
          <w:fldChar w:fldCharType="end"/>
        </w:r>
      </w:hyperlink>
    </w:p>
    <w:p w14:paraId="3DD60E51" w14:textId="3EB7C96B" w:rsidR="00ED0F73" w:rsidRPr="00ED0F73" w:rsidRDefault="00B0774B">
      <w:pPr>
        <w:pStyle w:val="TOC3"/>
        <w:tabs>
          <w:tab w:val="right" w:leader="dot" w:pos="9350"/>
        </w:tabs>
        <w:rPr>
          <w:rFonts w:cs="Times New Roman"/>
          <w:noProof/>
          <w:szCs w:val="22"/>
        </w:rPr>
      </w:pPr>
      <w:hyperlink w:anchor="_Toc10824947" w:history="1">
        <w:r w:rsidR="00ED0F73" w:rsidRPr="00ED0F73">
          <w:rPr>
            <w:rStyle w:val="Hyperlink"/>
            <w:rFonts w:cs="Times New Roman"/>
            <w:noProof/>
            <w:szCs w:val="22"/>
          </w:rPr>
          <w:t>Excise Taxes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_Toc10824947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28</w:t>
        </w:r>
        <w:r w:rsidR="00ED0F73" w:rsidRPr="00ED0F73">
          <w:rPr>
            <w:rFonts w:cs="Times New Roman"/>
            <w:noProof/>
            <w:webHidden/>
            <w:szCs w:val="22"/>
          </w:rPr>
          <w:fldChar w:fldCharType="end"/>
        </w:r>
      </w:hyperlink>
    </w:p>
    <w:p w14:paraId="57F01404" w14:textId="551B43C7" w:rsidR="00ED0F73" w:rsidRPr="00ED0F73" w:rsidRDefault="00B0774B">
      <w:pPr>
        <w:pStyle w:val="TOC3"/>
        <w:tabs>
          <w:tab w:val="right" w:leader="dot" w:pos="9350"/>
        </w:tabs>
        <w:rPr>
          <w:rFonts w:cs="Times New Roman"/>
          <w:noProof/>
          <w:szCs w:val="22"/>
        </w:rPr>
      </w:pPr>
      <w:hyperlink w:anchor="_Toc10824948" w:history="1">
        <w:r w:rsidR="00ED0F73" w:rsidRPr="00ED0F73">
          <w:rPr>
            <w:rStyle w:val="Hyperlink"/>
            <w:rFonts w:cs="Times New Roman"/>
            <w:noProof/>
            <w:szCs w:val="22"/>
          </w:rPr>
          <w:t>Subsidies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_Toc10824948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30</w:t>
        </w:r>
        <w:r w:rsidR="00ED0F73" w:rsidRPr="00ED0F73">
          <w:rPr>
            <w:rFonts w:cs="Times New Roman"/>
            <w:noProof/>
            <w:webHidden/>
            <w:szCs w:val="22"/>
          </w:rPr>
          <w:fldChar w:fldCharType="end"/>
        </w:r>
      </w:hyperlink>
    </w:p>
    <w:p w14:paraId="303CBF16" w14:textId="28404E89" w:rsidR="00ED0F73" w:rsidRPr="00ED0F73" w:rsidRDefault="00B0774B">
      <w:pPr>
        <w:pStyle w:val="TOC2"/>
        <w:tabs>
          <w:tab w:val="left" w:pos="880"/>
          <w:tab w:val="right" w:leader="dot" w:pos="9350"/>
        </w:tabs>
        <w:rPr>
          <w:rFonts w:cs="Times New Roman"/>
          <w:noProof/>
          <w:szCs w:val="22"/>
        </w:rPr>
      </w:pPr>
      <w:hyperlink w:anchor="_Toc10824949" w:history="1">
        <w:r w:rsidR="00ED0F73" w:rsidRPr="00ED0F73">
          <w:rPr>
            <w:rStyle w:val="Hyperlink"/>
            <w:rFonts w:cs="Times New Roman"/>
            <w:noProof/>
            <w:szCs w:val="22"/>
          </w:rPr>
          <w:t>3.3</w:t>
        </w:r>
        <w:r w:rsidR="00ED0F73" w:rsidRPr="00ED0F73">
          <w:rPr>
            <w:rFonts w:cs="Times New Roman"/>
            <w:noProof/>
            <w:szCs w:val="22"/>
          </w:rPr>
          <w:tab/>
        </w:r>
        <w:r w:rsidR="00ED0F73" w:rsidRPr="00ED0F73">
          <w:rPr>
            <w:rStyle w:val="Hyperlink"/>
            <w:rFonts w:cs="Times New Roman"/>
            <w:noProof/>
            <w:szCs w:val="22"/>
          </w:rPr>
          <w:t>Public Spending on Education and Health</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_Toc10824949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32</w:t>
        </w:r>
        <w:r w:rsidR="00ED0F73" w:rsidRPr="00ED0F73">
          <w:rPr>
            <w:rFonts w:cs="Times New Roman"/>
            <w:noProof/>
            <w:webHidden/>
            <w:szCs w:val="22"/>
          </w:rPr>
          <w:fldChar w:fldCharType="end"/>
        </w:r>
      </w:hyperlink>
    </w:p>
    <w:p w14:paraId="257B7C78" w14:textId="1D866712" w:rsidR="00ED0F73" w:rsidRPr="00ED0F73" w:rsidRDefault="00B0774B">
      <w:pPr>
        <w:pStyle w:val="TOC3"/>
        <w:tabs>
          <w:tab w:val="right" w:leader="dot" w:pos="9350"/>
        </w:tabs>
        <w:rPr>
          <w:rFonts w:cs="Times New Roman"/>
          <w:noProof/>
          <w:szCs w:val="22"/>
        </w:rPr>
      </w:pPr>
      <w:hyperlink w:anchor="_Toc10824950" w:history="1">
        <w:r w:rsidR="00ED0F73" w:rsidRPr="00ED0F73">
          <w:rPr>
            <w:rStyle w:val="Hyperlink"/>
            <w:rFonts w:cs="Times New Roman"/>
            <w:noProof/>
            <w:szCs w:val="22"/>
          </w:rPr>
          <w:t>Education</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_Toc10824950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32</w:t>
        </w:r>
        <w:r w:rsidR="00ED0F73" w:rsidRPr="00ED0F73">
          <w:rPr>
            <w:rFonts w:cs="Times New Roman"/>
            <w:noProof/>
            <w:webHidden/>
            <w:szCs w:val="22"/>
          </w:rPr>
          <w:fldChar w:fldCharType="end"/>
        </w:r>
      </w:hyperlink>
    </w:p>
    <w:p w14:paraId="0D62DA65" w14:textId="3C5A6F92" w:rsidR="00ED0F73" w:rsidRPr="00ED0F73" w:rsidRDefault="00B0774B">
      <w:pPr>
        <w:pStyle w:val="TOC3"/>
        <w:tabs>
          <w:tab w:val="right" w:leader="dot" w:pos="9350"/>
        </w:tabs>
        <w:rPr>
          <w:rFonts w:cs="Times New Roman"/>
          <w:noProof/>
          <w:szCs w:val="22"/>
        </w:rPr>
      </w:pPr>
      <w:hyperlink w:anchor="_Toc10824951" w:history="1">
        <w:r w:rsidR="00ED0F73" w:rsidRPr="00ED0F73">
          <w:rPr>
            <w:rStyle w:val="Hyperlink"/>
            <w:rFonts w:cs="Times New Roman"/>
            <w:noProof/>
            <w:szCs w:val="22"/>
          </w:rPr>
          <w:t>Health</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_Toc10824951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35</w:t>
        </w:r>
        <w:r w:rsidR="00ED0F73" w:rsidRPr="00ED0F73">
          <w:rPr>
            <w:rFonts w:cs="Times New Roman"/>
            <w:noProof/>
            <w:webHidden/>
            <w:szCs w:val="22"/>
          </w:rPr>
          <w:fldChar w:fldCharType="end"/>
        </w:r>
      </w:hyperlink>
    </w:p>
    <w:p w14:paraId="2460FD28" w14:textId="2953FF60" w:rsidR="00ED0F73" w:rsidRPr="00ED0F73" w:rsidRDefault="00B0774B">
      <w:pPr>
        <w:pStyle w:val="TOC1"/>
        <w:tabs>
          <w:tab w:val="left" w:pos="440"/>
          <w:tab w:val="right" w:leader="dot" w:pos="9350"/>
        </w:tabs>
        <w:rPr>
          <w:rFonts w:cs="Times New Roman"/>
          <w:noProof/>
          <w:szCs w:val="22"/>
        </w:rPr>
      </w:pPr>
      <w:hyperlink w:anchor="_Toc10824952" w:history="1">
        <w:r w:rsidR="00ED0F73" w:rsidRPr="00ED0F73">
          <w:rPr>
            <w:rStyle w:val="Hyperlink"/>
            <w:rFonts w:cs="Times New Roman"/>
            <w:noProof/>
            <w:szCs w:val="22"/>
          </w:rPr>
          <w:t>4.</w:t>
        </w:r>
        <w:r w:rsidR="00ED0F73" w:rsidRPr="00ED0F73">
          <w:rPr>
            <w:rFonts w:cs="Times New Roman"/>
            <w:noProof/>
            <w:szCs w:val="22"/>
          </w:rPr>
          <w:tab/>
        </w:r>
        <w:r w:rsidR="00ED0F73" w:rsidRPr="00ED0F73">
          <w:rPr>
            <w:rStyle w:val="Hyperlink"/>
            <w:rFonts w:cs="Times New Roman"/>
            <w:noProof/>
            <w:szCs w:val="22"/>
          </w:rPr>
          <w:t>Impact of the Net Fiscal System on Poverty and Inequality</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_Toc10824952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40</w:t>
        </w:r>
        <w:r w:rsidR="00ED0F73" w:rsidRPr="00ED0F73">
          <w:rPr>
            <w:rFonts w:cs="Times New Roman"/>
            <w:noProof/>
            <w:webHidden/>
            <w:szCs w:val="22"/>
          </w:rPr>
          <w:fldChar w:fldCharType="end"/>
        </w:r>
      </w:hyperlink>
    </w:p>
    <w:p w14:paraId="37DC9E4E" w14:textId="32A7879A" w:rsidR="00ED0F73" w:rsidRPr="00ED0F73" w:rsidRDefault="00B0774B">
      <w:pPr>
        <w:pStyle w:val="TOC3"/>
        <w:tabs>
          <w:tab w:val="right" w:leader="dot" w:pos="9350"/>
        </w:tabs>
        <w:rPr>
          <w:rFonts w:cs="Times New Roman"/>
          <w:noProof/>
          <w:szCs w:val="22"/>
        </w:rPr>
      </w:pPr>
      <w:hyperlink w:anchor="_Toc10824953" w:history="1">
        <w:r w:rsidR="00ED0F73" w:rsidRPr="00ED0F73">
          <w:rPr>
            <w:rStyle w:val="Hyperlink"/>
            <w:rFonts w:cs="Times New Roman"/>
            <w:noProof/>
            <w:szCs w:val="22"/>
          </w:rPr>
          <w:t>Which taxes and transfers are equalizing and/or pro-poor?</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_Toc10824953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40</w:t>
        </w:r>
        <w:r w:rsidR="00ED0F73" w:rsidRPr="00ED0F73">
          <w:rPr>
            <w:rFonts w:cs="Times New Roman"/>
            <w:noProof/>
            <w:webHidden/>
            <w:szCs w:val="22"/>
          </w:rPr>
          <w:fldChar w:fldCharType="end"/>
        </w:r>
      </w:hyperlink>
    </w:p>
    <w:p w14:paraId="25B1E7B6" w14:textId="64970FDF" w:rsidR="00ED0F73" w:rsidRPr="00ED0F73" w:rsidRDefault="00B0774B">
      <w:pPr>
        <w:pStyle w:val="TOC3"/>
        <w:tabs>
          <w:tab w:val="right" w:leader="dot" w:pos="9350"/>
        </w:tabs>
        <w:rPr>
          <w:rFonts w:cs="Times New Roman"/>
          <w:noProof/>
          <w:szCs w:val="22"/>
        </w:rPr>
      </w:pPr>
      <w:hyperlink w:anchor="_Toc10824954" w:history="1">
        <w:r w:rsidR="00ED0F73" w:rsidRPr="00ED0F73">
          <w:rPr>
            <w:rStyle w:val="Hyperlink"/>
            <w:rFonts w:cs="Times New Roman"/>
            <w:noProof/>
            <w:szCs w:val="22"/>
          </w:rPr>
          <w:t>Does the fiscal system reduce inequality?</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_Toc10824954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42</w:t>
        </w:r>
        <w:r w:rsidR="00ED0F73" w:rsidRPr="00ED0F73">
          <w:rPr>
            <w:rFonts w:cs="Times New Roman"/>
            <w:noProof/>
            <w:webHidden/>
            <w:szCs w:val="22"/>
          </w:rPr>
          <w:fldChar w:fldCharType="end"/>
        </w:r>
      </w:hyperlink>
    </w:p>
    <w:p w14:paraId="3512EEA2" w14:textId="4E109ED3" w:rsidR="00ED0F73" w:rsidRPr="00ED0F73" w:rsidRDefault="00B0774B">
      <w:pPr>
        <w:pStyle w:val="TOC3"/>
        <w:tabs>
          <w:tab w:val="right" w:leader="dot" w:pos="9350"/>
        </w:tabs>
        <w:rPr>
          <w:rFonts w:cs="Times New Roman"/>
          <w:noProof/>
          <w:szCs w:val="22"/>
        </w:rPr>
      </w:pPr>
      <w:hyperlink w:anchor="_Toc10824955" w:history="1">
        <w:r w:rsidR="00ED0F73" w:rsidRPr="00ED0F73">
          <w:rPr>
            <w:rStyle w:val="Hyperlink"/>
            <w:rFonts w:cs="Times New Roman"/>
            <w:noProof/>
            <w:szCs w:val="22"/>
          </w:rPr>
          <w:t>Does the fiscal system reduce poverty?</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_Toc10824955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43</w:t>
        </w:r>
        <w:r w:rsidR="00ED0F73" w:rsidRPr="00ED0F73">
          <w:rPr>
            <w:rFonts w:cs="Times New Roman"/>
            <w:noProof/>
            <w:webHidden/>
            <w:szCs w:val="22"/>
          </w:rPr>
          <w:fldChar w:fldCharType="end"/>
        </w:r>
      </w:hyperlink>
    </w:p>
    <w:p w14:paraId="32599B90" w14:textId="45CC3BBD" w:rsidR="00ED0F73" w:rsidRPr="00ED0F73" w:rsidRDefault="00B0774B">
      <w:pPr>
        <w:pStyle w:val="TOC3"/>
        <w:tabs>
          <w:tab w:val="right" w:leader="dot" w:pos="9350"/>
        </w:tabs>
        <w:rPr>
          <w:rFonts w:cs="Times New Roman"/>
          <w:noProof/>
          <w:szCs w:val="22"/>
        </w:rPr>
      </w:pPr>
      <w:hyperlink w:anchor="_Toc10824956" w:history="1">
        <w:r w:rsidR="00ED0F73" w:rsidRPr="00ED0F73">
          <w:rPr>
            <w:rStyle w:val="Hyperlink"/>
            <w:rFonts w:cs="Times New Roman"/>
            <w:noProof/>
            <w:szCs w:val="22"/>
          </w:rPr>
          <w:t>What is the spending effectiveness of n</w:t>
        </w:r>
        <w:r w:rsidR="004C6E0D">
          <w:rPr>
            <w:rStyle w:val="Hyperlink"/>
            <w:rFonts w:cs="Times New Roman"/>
            <w:noProof/>
            <w:szCs w:val="22"/>
          </w:rPr>
          <w:t>on</w:t>
        </w:r>
        <w:r w:rsidR="00ED0F73" w:rsidRPr="00ED0F73">
          <w:rPr>
            <w:rStyle w:val="Hyperlink"/>
            <w:rFonts w:cs="Times New Roman"/>
            <w:noProof/>
            <w:szCs w:val="22"/>
          </w:rPr>
          <w:t>contributory pensions?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_Toc10824956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45</w:t>
        </w:r>
        <w:r w:rsidR="00ED0F73" w:rsidRPr="00ED0F73">
          <w:rPr>
            <w:rFonts w:cs="Times New Roman"/>
            <w:noProof/>
            <w:webHidden/>
            <w:szCs w:val="22"/>
          </w:rPr>
          <w:fldChar w:fldCharType="end"/>
        </w:r>
      </w:hyperlink>
    </w:p>
    <w:p w14:paraId="32B1AD91" w14:textId="7C295671" w:rsidR="00ED0F73" w:rsidRPr="00ED0F73" w:rsidRDefault="00B0774B">
      <w:pPr>
        <w:pStyle w:val="TOC3"/>
        <w:tabs>
          <w:tab w:val="right" w:leader="dot" w:pos="9350"/>
        </w:tabs>
        <w:rPr>
          <w:rFonts w:cs="Times New Roman"/>
          <w:noProof/>
          <w:szCs w:val="22"/>
        </w:rPr>
      </w:pPr>
      <w:hyperlink w:anchor="_Toc10824957" w:history="1">
        <w:r w:rsidR="00ED0F73" w:rsidRPr="00ED0F73">
          <w:rPr>
            <w:rStyle w:val="Hyperlink"/>
            <w:rFonts w:cs="Times New Roman"/>
            <w:noProof/>
            <w:szCs w:val="22"/>
          </w:rPr>
          <w:t xml:space="preserve">What is the incidence of taxes and transfers on </w:t>
        </w:r>
        <w:r w:rsidR="00C11058">
          <w:rPr>
            <w:rStyle w:val="Hyperlink"/>
            <w:rFonts w:cs="Times New Roman"/>
            <w:noProof/>
            <w:szCs w:val="22"/>
          </w:rPr>
          <w:t>pre</w:t>
        </w:r>
        <w:r w:rsidR="00ED0F73" w:rsidRPr="00ED0F73">
          <w:rPr>
            <w:rStyle w:val="Hyperlink"/>
            <w:rFonts w:cs="Times New Roman"/>
            <w:noProof/>
            <w:szCs w:val="22"/>
          </w:rPr>
          <w:t>fiscal income along the distribution?</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_Toc10824957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45</w:t>
        </w:r>
        <w:r w:rsidR="00ED0F73" w:rsidRPr="00ED0F73">
          <w:rPr>
            <w:rFonts w:cs="Times New Roman"/>
            <w:noProof/>
            <w:webHidden/>
            <w:szCs w:val="22"/>
          </w:rPr>
          <w:fldChar w:fldCharType="end"/>
        </w:r>
      </w:hyperlink>
    </w:p>
    <w:p w14:paraId="655C6DBD" w14:textId="53545F21" w:rsidR="00ED0F73" w:rsidRPr="00ED0F73" w:rsidRDefault="00B0774B">
      <w:pPr>
        <w:pStyle w:val="TOC1"/>
        <w:tabs>
          <w:tab w:val="left" w:pos="440"/>
          <w:tab w:val="right" w:leader="dot" w:pos="9350"/>
        </w:tabs>
        <w:rPr>
          <w:rFonts w:cs="Times New Roman"/>
          <w:noProof/>
          <w:szCs w:val="22"/>
        </w:rPr>
      </w:pPr>
      <w:hyperlink w:anchor="_Toc10824958" w:history="1">
        <w:r w:rsidR="00ED0F73" w:rsidRPr="00ED0F73">
          <w:rPr>
            <w:rStyle w:val="Hyperlink"/>
            <w:rFonts w:cs="Times New Roman"/>
            <w:noProof/>
            <w:szCs w:val="22"/>
          </w:rPr>
          <w:t>5.</w:t>
        </w:r>
        <w:r w:rsidR="00ED0F73" w:rsidRPr="00ED0F73">
          <w:rPr>
            <w:rFonts w:cs="Times New Roman"/>
            <w:noProof/>
            <w:szCs w:val="22"/>
          </w:rPr>
          <w:tab/>
        </w:r>
        <w:r w:rsidR="00ED0F73" w:rsidRPr="00ED0F73">
          <w:rPr>
            <w:rStyle w:val="Hyperlink"/>
            <w:rFonts w:cs="Times New Roman"/>
            <w:noProof/>
            <w:szCs w:val="22"/>
          </w:rPr>
          <w:t>A Microsimulation Tool for Policy Making</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_Toc10824958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47</w:t>
        </w:r>
        <w:r w:rsidR="00ED0F73" w:rsidRPr="00ED0F73">
          <w:rPr>
            <w:rFonts w:cs="Times New Roman"/>
            <w:noProof/>
            <w:webHidden/>
            <w:szCs w:val="22"/>
          </w:rPr>
          <w:fldChar w:fldCharType="end"/>
        </w:r>
      </w:hyperlink>
    </w:p>
    <w:p w14:paraId="25EAD23D" w14:textId="63057303" w:rsidR="00ED0F73" w:rsidRPr="00ED0F73" w:rsidRDefault="00B0774B">
      <w:pPr>
        <w:pStyle w:val="TOC1"/>
        <w:tabs>
          <w:tab w:val="left" w:pos="440"/>
          <w:tab w:val="right" w:leader="dot" w:pos="9350"/>
        </w:tabs>
        <w:rPr>
          <w:rFonts w:cs="Times New Roman"/>
          <w:noProof/>
          <w:szCs w:val="22"/>
        </w:rPr>
      </w:pPr>
      <w:hyperlink w:anchor="_Toc10824959" w:history="1">
        <w:r w:rsidR="00ED0F73" w:rsidRPr="00ED0F73">
          <w:rPr>
            <w:rStyle w:val="Hyperlink"/>
            <w:rFonts w:cs="Times New Roman"/>
            <w:noProof/>
            <w:szCs w:val="22"/>
          </w:rPr>
          <w:t>6.</w:t>
        </w:r>
        <w:r w:rsidR="00ED0F73" w:rsidRPr="00ED0F73">
          <w:rPr>
            <w:rFonts w:cs="Times New Roman"/>
            <w:noProof/>
            <w:szCs w:val="22"/>
          </w:rPr>
          <w:tab/>
        </w:r>
        <w:r w:rsidR="00ED0F73" w:rsidRPr="00ED0F73">
          <w:rPr>
            <w:rStyle w:val="Hyperlink"/>
            <w:rFonts w:cs="Times New Roman"/>
            <w:noProof/>
            <w:szCs w:val="22"/>
          </w:rPr>
          <w:t>Conclusions and Policy Implications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_Toc10824959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50</w:t>
        </w:r>
        <w:r w:rsidR="00ED0F73" w:rsidRPr="00ED0F73">
          <w:rPr>
            <w:rFonts w:cs="Times New Roman"/>
            <w:noProof/>
            <w:webHidden/>
            <w:szCs w:val="22"/>
          </w:rPr>
          <w:fldChar w:fldCharType="end"/>
        </w:r>
      </w:hyperlink>
    </w:p>
    <w:p w14:paraId="3C903B30" w14:textId="33450823" w:rsidR="00ED0F73" w:rsidRPr="00ED0F73" w:rsidRDefault="00B0774B">
      <w:pPr>
        <w:pStyle w:val="TOC1"/>
        <w:tabs>
          <w:tab w:val="right" w:leader="dot" w:pos="9350"/>
        </w:tabs>
        <w:rPr>
          <w:rFonts w:cs="Times New Roman"/>
          <w:noProof/>
          <w:szCs w:val="22"/>
        </w:rPr>
      </w:pPr>
      <w:hyperlink w:anchor="_Toc10824960" w:history="1">
        <w:r w:rsidR="00ED0F73" w:rsidRPr="00ED0F73">
          <w:rPr>
            <w:rStyle w:val="Hyperlink"/>
            <w:rFonts w:cs="Times New Roman"/>
            <w:noProof/>
            <w:szCs w:val="22"/>
          </w:rPr>
          <w:t>References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_Toc10824960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51</w:t>
        </w:r>
        <w:r w:rsidR="00ED0F73" w:rsidRPr="00ED0F73">
          <w:rPr>
            <w:rFonts w:cs="Times New Roman"/>
            <w:noProof/>
            <w:webHidden/>
            <w:szCs w:val="22"/>
          </w:rPr>
          <w:fldChar w:fldCharType="end"/>
        </w:r>
      </w:hyperlink>
    </w:p>
    <w:p w14:paraId="043B6FCA" w14:textId="08335E33" w:rsidR="00ED0F73" w:rsidRPr="00ED0F73" w:rsidRDefault="00B0774B">
      <w:pPr>
        <w:pStyle w:val="TOC1"/>
        <w:tabs>
          <w:tab w:val="right" w:leader="dot" w:pos="9350"/>
        </w:tabs>
        <w:rPr>
          <w:rFonts w:cs="Times New Roman"/>
          <w:noProof/>
          <w:szCs w:val="22"/>
        </w:rPr>
      </w:pPr>
      <w:hyperlink w:anchor="_Toc10824961" w:history="1">
        <w:r w:rsidR="00ED0F73" w:rsidRPr="00ED0F73">
          <w:rPr>
            <w:rStyle w:val="Hyperlink"/>
            <w:rFonts w:cs="Times New Roman"/>
            <w:noProof/>
            <w:szCs w:val="22"/>
          </w:rPr>
          <w:t>Annex A: Data Sources and Methodological Assumptions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_Toc10824961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53</w:t>
        </w:r>
        <w:r w:rsidR="00ED0F73" w:rsidRPr="00ED0F73">
          <w:rPr>
            <w:rFonts w:cs="Times New Roman"/>
            <w:noProof/>
            <w:webHidden/>
            <w:szCs w:val="22"/>
          </w:rPr>
          <w:fldChar w:fldCharType="end"/>
        </w:r>
      </w:hyperlink>
    </w:p>
    <w:p w14:paraId="773C5991" w14:textId="549855B6" w:rsidR="00ED0F73" w:rsidRPr="00ED0F73" w:rsidRDefault="00B0774B">
      <w:pPr>
        <w:pStyle w:val="TOC3"/>
        <w:tabs>
          <w:tab w:val="right" w:leader="dot" w:pos="9350"/>
        </w:tabs>
        <w:rPr>
          <w:rFonts w:cs="Times New Roman"/>
          <w:noProof/>
          <w:szCs w:val="22"/>
        </w:rPr>
      </w:pPr>
      <w:hyperlink w:anchor="_Toc10824962" w:history="1">
        <w:r w:rsidR="00ED0F73" w:rsidRPr="00ED0F73">
          <w:rPr>
            <w:rStyle w:val="Hyperlink"/>
            <w:rFonts w:cs="Times New Roman"/>
            <w:noProof/>
            <w:szCs w:val="22"/>
          </w:rPr>
          <w:t>Main Data Source</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_Toc10824962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53</w:t>
        </w:r>
        <w:r w:rsidR="00ED0F73" w:rsidRPr="00ED0F73">
          <w:rPr>
            <w:rFonts w:cs="Times New Roman"/>
            <w:noProof/>
            <w:webHidden/>
            <w:szCs w:val="22"/>
          </w:rPr>
          <w:fldChar w:fldCharType="end"/>
        </w:r>
      </w:hyperlink>
    </w:p>
    <w:p w14:paraId="614510ED" w14:textId="26CEDA95" w:rsidR="00ED0F73" w:rsidRPr="00ED0F73" w:rsidRDefault="00B0774B">
      <w:pPr>
        <w:pStyle w:val="TOC3"/>
        <w:tabs>
          <w:tab w:val="right" w:leader="dot" w:pos="9350"/>
        </w:tabs>
        <w:rPr>
          <w:rFonts w:cs="Times New Roman"/>
          <w:noProof/>
          <w:szCs w:val="22"/>
        </w:rPr>
      </w:pPr>
      <w:hyperlink w:anchor="_Toc10824963" w:history="1">
        <w:r w:rsidR="00ED0F73" w:rsidRPr="00ED0F73">
          <w:rPr>
            <w:rStyle w:val="Hyperlink"/>
            <w:rFonts w:cs="Times New Roman"/>
            <w:noProof/>
            <w:szCs w:val="22"/>
          </w:rPr>
          <w:t>Sample Selection</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_Toc10824963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54</w:t>
        </w:r>
        <w:r w:rsidR="00ED0F73" w:rsidRPr="00ED0F73">
          <w:rPr>
            <w:rFonts w:cs="Times New Roman"/>
            <w:noProof/>
            <w:webHidden/>
            <w:szCs w:val="22"/>
          </w:rPr>
          <w:fldChar w:fldCharType="end"/>
        </w:r>
      </w:hyperlink>
    </w:p>
    <w:p w14:paraId="31A73AAD" w14:textId="292C9E20" w:rsidR="00ED0F73" w:rsidRPr="00ED0F73" w:rsidRDefault="00B0774B">
      <w:pPr>
        <w:pStyle w:val="TOC3"/>
        <w:tabs>
          <w:tab w:val="right" w:leader="dot" w:pos="9350"/>
        </w:tabs>
        <w:rPr>
          <w:rFonts w:cs="Times New Roman"/>
          <w:noProof/>
          <w:szCs w:val="22"/>
        </w:rPr>
      </w:pPr>
      <w:hyperlink w:anchor="_Toc10824964" w:history="1">
        <w:r w:rsidR="00ED0F73" w:rsidRPr="00ED0F73">
          <w:rPr>
            <w:rStyle w:val="Hyperlink"/>
            <w:rFonts w:cs="Times New Roman"/>
            <w:noProof/>
            <w:szCs w:val="22"/>
          </w:rPr>
          <w:t>Methodological Assumptions</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_Toc10824964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54</w:t>
        </w:r>
        <w:r w:rsidR="00ED0F73" w:rsidRPr="00ED0F73">
          <w:rPr>
            <w:rFonts w:cs="Times New Roman"/>
            <w:noProof/>
            <w:webHidden/>
            <w:szCs w:val="22"/>
          </w:rPr>
          <w:fldChar w:fldCharType="end"/>
        </w:r>
      </w:hyperlink>
    </w:p>
    <w:p w14:paraId="7782CBDF" w14:textId="099E88FC" w:rsidR="00ED0F73" w:rsidRPr="00ED0F73" w:rsidRDefault="00B0774B">
      <w:pPr>
        <w:pStyle w:val="TOC1"/>
        <w:tabs>
          <w:tab w:val="right" w:leader="dot" w:pos="9350"/>
        </w:tabs>
        <w:rPr>
          <w:rFonts w:cs="Times New Roman"/>
          <w:noProof/>
          <w:szCs w:val="22"/>
        </w:rPr>
      </w:pPr>
      <w:hyperlink w:anchor="_Toc10824965" w:history="1">
        <w:r w:rsidR="00ED0F73" w:rsidRPr="00ED0F73">
          <w:rPr>
            <w:rStyle w:val="Hyperlink"/>
            <w:rFonts w:cs="Times New Roman"/>
            <w:noProof/>
            <w:szCs w:val="22"/>
          </w:rPr>
          <w:t>Annex B: Additional Administrative Data</w:t>
        </w:r>
        <w:r w:rsidR="00ED0F73" w:rsidRPr="00ED0F73">
          <w:rPr>
            <w:rFonts w:cs="Times New Roman"/>
            <w:noProof/>
            <w:webHidden/>
            <w:szCs w:val="22"/>
          </w:rPr>
          <w:tab/>
        </w:r>
        <w:r w:rsidR="00ED0F73" w:rsidRPr="00ED0F73">
          <w:rPr>
            <w:rFonts w:cs="Times New Roman"/>
            <w:noProof/>
            <w:webHidden/>
            <w:szCs w:val="22"/>
          </w:rPr>
          <w:fldChar w:fldCharType="begin"/>
        </w:r>
        <w:r w:rsidR="00ED0F73" w:rsidRPr="00ED0F73">
          <w:rPr>
            <w:rFonts w:cs="Times New Roman"/>
            <w:noProof/>
            <w:webHidden/>
            <w:szCs w:val="22"/>
          </w:rPr>
          <w:instrText xml:space="preserve"> PAGEREF _Toc10824965 \h </w:instrText>
        </w:r>
        <w:r w:rsidR="00ED0F73" w:rsidRPr="00ED0F73">
          <w:rPr>
            <w:rFonts w:cs="Times New Roman"/>
            <w:noProof/>
            <w:webHidden/>
            <w:szCs w:val="22"/>
          </w:rPr>
        </w:r>
        <w:r w:rsidR="00ED0F73" w:rsidRPr="00ED0F73">
          <w:rPr>
            <w:rFonts w:cs="Times New Roman"/>
            <w:noProof/>
            <w:webHidden/>
            <w:szCs w:val="22"/>
          </w:rPr>
          <w:fldChar w:fldCharType="separate"/>
        </w:r>
        <w:r w:rsidR="00200930">
          <w:rPr>
            <w:rFonts w:cs="Times New Roman"/>
            <w:noProof/>
            <w:webHidden/>
            <w:szCs w:val="22"/>
          </w:rPr>
          <w:t>56</w:t>
        </w:r>
        <w:r w:rsidR="00ED0F73" w:rsidRPr="00ED0F73">
          <w:rPr>
            <w:rFonts w:cs="Times New Roman"/>
            <w:noProof/>
            <w:webHidden/>
            <w:szCs w:val="22"/>
          </w:rPr>
          <w:fldChar w:fldCharType="end"/>
        </w:r>
      </w:hyperlink>
    </w:p>
    <w:p w14:paraId="414D22D8" w14:textId="2F471EDC" w:rsidR="00847D21" w:rsidRDefault="00ED0F73" w:rsidP="00D13C6F">
      <w:pPr>
        <w:pStyle w:val="TableofFigures"/>
        <w:tabs>
          <w:tab w:val="right" w:leader="dot" w:pos="9350"/>
        </w:tabs>
        <w:jc w:val="left"/>
      </w:pPr>
      <w:r w:rsidRPr="00ED0F73">
        <w:rPr>
          <w:rStyle w:val="Hyperlink"/>
          <w:rFonts w:cs="Times New Roman"/>
          <w:noProof/>
          <w:szCs w:val="22"/>
          <w:lang w:eastAsia="en-GB"/>
        </w:rPr>
        <w:fldChar w:fldCharType="end"/>
      </w:r>
      <w:r w:rsidR="00847D21">
        <w:br w:type="page"/>
      </w:r>
    </w:p>
    <w:p w14:paraId="328A6DFF" w14:textId="77777777" w:rsidR="00847D21" w:rsidRPr="00724BE6" w:rsidRDefault="00847D21" w:rsidP="00724BE6">
      <w:pPr>
        <w:pStyle w:val="Heading1"/>
        <w:pBdr>
          <w:bottom w:val="none" w:sz="0" w:space="0" w:color="auto"/>
        </w:pBdr>
        <w:spacing w:before="240" w:after="0" w:line="259" w:lineRule="auto"/>
        <w:jc w:val="left"/>
        <w:rPr>
          <w:b/>
          <w:color w:val="auto"/>
          <w:sz w:val="32"/>
          <w:szCs w:val="32"/>
        </w:rPr>
      </w:pPr>
      <w:bookmarkStart w:id="6" w:name="_Toc8812791"/>
      <w:bookmarkStart w:id="7" w:name="_Toc10824863"/>
      <w:bookmarkStart w:id="8" w:name="_Toc10824935"/>
      <w:r w:rsidRPr="00724BE6">
        <w:rPr>
          <w:b/>
          <w:color w:val="auto"/>
          <w:sz w:val="32"/>
          <w:szCs w:val="32"/>
        </w:rPr>
        <w:t>List of Figures</w:t>
      </w:r>
      <w:bookmarkEnd w:id="6"/>
      <w:bookmarkEnd w:id="7"/>
      <w:bookmarkEnd w:id="8"/>
    </w:p>
    <w:p w14:paraId="28579794" w14:textId="3739BCFA" w:rsidR="00EF15E8" w:rsidRPr="003E4A5D" w:rsidRDefault="00847D21">
      <w:pPr>
        <w:pStyle w:val="TableofFigures"/>
        <w:tabs>
          <w:tab w:val="right" w:leader="dot" w:pos="9350"/>
        </w:tabs>
        <w:rPr>
          <w:rFonts w:asciiTheme="majorHAnsi" w:hAnsiTheme="majorHAnsi" w:cstheme="majorHAnsi"/>
          <w:noProof/>
          <w:szCs w:val="22"/>
        </w:rPr>
      </w:pPr>
      <w:r w:rsidRPr="003E4A5D">
        <w:rPr>
          <w:rStyle w:val="Hyperlink"/>
          <w:rFonts w:asciiTheme="majorHAnsi" w:hAnsiTheme="majorHAnsi" w:cstheme="majorHAnsi"/>
          <w:noProof/>
          <w:szCs w:val="22"/>
        </w:rPr>
        <w:fldChar w:fldCharType="begin"/>
      </w:r>
      <w:r w:rsidRPr="003E4A5D">
        <w:rPr>
          <w:rStyle w:val="Hyperlink"/>
          <w:rFonts w:asciiTheme="majorHAnsi" w:hAnsiTheme="majorHAnsi" w:cstheme="majorHAnsi"/>
          <w:noProof/>
          <w:szCs w:val="22"/>
        </w:rPr>
        <w:instrText xml:space="preserve"> TOC \h \z \c "Figure" </w:instrText>
      </w:r>
      <w:r w:rsidRPr="003E4A5D">
        <w:rPr>
          <w:rStyle w:val="Hyperlink"/>
          <w:rFonts w:asciiTheme="majorHAnsi" w:hAnsiTheme="majorHAnsi" w:cstheme="majorHAnsi"/>
          <w:noProof/>
          <w:szCs w:val="22"/>
        </w:rPr>
        <w:fldChar w:fldCharType="separate"/>
      </w:r>
      <w:hyperlink w:anchor="_Toc11255062" w:history="1">
        <w:r w:rsidR="00EF15E8" w:rsidRPr="003E4A5D">
          <w:rPr>
            <w:rStyle w:val="Hyperlink"/>
            <w:rFonts w:asciiTheme="majorHAnsi" w:hAnsiTheme="majorHAnsi" w:cstheme="majorHAnsi"/>
            <w:noProof/>
            <w:szCs w:val="22"/>
          </w:rPr>
          <w:t>Figure 2.1. Definitions of income concepts</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_Toc11255062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15</w:t>
        </w:r>
        <w:r w:rsidR="00EF15E8" w:rsidRPr="003E4A5D">
          <w:rPr>
            <w:rFonts w:asciiTheme="majorHAnsi" w:hAnsiTheme="majorHAnsi" w:cstheme="majorHAnsi"/>
            <w:noProof/>
            <w:webHidden/>
            <w:szCs w:val="22"/>
          </w:rPr>
          <w:fldChar w:fldCharType="end"/>
        </w:r>
      </w:hyperlink>
    </w:p>
    <w:p w14:paraId="435EDEB5" w14:textId="42BA7579" w:rsidR="00EF15E8" w:rsidRPr="003E4A5D" w:rsidRDefault="00B0774B">
      <w:pPr>
        <w:pStyle w:val="TableofFigures"/>
        <w:tabs>
          <w:tab w:val="right" w:leader="dot" w:pos="9350"/>
        </w:tabs>
        <w:rPr>
          <w:rFonts w:asciiTheme="majorHAnsi" w:hAnsiTheme="majorHAnsi" w:cstheme="majorHAnsi"/>
          <w:noProof/>
          <w:szCs w:val="22"/>
        </w:rPr>
      </w:pPr>
      <w:hyperlink w:anchor="_Toc11255063" w:history="1">
        <w:r w:rsidR="00EF15E8" w:rsidRPr="003E4A5D">
          <w:rPr>
            <w:rStyle w:val="Hyperlink"/>
            <w:rFonts w:asciiTheme="majorHAnsi" w:hAnsiTheme="majorHAnsi" w:cstheme="majorHAnsi"/>
            <w:noProof/>
            <w:szCs w:val="22"/>
            <w:lang w:eastAsia="en-GB"/>
          </w:rPr>
          <w:t xml:space="preserve">Figure 2.2. </w:t>
        </w:r>
        <w:r w:rsidR="00EF15E8" w:rsidRPr="003E4A5D">
          <w:rPr>
            <w:rStyle w:val="Hyperlink"/>
            <w:rFonts w:asciiTheme="majorHAnsi" w:hAnsiTheme="majorHAnsi" w:cstheme="majorHAnsi"/>
            <w:noProof/>
            <w:szCs w:val="22"/>
          </w:rPr>
          <w:t>Progressivity of taxes and transfers</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_Toc11255063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17</w:t>
        </w:r>
        <w:r w:rsidR="00EF15E8" w:rsidRPr="003E4A5D">
          <w:rPr>
            <w:rFonts w:asciiTheme="majorHAnsi" w:hAnsiTheme="majorHAnsi" w:cstheme="majorHAnsi"/>
            <w:noProof/>
            <w:webHidden/>
            <w:szCs w:val="22"/>
          </w:rPr>
          <w:fldChar w:fldCharType="end"/>
        </w:r>
      </w:hyperlink>
    </w:p>
    <w:p w14:paraId="2992ACB5" w14:textId="076CB688" w:rsidR="00EF15E8" w:rsidRPr="003E4A5D" w:rsidRDefault="00B0774B">
      <w:pPr>
        <w:pStyle w:val="TableofFigures"/>
        <w:tabs>
          <w:tab w:val="right" w:leader="dot" w:pos="9350"/>
        </w:tabs>
        <w:rPr>
          <w:rFonts w:asciiTheme="majorHAnsi" w:hAnsiTheme="majorHAnsi" w:cstheme="majorHAnsi"/>
          <w:noProof/>
          <w:szCs w:val="22"/>
        </w:rPr>
      </w:pPr>
      <w:hyperlink w:anchor="_Toc11255064" w:history="1">
        <w:r w:rsidR="00EF15E8" w:rsidRPr="003E4A5D">
          <w:rPr>
            <w:rStyle w:val="Hyperlink"/>
            <w:rFonts w:asciiTheme="majorHAnsi" w:hAnsiTheme="majorHAnsi" w:cstheme="majorHAnsi"/>
            <w:noProof/>
            <w:szCs w:val="22"/>
          </w:rPr>
          <w:t>Figure 3.1. Composition of tax revenues as a share of GDP in Mauritius and middle income countries, circa 2017</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_Toc11255064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20</w:t>
        </w:r>
        <w:r w:rsidR="00EF15E8" w:rsidRPr="003E4A5D">
          <w:rPr>
            <w:rFonts w:asciiTheme="majorHAnsi" w:hAnsiTheme="majorHAnsi" w:cstheme="majorHAnsi"/>
            <w:noProof/>
            <w:webHidden/>
            <w:szCs w:val="22"/>
          </w:rPr>
          <w:fldChar w:fldCharType="end"/>
        </w:r>
      </w:hyperlink>
    </w:p>
    <w:p w14:paraId="7AF86541" w14:textId="44F0DCD6" w:rsidR="00EF15E8" w:rsidRPr="003E4A5D" w:rsidRDefault="00B0774B">
      <w:pPr>
        <w:pStyle w:val="TableofFigures"/>
        <w:tabs>
          <w:tab w:val="right" w:leader="dot" w:pos="9350"/>
        </w:tabs>
        <w:rPr>
          <w:rFonts w:asciiTheme="majorHAnsi" w:hAnsiTheme="majorHAnsi" w:cstheme="majorHAnsi"/>
          <w:noProof/>
          <w:szCs w:val="22"/>
        </w:rPr>
      </w:pPr>
      <w:hyperlink w:anchor="_Toc11255065" w:history="1">
        <w:r w:rsidR="00EF15E8" w:rsidRPr="003E4A5D">
          <w:rPr>
            <w:rStyle w:val="Hyperlink"/>
            <w:rFonts w:asciiTheme="majorHAnsi" w:hAnsiTheme="majorHAnsi" w:cstheme="majorHAnsi"/>
            <w:noProof/>
            <w:szCs w:val="22"/>
            <w:lang w:eastAsia="en-GB"/>
          </w:rPr>
          <w:t xml:space="preserve">Figure 3.2. </w:t>
        </w:r>
        <w:r w:rsidR="00EF15E8" w:rsidRPr="003E4A5D">
          <w:rPr>
            <w:rStyle w:val="Hyperlink"/>
            <w:rFonts w:asciiTheme="majorHAnsi" w:hAnsiTheme="majorHAnsi" w:cstheme="majorHAnsi"/>
            <w:noProof/>
            <w:szCs w:val="22"/>
          </w:rPr>
          <w:t>Composition of public spending as a share of GDP in Mauritius and middle income countries, circa 2017, selected functions</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_Toc11255065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22</w:t>
        </w:r>
        <w:r w:rsidR="00EF15E8" w:rsidRPr="003E4A5D">
          <w:rPr>
            <w:rFonts w:asciiTheme="majorHAnsi" w:hAnsiTheme="majorHAnsi" w:cstheme="majorHAnsi"/>
            <w:noProof/>
            <w:webHidden/>
            <w:szCs w:val="22"/>
          </w:rPr>
          <w:fldChar w:fldCharType="end"/>
        </w:r>
      </w:hyperlink>
    </w:p>
    <w:p w14:paraId="26517616" w14:textId="78E8C05A" w:rsidR="00EF15E8" w:rsidRPr="003E4A5D" w:rsidRDefault="00B0774B">
      <w:pPr>
        <w:pStyle w:val="TableofFigures"/>
        <w:tabs>
          <w:tab w:val="right" w:leader="dot" w:pos="9350"/>
        </w:tabs>
        <w:rPr>
          <w:rFonts w:asciiTheme="majorHAnsi" w:hAnsiTheme="majorHAnsi" w:cstheme="majorHAnsi"/>
          <w:noProof/>
          <w:szCs w:val="22"/>
        </w:rPr>
      </w:pPr>
      <w:hyperlink w:anchor="_Toc11255066" w:history="1">
        <w:r w:rsidR="00EF15E8" w:rsidRPr="003E4A5D">
          <w:rPr>
            <w:rStyle w:val="Hyperlink"/>
            <w:rFonts w:asciiTheme="majorHAnsi" w:hAnsiTheme="majorHAnsi" w:cstheme="majorHAnsi"/>
            <w:noProof/>
            <w:szCs w:val="22"/>
            <w:lang w:eastAsia="en-GB"/>
          </w:rPr>
          <w:t>Figure 3.3. Lorenz and concentration curves for per capita market income and direct taxes and contributions and share of personal income tax and contributions in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_Toc11255066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24</w:t>
        </w:r>
        <w:r w:rsidR="00EF15E8" w:rsidRPr="003E4A5D">
          <w:rPr>
            <w:rFonts w:asciiTheme="majorHAnsi" w:hAnsiTheme="majorHAnsi" w:cstheme="majorHAnsi"/>
            <w:noProof/>
            <w:webHidden/>
            <w:szCs w:val="22"/>
          </w:rPr>
          <w:fldChar w:fldCharType="end"/>
        </w:r>
      </w:hyperlink>
    </w:p>
    <w:p w14:paraId="1E2BED0E" w14:textId="7F6406B3" w:rsidR="00EF15E8" w:rsidRPr="003E4A5D" w:rsidRDefault="00B0774B">
      <w:pPr>
        <w:pStyle w:val="TableofFigures"/>
        <w:tabs>
          <w:tab w:val="right" w:leader="dot" w:pos="9350"/>
        </w:tabs>
        <w:rPr>
          <w:rFonts w:asciiTheme="majorHAnsi" w:hAnsiTheme="majorHAnsi" w:cstheme="majorHAnsi"/>
          <w:noProof/>
          <w:szCs w:val="22"/>
        </w:rPr>
      </w:pPr>
      <w:hyperlink w:anchor="_Toc11255067" w:history="1">
        <w:r w:rsidR="00EF15E8" w:rsidRPr="003E4A5D">
          <w:rPr>
            <w:rStyle w:val="Hyperlink"/>
            <w:rFonts w:asciiTheme="majorHAnsi" w:hAnsiTheme="majorHAnsi" w:cstheme="majorHAnsi"/>
            <w:noProof/>
            <w:szCs w:val="22"/>
            <w:lang w:eastAsia="en-GB"/>
          </w:rPr>
          <w:t>Figure 3.4. Lorenz and concentration curves for per capita market income and cash transfers and share of cash transfers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_Toc11255067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26</w:t>
        </w:r>
        <w:r w:rsidR="00EF15E8" w:rsidRPr="003E4A5D">
          <w:rPr>
            <w:rFonts w:asciiTheme="majorHAnsi" w:hAnsiTheme="majorHAnsi" w:cstheme="majorHAnsi"/>
            <w:noProof/>
            <w:webHidden/>
            <w:szCs w:val="22"/>
          </w:rPr>
          <w:fldChar w:fldCharType="end"/>
        </w:r>
      </w:hyperlink>
    </w:p>
    <w:p w14:paraId="1631FB5E" w14:textId="7AC1C6E7" w:rsidR="00EF15E8" w:rsidRPr="003E4A5D" w:rsidRDefault="00B0774B">
      <w:pPr>
        <w:pStyle w:val="TableofFigures"/>
        <w:tabs>
          <w:tab w:val="right" w:leader="dot" w:pos="9350"/>
        </w:tabs>
        <w:rPr>
          <w:rFonts w:asciiTheme="majorHAnsi" w:hAnsiTheme="majorHAnsi" w:cstheme="majorHAnsi"/>
          <w:noProof/>
          <w:szCs w:val="22"/>
        </w:rPr>
      </w:pPr>
      <w:hyperlink w:anchor="_Toc11255068" w:history="1">
        <w:r w:rsidR="00EF15E8" w:rsidRPr="003E4A5D">
          <w:rPr>
            <w:rStyle w:val="Hyperlink"/>
            <w:rFonts w:asciiTheme="majorHAnsi" w:hAnsiTheme="majorHAnsi" w:cstheme="majorHAnsi"/>
            <w:noProof/>
            <w:szCs w:val="22"/>
            <w:lang w:eastAsia="en-GB"/>
          </w:rPr>
          <w:t>Figure 3.5. Lorenz and concentration curves for per capita market income and VAT and share of VAT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_Toc11255068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27</w:t>
        </w:r>
        <w:r w:rsidR="00EF15E8" w:rsidRPr="003E4A5D">
          <w:rPr>
            <w:rFonts w:asciiTheme="majorHAnsi" w:hAnsiTheme="majorHAnsi" w:cstheme="majorHAnsi"/>
            <w:noProof/>
            <w:webHidden/>
            <w:szCs w:val="22"/>
          </w:rPr>
          <w:fldChar w:fldCharType="end"/>
        </w:r>
      </w:hyperlink>
    </w:p>
    <w:p w14:paraId="1685115A" w14:textId="00A72A57" w:rsidR="00EF15E8" w:rsidRPr="003E4A5D" w:rsidRDefault="00B0774B">
      <w:pPr>
        <w:pStyle w:val="TableofFigures"/>
        <w:tabs>
          <w:tab w:val="right" w:leader="dot" w:pos="9350"/>
        </w:tabs>
        <w:rPr>
          <w:rFonts w:asciiTheme="majorHAnsi" w:hAnsiTheme="majorHAnsi" w:cstheme="majorHAnsi"/>
          <w:noProof/>
          <w:szCs w:val="22"/>
        </w:rPr>
      </w:pPr>
      <w:hyperlink w:anchor="_Toc11255069" w:history="1">
        <w:r w:rsidR="00EF15E8" w:rsidRPr="003E4A5D">
          <w:rPr>
            <w:rStyle w:val="Hyperlink"/>
            <w:rFonts w:asciiTheme="majorHAnsi" w:hAnsiTheme="majorHAnsi" w:cstheme="majorHAnsi"/>
            <w:noProof/>
            <w:szCs w:val="22"/>
            <w:lang w:eastAsia="en-GB"/>
          </w:rPr>
          <w:t>Figure 3.6. Lorenz and concentration curves for per capita market income and excise taxes and share of excise taxes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_Toc11255069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29</w:t>
        </w:r>
        <w:r w:rsidR="00EF15E8" w:rsidRPr="003E4A5D">
          <w:rPr>
            <w:rFonts w:asciiTheme="majorHAnsi" w:hAnsiTheme="majorHAnsi" w:cstheme="majorHAnsi"/>
            <w:noProof/>
            <w:webHidden/>
            <w:szCs w:val="22"/>
          </w:rPr>
          <w:fldChar w:fldCharType="end"/>
        </w:r>
      </w:hyperlink>
    </w:p>
    <w:p w14:paraId="09F7791F" w14:textId="201B829A" w:rsidR="00EF15E8" w:rsidRPr="003E4A5D" w:rsidRDefault="00B0774B">
      <w:pPr>
        <w:pStyle w:val="TableofFigures"/>
        <w:tabs>
          <w:tab w:val="right" w:leader="dot" w:pos="9350"/>
        </w:tabs>
        <w:rPr>
          <w:rFonts w:asciiTheme="majorHAnsi" w:hAnsiTheme="majorHAnsi" w:cstheme="majorHAnsi"/>
          <w:noProof/>
          <w:szCs w:val="22"/>
        </w:rPr>
      </w:pPr>
      <w:hyperlink w:anchor="_Toc11255070" w:history="1">
        <w:r w:rsidR="00EF15E8" w:rsidRPr="003E4A5D">
          <w:rPr>
            <w:rStyle w:val="Hyperlink"/>
            <w:rFonts w:asciiTheme="majorHAnsi" w:hAnsiTheme="majorHAnsi" w:cstheme="majorHAnsi"/>
            <w:noProof/>
            <w:szCs w:val="22"/>
            <w:lang w:eastAsia="en-GB"/>
          </w:rPr>
          <w:t>Figure 3.7. Lorenz and concentration curves for per capita market income and indirect subsidies and share of indirect subsidies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_Toc11255070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31</w:t>
        </w:r>
        <w:r w:rsidR="00EF15E8" w:rsidRPr="003E4A5D">
          <w:rPr>
            <w:rFonts w:asciiTheme="majorHAnsi" w:hAnsiTheme="majorHAnsi" w:cstheme="majorHAnsi"/>
            <w:noProof/>
            <w:webHidden/>
            <w:szCs w:val="22"/>
          </w:rPr>
          <w:fldChar w:fldCharType="end"/>
        </w:r>
      </w:hyperlink>
    </w:p>
    <w:p w14:paraId="75EE626A" w14:textId="2A9ACFE3" w:rsidR="00EF15E8" w:rsidRPr="003E4A5D" w:rsidRDefault="00B0774B">
      <w:pPr>
        <w:pStyle w:val="TableofFigures"/>
        <w:tabs>
          <w:tab w:val="right" w:leader="dot" w:pos="9350"/>
        </w:tabs>
        <w:rPr>
          <w:rFonts w:asciiTheme="majorHAnsi" w:hAnsiTheme="majorHAnsi" w:cstheme="majorHAnsi"/>
          <w:noProof/>
          <w:szCs w:val="22"/>
        </w:rPr>
      </w:pPr>
      <w:hyperlink w:anchor="_Toc11255071" w:history="1">
        <w:r w:rsidR="00EF15E8" w:rsidRPr="003E4A5D">
          <w:rPr>
            <w:rStyle w:val="Hyperlink"/>
            <w:rFonts w:asciiTheme="majorHAnsi" w:hAnsiTheme="majorHAnsi" w:cstheme="majorHAnsi"/>
            <w:noProof/>
            <w:szCs w:val="22"/>
            <w:lang w:eastAsia="en-GB"/>
          </w:rPr>
          <w:t>Figure 3.8. Share of beneficiaries of free bus transport by quintile of per capita market income.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_Toc11255071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32</w:t>
        </w:r>
        <w:r w:rsidR="00EF15E8" w:rsidRPr="003E4A5D">
          <w:rPr>
            <w:rFonts w:asciiTheme="majorHAnsi" w:hAnsiTheme="majorHAnsi" w:cstheme="majorHAnsi"/>
            <w:noProof/>
            <w:webHidden/>
            <w:szCs w:val="22"/>
          </w:rPr>
          <w:fldChar w:fldCharType="end"/>
        </w:r>
      </w:hyperlink>
    </w:p>
    <w:p w14:paraId="554279A3" w14:textId="1A12FA5B" w:rsidR="00EF15E8" w:rsidRPr="003E4A5D" w:rsidRDefault="00B0774B">
      <w:pPr>
        <w:pStyle w:val="TableofFigures"/>
        <w:tabs>
          <w:tab w:val="right" w:leader="dot" w:pos="9350"/>
        </w:tabs>
        <w:rPr>
          <w:rFonts w:asciiTheme="majorHAnsi" w:hAnsiTheme="majorHAnsi" w:cstheme="majorHAnsi"/>
          <w:noProof/>
          <w:szCs w:val="22"/>
        </w:rPr>
      </w:pPr>
      <w:hyperlink w:anchor="_Toc11255072" w:history="1">
        <w:r w:rsidR="00EF15E8" w:rsidRPr="003E4A5D">
          <w:rPr>
            <w:rStyle w:val="Hyperlink"/>
            <w:rFonts w:asciiTheme="majorHAnsi" w:hAnsiTheme="majorHAnsi" w:cstheme="majorHAnsi"/>
            <w:noProof/>
            <w:szCs w:val="22"/>
            <w:lang w:eastAsia="en-GB"/>
          </w:rPr>
          <w:t>Figure 3.9. Public education expenditures by educational level and distribution of school-age kids by quintile of per capita income.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_Toc11255072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33</w:t>
        </w:r>
        <w:r w:rsidR="00EF15E8" w:rsidRPr="003E4A5D">
          <w:rPr>
            <w:rFonts w:asciiTheme="majorHAnsi" w:hAnsiTheme="majorHAnsi" w:cstheme="majorHAnsi"/>
            <w:noProof/>
            <w:webHidden/>
            <w:szCs w:val="22"/>
          </w:rPr>
          <w:fldChar w:fldCharType="end"/>
        </w:r>
      </w:hyperlink>
    </w:p>
    <w:p w14:paraId="7241493D" w14:textId="5CE3CEA8" w:rsidR="00EF15E8" w:rsidRPr="003E4A5D" w:rsidRDefault="00B0774B">
      <w:pPr>
        <w:pStyle w:val="TableofFigures"/>
        <w:tabs>
          <w:tab w:val="right" w:leader="dot" w:pos="9350"/>
        </w:tabs>
        <w:rPr>
          <w:rFonts w:asciiTheme="majorHAnsi" w:hAnsiTheme="majorHAnsi" w:cstheme="majorHAnsi"/>
          <w:noProof/>
          <w:szCs w:val="22"/>
        </w:rPr>
      </w:pPr>
      <w:hyperlink w:anchor="_Toc11255073" w:history="1">
        <w:r w:rsidR="00EF15E8" w:rsidRPr="003E4A5D">
          <w:rPr>
            <w:rStyle w:val="Hyperlink"/>
            <w:rFonts w:asciiTheme="majorHAnsi" w:hAnsiTheme="majorHAnsi" w:cstheme="majorHAnsi"/>
            <w:noProof/>
            <w:szCs w:val="22"/>
            <w:lang w:eastAsia="en-GB"/>
          </w:rPr>
          <w:t>Figure 3.10. School attendance rates by educational level, type of provider and quintile of per capita market income plus pension.</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_Toc11255073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34</w:t>
        </w:r>
        <w:r w:rsidR="00EF15E8" w:rsidRPr="003E4A5D">
          <w:rPr>
            <w:rFonts w:asciiTheme="majorHAnsi" w:hAnsiTheme="majorHAnsi" w:cstheme="majorHAnsi"/>
            <w:noProof/>
            <w:webHidden/>
            <w:szCs w:val="22"/>
          </w:rPr>
          <w:fldChar w:fldCharType="end"/>
        </w:r>
      </w:hyperlink>
    </w:p>
    <w:p w14:paraId="4DA39FFF" w14:textId="3C6293F1" w:rsidR="00EF15E8" w:rsidRPr="003E4A5D" w:rsidRDefault="00B0774B">
      <w:pPr>
        <w:pStyle w:val="TableofFigures"/>
        <w:tabs>
          <w:tab w:val="right" w:leader="dot" w:pos="9350"/>
        </w:tabs>
        <w:rPr>
          <w:rFonts w:asciiTheme="majorHAnsi" w:hAnsiTheme="majorHAnsi" w:cstheme="majorHAnsi"/>
          <w:noProof/>
          <w:szCs w:val="22"/>
        </w:rPr>
      </w:pPr>
      <w:hyperlink w:anchor="_Toc11255074" w:history="1">
        <w:r w:rsidR="00EF15E8" w:rsidRPr="003E4A5D">
          <w:rPr>
            <w:rStyle w:val="Hyperlink"/>
            <w:rFonts w:asciiTheme="majorHAnsi" w:hAnsiTheme="majorHAnsi" w:cstheme="majorHAnsi"/>
            <w:noProof/>
            <w:szCs w:val="22"/>
            <w:lang w:eastAsia="en-GB"/>
          </w:rPr>
          <w:t>Figure 3.11. Lorenz and concentration curves for per capita market income and in-kind education transfer and share of in-kind education transfer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_Toc11255074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35</w:t>
        </w:r>
        <w:r w:rsidR="00EF15E8" w:rsidRPr="003E4A5D">
          <w:rPr>
            <w:rFonts w:asciiTheme="majorHAnsi" w:hAnsiTheme="majorHAnsi" w:cstheme="majorHAnsi"/>
            <w:noProof/>
            <w:webHidden/>
            <w:szCs w:val="22"/>
          </w:rPr>
          <w:fldChar w:fldCharType="end"/>
        </w:r>
      </w:hyperlink>
    </w:p>
    <w:p w14:paraId="193DD6C6" w14:textId="0A951712" w:rsidR="00EF15E8" w:rsidRPr="003E4A5D" w:rsidRDefault="00B0774B">
      <w:pPr>
        <w:pStyle w:val="TableofFigures"/>
        <w:tabs>
          <w:tab w:val="right" w:leader="dot" w:pos="9350"/>
        </w:tabs>
        <w:rPr>
          <w:rFonts w:asciiTheme="majorHAnsi" w:hAnsiTheme="majorHAnsi" w:cstheme="majorHAnsi"/>
          <w:noProof/>
          <w:szCs w:val="22"/>
        </w:rPr>
      </w:pPr>
      <w:hyperlink w:anchor="_Toc11255075" w:history="1">
        <w:r w:rsidR="00EF15E8" w:rsidRPr="003E4A5D">
          <w:rPr>
            <w:rStyle w:val="Hyperlink"/>
            <w:rFonts w:asciiTheme="majorHAnsi" w:hAnsiTheme="majorHAnsi" w:cstheme="majorHAnsi"/>
            <w:noProof/>
            <w:szCs w:val="22"/>
            <w:lang w:eastAsia="en-GB"/>
          </w:rPr>
          <w:t>Figure 3.12. Lorenz and concentration curves for per capita market income and in-kind health transfer and share of in-kind health transfer in total market income by quintile.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_Toc11255075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36</w:t>
        </w:r>
        <w:r w:rsidR="00EF15E8" w:rsidRPr="003E4A5D">
          <w:rPr>
            <w:rFonts w:asciiTheme="majorHAnsi" w:hAnsiTheme="majorHAnsi" w:cstheme="majorHAnsi"/>
            <w:noProof/>
            <w:webHidden/>
            <w:szCs w:val="22"/>
          </w:rPr>
          <w:fldChar w:fldCharType="end"/>
        </w:r>
      </w:hyperlink>
    </w:p>
    <w:p w14:paraId="74653B4D" w14:textId="4A5E4866" w:rsidR="00EF15E8" w:rsidRPr="003E4A5D" w:rsidRDefault="00B0774B">
      <w:pPr>
        <w:pStyle w:val="TableofFigures"/>
        <w:tabs>
          <w:tab w:val="right" w:leader="dot" w:pos="9350"/>
        </w:tabs>
        <w:rPr>
          <w:rFonts w:asciiTheme="majorHAnsi" w:hAnsiTheme="majorHAnsi" w:cstheme="majorHAnsi"/>
          <w:noProof/>
          <w:szCs w:val="22"/>
        </w:rPr>
      </w:pPr>
      <w:hyperlink w:anchor="_Toc11255076" w:history="1">
        <w:r w:rsidR="00EF15E8" w:rsidRPr="003E4A5D">
          <w:rPr>
            <w:rStyle w:val="Hyperlink"/>
            <w:rFonts w:asciiTheme="majorHAnsi" w:hAnsiTheme="majorHAnsi" w:cstheme="majorHAnsi"/>
            <w:noProof/>
            <w:szCs w:val="22"/>
            <w:lang w:eastAsia="en-GB"/>
          </w:rPr>
          <w:t>Figure 3.13</w:t>
        </w:r>
        <w:r w:rsidR="00EF15E8" w:rsidRPr="003E4A5D">
          <w:rPr>
            <w:rStyle w:val="Hyperlink"/>
            <w:rFonts w:asciiTheme="majorHAnsi" w:hAnsiTheme="majorHAnsi" w:cstheme="majorHAnsi"/>
            <w:noProof/>
            <w:szCs w:val="22"/>
          </w:rPr>
          <w:t xml:space="preserve"> Progressivity of</w:t>
        </w:r>
        <w:r w:rsidR="00EF15E8" w:rsidRPr="003E4A5D">
          <w:rPr>
            <w:rStyle w:val="Hyperlink"/>
            <w:rFonts w:asciiTheme="majorHAnsi" w:hAnsiTheme="majorHAnsi" w:cstheme="majorHAnsi"/>
            <w:noProof/>
            <w:szCs w:val="22"/>
            <w:lang w:eastAsia="en-GB"/>
          </w:rPr>
          <w:t xml:space="preserve"> Taxes and Transfers</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_Toc11255076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38</w:t>
        </w:r>
        <w:r w:rsidR="00EF15E8" w:rsidRPr="003E4A5D">
          <w:rPr>
            <w:rFonts w:asciiTheme="majorHAnsi" w:hAnsiTheme="majorHAnsi" w:cstheme="majorHAnsi"/>
            <w:noProof/>
            <w:webHidden/>
            <w:szCs w:val="22"/>
          </w:rPr>
          <w:fldChar w:fldCharType="end"/>
        </w:r>
      </w:hyperlink>
    </w:p>
    <w:p w14:paraId="6AA0DCDA" w14:textId="3AFC0796" w:rsidR="00EF15E8" w:rsidRPr="003E4A5D" w:rsidRDefault="00B0774B">
      <w:pPr>
        <w:pStyle w:val="TableofFigures"/>
        <w:tabs>
          <w:tab w:val="right" w:leader="dot" w:pos="9350"/>
        </w:tabs>
        <w:rPr>
          <w:rFonts w:asciiTheme="majorHAnsi" w:hAnsiTheme="majorHAnsi" w:cstheme="majorHAnsi"/>
          <w:noProof/>
          <w:szCs w:val="22"/>
        </w:rPr>
      </w:pPr>
      <w:hyperlink w:anchor="_Toc11255077" w:history="1">
        <w:r w:rsidR="00EF15E8" w:rsidRPr="003E4A5D">
          <w:rPr>
            <w:rStyle w:val="Hyperlink"/>
            <w:rFonts w:asciiTheme="majorHAnsi" w:hAnsiTheme="majorHAnsi" w:cstheme="majorHAnsi"/>
            <w:noProof/>
            <w:szCs w:val="22"/>
            <w:lang w:eastAsia="en-GB"/>
          </w:rPr>
          <w:t>Figure 4.1</w:t>
        </w:r>
        <w:r w:rsidR="00EF15E8" w:rsidRPr="003E4A5D">
          <w:rPr>
            <w:rStyle w:val="Hyperlink"/>
            <w:rFonts w:asciiTheme="majorHAnsi" w:hAnsiTheme="majorHAnsi" w:cstheme="majorHAnsi"/>
            <w:noProof/>
            <w:szCs w:val="22"/>
          </w:rPr>
          <w:t xml:space="preserve"> </w:t>
        </w:r>
        <w:r w:rsidR="00EF15E8" w:rsidRPr="003E4A5D">
          <w:rPr>
            <w:rStyle w:val="Hyperlink"/>
            <w:rFonts w:asciiTheme="majorHAnsi" w:hAnsiTheme="majorHAnsi" w:cstheme="majorHAnsi"/>
            <w:noProof/>
            <w:szCs w:val="22"/>
            <w:lang w:eastAsia="en-GB"/>
          </w:rPr>
          <w:t>Marginal Contribution of Taxes and Transfers to Changes in Poverty Headcount (national poverty line)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_Toc11255077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41</w:t>
        </w:r>
        <w:r w:rsidR="00EF15E8" w:rsidRPr="003E4A5D">
          <w:rPr>
            <w:rFonts w:asciiTheme="majorHAnsi" w:hAnsiTheme="majorHAnsi" w:cstheme="majorHAnsi"/>
            <w:noProof/>
            <w:webHidden/>
            <w:szCs w:val="22"/>
          </w:rPr>
          <w:fldChar w:fldCharType="end"/>
        </w:r>
      </w:hyperlink>
    </w:p>
    <w:p w14:paraId="384575FB" w14:textId="2FF2CE29" w:rsidR="00EF15E8" w:rsidRPr="003E4A5D" w:rsidRDefault="00B0774B">
      <w:pPr>
        <w:pStyle w:val="TableofFigures"/>
        <w:tabs>
          <w:tab w:val="right" w:leader="dot" w:pos="9350"/>
        </w:tabs>
        <w:rPr>
          <w:rFonts w:asciiTheme="majorHAnsi" w:hAnsiTheme="majorHAnsi" w:cstheme="majorHAnsi"/>
          <w:noProof/>
          <w:szCs w:val="22"/>
        </w:rPr>
      </w:pPr>
      <w:hyperlink w:anchor="_Toc11255078" w:history="1">
        <w:r w:rsidR="00EF15E8" w:rsidRPr="003E4A5D">
          <w:rPr>
            <w:rStyle w:val="Hyperlink"/>
            <w:rFonts w:asciiTheme="majorHAnsi" w:hAnsiTheme="majorHAnsi" w:cstheme="majorHAnsi"/>
            <w:noProof/>
            <w:szCs w:val="22"/>
            <w:lang w:eastAsia="en-GB"/>
          </w:rPr>
          <w:t>Figure 4.2</w:t>
        </w:r>
        <w:r w:rsidR="00EF15E8" w:rsidRPr="003E4A5D">
          <w:rPr>
            <w:rStyle w:val="Hyperlink"/>
            <w:rFonts w:asciiTheme="majorHAnsi" w:hAnsiTheme="majorHAnsi" w:cstheme="majorHAnsi"/>
            <w:noProof/>
            <w:szCs w:val="22"/>
          </w:rPr>
          <w:t xml:space="preserve"> </w:t>
        </w:r>
        <w:r w:rsidR="00EF15E8" w:rsidRPr="003E4A5D">
          <w:rPr>
            <w:rStyle w:val="Hyperlink"/>
            <w:rFonts w:asciiTheme="majorHAnsi" w:hAnsiTheme="majorHAnsi" w:cstheme="majorHAnsi"/>
            <w:noProof/>
            <w:szCs w:val="22"/>
            <w:lang w:eastAsia="en-GB"/>
          </w:rPr>
          <w:t>Marginal Contribution of Taxes and Transfers to Changes in Inequality (Gini coefficient)</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_Toc11255078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41</w:t>
        </w:r>
        <w:r w:rsidR="00EF15E8" w:rsidRPr="003E4A5D">
          <w:rPr>
            <w:rFonts w:asciiTheme="majorHAnsi" w:hAnsiTheme="majorHAnsi" w:cstheme="majorHAnsi"/>
            <w:noProof/>
            <w:webHidden/>
            <w:szCs w:val="22"/>
          </w:rPr>
          <w:fldChar w:fldCharType="end"/>
        </w:r>
      </w:hyperlink>
    </w:p>
    <w:p w14:paraId="5BCBEF68" w14:textId="05BAD3B1" w:rsidR="00EF15E8" w:rsidRPr="003E4A5D" w:rsidRDefault="00B0774B">
      <w:pPr>
        <w:pStyle w:val="TableofFigures"/>
        <w:tabs>
          <w:tab w:val="right" w:leader="dot" w:pos="9350"/>
        </w:tabs>
        <w:rPr>
          <w:rFonts w:asciiTheme="majorHAnsi" w:hAnsiTheme="majorHAnsi" w:cstheme="majorHAnsi"/>
          <w:noProof/>
          <w:szCs w:val="22"/>
        </w:rPr>
      </w:pPr>
      <w:hyperlink w:anchor="_Toc11255079" w:history="1">
        <w:r w:rsidR="00EF15E8" w:rsidRPr="003E4A5D">
          <w:rPr>
            <w:rStyle w:val="Hyperlink"/>
            <w:rFonts w:asciiTheme="majorHAnsi" w:hAnsiTheme="majorHAnsi" w:cstheme="majorHAnsi"/>
            <w:noProof/>
            <w:szCs w:val="22"/>
            <w:lang w:eastAsia="en-GB"/>
          </w:rPr>
          <w:t>Figure 4.3</w:t>
        </w:r>
        <w:r w:rsidR="00EF15E8" w:rsidRPr="003E4A5D">
          <w:rPr>
            <w:rStyle w:val="Hyperlink"/>
            <w:rFonts w:asciiTheme="majorHAnsi" w:hAnsiTheme="majorHAnsi" w:cstheme="majorHAnsi"/>
            <w:noProof/>
            <w:szCs w:val="22"/>
          </w:rPr>
          <w:t xml:space="preserve"> </w:t>
        </w:r>
        <w:r w:rsidR="00EF15E8" w:rsidRPr="003E4A5D">
          <w:rPr>
            <w:rStyle w:val="Hyperlink"/>
            <w:rFonts w:asciiTheme="majorHAnsi" w:hAnsiTheme="majorHAnsi" w:cstheme="majorHAnsi"/>
            <w:noProof/>
            <w:szCs w:val="22"/>
            <w:lang w:eastAsia="en-GB"/>
          </w:rPr>
          <w:t>Change in inequality (Gini coefficient) from market to final income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_Toc11255079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43</w:t>
        </w:r>
        <w:r w:rsidR="00EF15E8" w:rsidRPr="003E4A5D">
          <w:rPr>
            <w:rFonts w:asciiTheme="majorHAnsi" w:hAnsiTheme="majorHAnsi" w:cstheme="majorHAnsi"/>
            <w:noProof/>
            <w:webHidden/>
            <w:szCs w:val="22"/>
          </w:rPr>
          <w:fldChar w:fldCharType="end"/>
        </w:r>
      </w:hyperlink>
    </w:p>
    <w:p w14:paraId="39AC3EBA" w14:textId="207D1715" w:rsidR="00EF15E8" w:rsidRPr="003E4A5D" w:rsidRDefault="00B0774B">
      <w:pPr>
        <w:pStyle w:val="TableofFigures"/>
        <w:tabs>
          <w:tab w:val="right" w:leader="dot" w:pos="9350"/>
        </w:tabs>
        <w:rPr>
          <w:rFonts w:asciiTheme="majorHAnsi" w:hAnsiTheme="majorHAnsi" w:cstheme="majorHAnsi"/>
          <w:noProof/>
          <w:szCs w:val="22"/>
        </w:rPr>
      </w:pPr>
      <w:hyperlink w:anchor="_Toc11255080" w:history="1">
        <w:r w:rsidR="00EF15E8" w:rsidRPr="003E4A5D">
          <w:rPr>
            <w:rStyle w:val="Hyperlink"/>
            <w:rFonts w:asciiTheme="majorHAnsi" w:hAnsiTheme="majorHAnsi" w:cstheme="majorHAnsi"/>
            <w:noProof/>
            <w:szCs w:val="22"/>
            <w:lang w:eastAsia="en-GB"/>
          </w:rPr>
          <w:t>Figure 4.4</w:t>
        </w:r>
        <w:r w:rsidR="00EF15E8" w:rsidRPr="003E4A5D">
          <w:rPr>
            <w:rStyle w:val="Hyperlink"/>
            <w:rFonts w:asciiTheme="majorHAnsi" w:hAnsiTheme="majorHAnsi" w:cstheme="majorHAnsi"/>
            <w:noProof/>
            <w:szCs w:val="22"/>
          </w:rPr>
          <w:t xml:space="preserve"> </w:t>
        </w:r>
        <w:r w:rsidR="00EF15E8" w:rsidRPr="003E4A5D">
          <w:rPr>
            <w:rStyle w:val="Hyperlink"/>
            <w:rFonts w:asciiTheme="majorHAnsi" w:hAnsiTheme="majorHAnsi" w:cstheme="majorHAnsi"/>
            <w:noProof/>
            <w:szCs w:val="22"/>
            <w:lang w:eastAsia="en-GB"/>
          </w:rPr>
          <w:t>Change in poverty headcount from market to consumable income (PPP$4/day)</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_Toc11255080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44</w:t>
        </w:r>
        <w:r w:rsidR="00EF15E8" w:rsidRPr="003E4A5D">
          <w:rPr>
            <w:rFonts w:asciiTheme="majorHAnsi" w:hAnsiTheme="majorHAnsi" w:cstheme="majorHAnsi"/>
            <w:noProof/>
            <w:webHidden/>
            <w:szCs w:val="22"/>
          </w:rPr>
          <w:fldChar w:fldCharType="end"/>
        </w:r>
      </w:hyperlink>
    </w:p>
    <w:p w14:paraId="1FEF2629" w14:textId="31284EF5" w:rsidR="00EF15E8" w:rsidRPr="003E4A5D" w:rsidRDefault="00B0774B">
      <w:pPr>
        <w:pStyle w:val="TableofFigures"/>
        <w:tabs>
          <w:tab w:val="right" w:leader="dot" w:pos="9350"/>
        </w:tabs>
        <w:rPr>
          <w:rFonts w:asciiTheme="majorHAnsi" w:hAnsiTheme="majorHAnsi" w:cstheme="majorHAnsi"/>
          <w:noProof/>
          <w:szCs w:val="22"/>
        </w:rPr>
      </w:pPr>
      <w:hyperlink w:anchor="_Toc11255081" w:history="1">
        <w:r w:rsidR="00EF15E8" w:rsidRPr="003E4A5D">
          <w:rPr>
            <w:rStyle w:val="Hyperlink"/>
            <w:rFonts w:asciiTheme="majorHAnsi" w:hAnsiTheme="majorHAnsi" w:cstheme="majorHAnsi"/>
            <w:noProof/>
            <w:szCs w:val="22"/>
            <w:lang w:eastAsia="en-GB"/>
          </w:rPr>
          <w:t>Figure 4.5. Incidence of Taxes and Transfers and Net Fiscal Benefit, by Decile of Per Adult Equivalent Market Income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_Toc11255081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46</w:t>
        </w:r>
        <w:r w:rsidR="00EF15E8" w:rsidRPr="003E4A5D">
          <w:rPr>
            <w:rFonts w:asciiTheme="majorHAnsi" w:hAnsiTheme="majorHAnsi" w:cstheme="majorHAnsi"/>
            <w:noProof/>
            <w:webHidden/>
            <w:szCs w:val="22"/>
          </w:rPr>
          <w:fldChar w:fldCharType="end"/>
        </w:r>
      </w:hyperlink>
    </w:p>
    <w:p w14:paraId="3497BC66" w14:textId="5B3DD84F" w:rsidR="00EF15E8" w:rsidRPr="003E4A5D" w:rsidRDefault="00B0774B">
      <w:pPr>
        <w:pStyle w:val="TableofFigures"/>
        <w:tabs>
          <w:tab w:val="right" w:leader="dot" w:pos="9350"/>
        </w:tabs>
        <w:rPr>
          <w:rFonts w:asciiTheme="majorHAnsi" w:hAnsiTheme="majorHAnsi" w:cstheme="majorHAnsi"/>
          <w:noProof/>
          <w:szCs w:val="22"/>
        </w:rPr>
      </w:pPr>
      <w:hyperlink w:anchor="_Toc11255082" w:history="1">
        <w:r w:rsidR="00EF15E8" w:rsidRPr="003E4A5D">
          <w:rPr>
            <w:rStyle w:val="Hyperlink"/>
            <w:rFonts w:asciiTheme="majorHAnsi" w:hAnsiTheme="majorHAnsi" w:cstheme="majorHAnsi"/>
            <w:noProof/>
            <w:szCs w:val="22"/>
            <w:lang w:eastAsia="en-GB"/>
          </w:rPr>
          <w:t>Figure 5.1. Implementation of the Marshall Plan Social Contract</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_Toc11255082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47</w:t>
        </w:r>
        <w:r w:rsidR="00EF15E8" w:rsidRPr="003E4A5D">
          <w:rPr>
            <w:rFonts w:asciiTheme="majorHAnsi" w:hAnsiTheme="majorHAnsi" w:cstheme="majorHAnsi"/>
            <w:noProof/>
            <w:webHidden/>
            <w:szCs w:val="22"/>
          </w:rPr>
          <w:fldChar w:fldCharType="end"/>
        </w:r>
      </w:hyperlink>
    </w:p>
    <w:p w14:paraId="3C23762A" w14:textId="6FCE80EA" w:rsidR="00EF15E8" w:rsidRPr="003E4A5D" w:rsidRDefault="00B0774B">
      <w:pPr>
        <w:pStyle w:val="TableofFigures"/>
        <w:tabs>
          <w:tab w:val="right" w:leader="dot" w:pos="9350"/>
        </w:tabs>
        <w:rPr>
          <w:rFonts w:asciiTheme="majorHAnsi" w:hAnsiTheme="majorHAnsi" w:cstheme="majorHAnsi"/>
          <w:noProof/>
          <w:szCs w:val="22"/>
        </w:rPr>
      </w:pPr>
      <w:hyperlink w:anchor="_Toc11255083" w:history="1">
        <w:r w:rsidR="00EF15E8" w:rsidRPr="003E4A5D">
          <w:rPr>
            <w:rStyle w:val="Hyperlink"/>
            <w:rFonts w:asciiTheme="majorHAnsi" w:hAnsiTheme="majorHAnsi" w:cstheme="majorHAnsi"/>
            <w:noProof/>
            <w:szCs w:val="22"/>
            <w:lang w:eastAsia="en-GB"/>
          </w:rPr>
          <w:t xml:space="preserve">Figure 5.2. Lorenz and concentration curves for per adult equivalent </w:t>
        </w:r>
        <w:r w:rsidR="00C11058">
          <w:rPr>
            <w:rStyle w:val="Hyperlink"/>
            <w:rFonts w:asciiTheme="majorHAnsi" w:hAnsiTheme="majorHAnsi" w:cstheme="majorHAnsi"/>
            <w:noProof/>
            <w:szCs w:val="22"/>
            <w:lang w:eastAsia="en-GB"/>
          </w:rPr>
          <w:t>pre</w:t>
        </w:r>
        <w:r w:rsidR="00EF15E8" w:rsidRPr="003E4A5D">
          <w:rPr>
            <w:rStyle w:val="Hyperlink"/>
            <w:rFonts w:asciiTheme="majorHAnsi" w:hAnsiTheme="majorHAnsi" w:cstheme="majorHAnsi"/>
            <w:noProof/>
            <w:szCs w:val="22"/>
            <w:lang w:eastAsia="en-GB"/>
          </w:rPr>
          <w:t>fiscal market income, negative income tax allowance and Marshall Plan Social Contract scheme.</w:t>
        </w:r>
        <w:r w:rsidR="00EF15E8" w:rsidRPr="003E4A5D">
          <w:rPr>
            <w:rFonts w:asciiTheme="majorHAnsi" w:hAnsiTheme="majorHAnsi" w:cstheme="majorHAnsi"/>
            <w:noProof/>
            <w:webHidden/>
            <w:szCs w:val="22"/>
          </w:rPr>
          <w:tab/>
        </w:r>
        <w:r w:rsidR="00EF15E8" w:rsidRPr="003E4A5D">
          <w:rPr>
            <w:rFonts w:asciiTheme="majorHAnsi" w:hAnsiTheme="majorHAnsi" w:cstheme="majorHAnsi"/>
            <w:noProof/>
            <w:webHidden/>
            <w:szCs w:val="22"/>
          </w:rPr>
          <w:fldChar w:fldCharType="begin"/>
        </w:r>
        <w:r w:rsidR="00EF15E8" w:rsidRPr="003E4A5D">
          <w:rPr>
            <w:rFonts w:asciiTheme="majorHAnsi" w:hAnsiTheme="majorHAnsi" w:cstheme="majorHAnsi"/>
            <w:noProof/>
            <w:webHidden/>
            <w:szCs w:val="22"/>
          </w:rPr>
          <w:instrText xml:space="preserve"> PAGEREF _Toc11255083 \h </w:instrText>
        </w:r>
        <w:r w:rsidR="00EF15E8" w:rsidRPr="003E4A5D">
          <w:rPr>
            <w:rFonts w:asciiTheme="majorHAnsi" w:hAnsiTheme="majorHAnsi" w:cstheme="majorHAnsi"/>
            <w:noProof/>
            <w:webHidden/>
            <w:szCs w:val="22"/>
          </w:rPr>
        </w:r>
        <w:r w:rsidR="00EF15E8" w:rsidRPr="003E4A5D">
          <w:rPr>
            <w:rFonts w:asciiTheme="majorHAnsi" w:hAnsiTheme="majorHAnsi" w:cstheme="majorHAnsi"/>
            <w:noProof/>
            <w:webHidden/>
            <w:szCs w:val="22"/>
          </w:rPr>
          <w:fldChar w:fldCharType="separate"/>
        </w:r>
        <w:r w:rsidR="00200930">
          <w:rPr>
            <w:rFonts w:asciiTheme="majorHAnsi" w:hAnsiTheme="majorHAnsi" w:cstheme="majorHAnsi"/>
            <w:noProof/>
            <w:webHidden/>
            <w:szCs w:val="22"/>
          </w:rPr>
          <w:t>48</w:t>
        </w:r>
        <w:r w:rsidR="00EF15E8" w:rsidRPr="003E4A5D">
          <w:rPr>
            <w:rFonts w:asciiTheme="majorHAnsi" w:hAnsiTheme="majorHAnsi" w:cstheme="majorHAnsi"/>
            <w:noProof/>
            <w:webHidden/>
            <w:szCs w:val="22"/>
          </w:rPr>
          <w:fldChar w:fldCharType="end"/>
        </w:r>
      </w:hyperlink>
    </w:p>
    <w:p w14:paraId="2226F0D9" w14:textId="1CC76417" w:rsidR="00847D21" w:rsidRDefault="00847D21" w:rsidP="005E53B3">
      <w:pPr>
        <w:pStyle w:val="TableofFigures"/>
        <w:tabs>
          <w:tab w:val="right" w:leader="dot" w:pos="9350"/>
        </w:tabs>
      </w:pPr>
      <w:r w:rsidRPr="003E4A5D">
        <w:rPr>
          <w:rStyle w:val="Hyperlink"/>
          <w:rFonts w:asciiTheme="majorHAnsi" w:hAnsiTheme="majorHAnsi" w:cstheme="majorHAnsi"/>
          <w:noProof/>
          <w:szCs w:val="22"/>
        </w:rPr>
        <w:fldChar w:fldCharType="end"/>
      </w:r>
      <w:r>
        <w:br w:type="page"/>
      </w:r>
    </w:p>
    <w:p w14:paraId="6E5DD430" w14:textId="77777777" w:rsidR="00847D21" w:rsidRPr="00724BE6" w:rsidRDefault="00847D21" w:rsidP="00724BE6">
      <w:pPr>
        <w:pStyle w:val="Heading1"/>
        <w:pBdr>
          <w:bottom w:val="none" w:sz="0" w:space="0" w:color="auto"/>
        </w:pBdr>
        <w:spacing w:before="240" w:after="0" w:line="259" w:lineRule="auto"/>
        <w:jc w:val="left"/>
        <w:rPr>
          <w:b/>
          <w:color w:val="auto"/>
          <w:sz w:val="32"/>
          <w:szCs w:val="32"/>
        </w:rPr>
      </w:pPr>
      <w:bookmarkStart w:id="9" w:name="_Toc8812792"/>
      <w:bookmarkStart w:id="10" w:name="_Toc10824864"/>
      <w:bookmarkStart w:id="11" w:name="_Toc10824936"/>
      <w:r w:rsidRPr="00724BE6">
        <w:rPr>
          <w:b/>
          <w:color w:val="auto"/>
          <w:sz w:val="32"/>
          <w:szCs w:val="32"/>
        </w:rPr>
        <w:t>List of Tables</w:t>
      </w:r>
      <w:bookmarkEnd w:id="9"/>
      <w:bookmarkEnd w:id="10"/>
      <w:bookmarkEnd w:id="11"/>
    </w:p>
    <w:p w14:paraId="3283F0D4" w14:textId="11936D1B" w:rsidR="00EF15E8" w:rsidRPr="003D4B4E" w:rsidRDefault="00847D21">
      <w:pPr>
        <w:pStyle w:val="TableofFigures"/>
        <w:tabs>
          <w:tab w:val="right" w:leader="dot" w:pos="9350"/>
        </w:tabs>
        <w:rPr>
          <w:noProof/>
        </w:rPr>
      </w:pPr>
      <w:r w:rsidRPr="003D4B4E">
        <w:fldChar w:fldCharType="begin"/>
      </w:r>
      <w:r w:rsidRPr="003D4B4E">
        <w:instrText xml:space="preserve"> TOC \h \z \c "Table" </w:instrText>
      </w:r>
      <w:r w:rsidRPr="003D4B4E">
        <w:fldChar w:fldCharType="separate"/>
      </w:r>
      <w:hyperlink w:anchor="_Toc11255084" w:history="1">
        <w:r w:rsidR="00EF15E8" w:rsidRPr="003D4B4E">
          <w:rPr>
            <w:noProof/>
          </w:rPr>
          <w:t>Table 3.1 General Government Tax Revenues in Mauritius, 2017</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_Toc11255084 \h </w:instrText>
        </w:r>
        <w:r w:rsidR="00EF15E8" w:rsidRPr="003D4B4E">
          <w:rPr>
            <w:noProof/>
            <w:webHidden/>
          </w:rPr>
        </w:r>
        <w:r w:rsidR="00EF15E8" w:rsidRPr="003D4B4E">
          <w:rPr>
            <w:noProof/>
            <w:webHidden/>
          </w:rPr>
          <w:fldChar w:fldCharType="separate"/>
        </w:r>
        <w:r w:rsidR="00200930">
          <w:rPr>
            <w:noProof/>
            <w:webHidden/>
          </w:rPr>
          <w:t>19</w:t>
        </w:r>
        <w:r w:rsidR="00EF15E8" w:rsidRPr="003D4B4E">
          <w:rPr>
            <w:noProof/>
            <w:webHidden/>
          </w:rPr>
          <w:fldChar w:fldCharType="end"/>
        </w:r>
      </w:hyperlink>
    </w:p>
    <w:p w14:paraId="0ABAC651" w14:textId="24F3A049" w:rsidR="00EF15E8" w:rsidRPr="003D4B4E" w:rsidRDefault="00B0774B">
      <w:pPr>
        <w:pStyle w:val="TableofFigures"/>
        <w:tabs>
          <w:tab w:val="right" w:leader="dot" w:pos="9350"/>
        </w:tabs>
        <w:rPr>
          <w:noProof/>
        </w:rPr>
      </w:pPr>
      <w:hyperlink w:anchor="_Toc11255085" w:history="1">
        <w:r w:rsidR="00EF15E8" w:rsidRPr="003D4B4E">
          <w:rPr>
            <w:noProof/>
          </w:rPr>
          <w:t>Table 3.2 General Government Spending in Mauritius, 2017</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_Toc11255085 \h </w:instrText>
        </w:r>
        <w:r w:rsidR="00EF15E8" w:rsidRPr="003D4B4E">
          <w:rPr>
            <w:noProof/>
            <w:webHidden/>
          </w:rPr>
        </w:r>
        <w:r w:rsidR="00EF15E8" w:rsidRPr="003D4B4E">
          <w:rPr>
            <w:noProof/>
            <w:webHidden/>
          </w:rPr>
          <w:fldChar w:fldCharType="separate"/>
        </w:r>
        <w:r w:rsidR="00200930">
          <w:rPr>
            <w:noProof/>
            <w:webHidden/>
          </w:rPr>
          <w:t>21</w:t>
        </w:r>
        <w:r w:rsidR="00EF15E8" w:rsidRPr="003D4B4E">
          <w:rPr>
            <w:noProof/>
            <w:webHidden/>
          </w:rPr>
          <w:fldChar w:fldCharType="end"/>
        </w:r>
      </w:hyperlink>
    </w:p>
    <w:p w14:paraId="3A56C7F9" w14:textId="11EBAF87" w:rsidR="00EF15E8" w:rsidRPr="003D4B4E" w:rsidRDefault="00B0774B">
      <w:pPr>
        <w:pStyle w:val="TableofFigures"/>
        <w:tabs>
          <w:tab w:val="right" w:leader="dot" w:pos="9350"/>
        </w:tabs>
        <w:rPr>
          <w:noProof/>
        </w:rPr>
      </w:pPr>
      <w:hyperlink w:anchor="_Toc11255086" w:history="1">
        <w:r w:rsidR="00EF15E8" w:rsidRPr="003D4B4E">
          <w:rPr>
            <w:noProof/>
          </w:rPr>
          <w:t>Table 3.3 Personal Income Taxation Rate, Solidarity Levy Rate and Exemption Thresholds, 2016/17 and 2017/18</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_Toc11255086 \h </w:instrText>
        </w:r>
        <w:r w:rsidR="00EF15E8" w:rsidRPr="003D4B4E">
          <w:rPr>
            <w:noProof/>
            <w:webHidden/>
          </w:rPr>
        </w:r>
        <w:r w:rsidR="00EF15E8" w:rsidRPr="003D4B4E">
          <w:rPr>
            <w:noProof/>
            <w:webHidden/>
          </w:rPr>
          <w:fldChar w:fldCharType="separate"/>
        </w:r>
        <w:r w:rsidR="00200930">
          <w:rPr>
            <w:noProof/>
            <w:webHidden/>
          </w:rPr>
          <w:t>23</w:t>
        </w:r>
        <w:r w:rsidR="00EF15E8" w:rsidRPr="003D4B4E">
          <w:rPr>
            <w:noProof/>
            <w:webHidden/>
          </w:rPr>
          <w:fldChar w:fldCharType="end"/>
        </w:r>
      </w:hyperlink>
    </w:p>
    <w:p w14:paraId="2E427E4A" w14:textId="056CE85C" w:rsidR="00EF15E8" w:rsidRPr="003D4B4E" w:rsidRDefault="00B0774B">
      <w:pPr>
        <w:pStyle w:val="TableofFigures"/>
        <w:tabs>
          <w:tab w:val="right" w:leader="dot" w:pos="9350"/>
        </w:tabs>
        <w:rPr>
          <w:noProof/>
        </w:rPr>
      </w:pPr>
      <w:hyperlink w:anchor="_Toc11255087" w:history="1">
        <w:r w:rsidR="00EF15E8" w:rsidRPr="003D4B4E">
          <w:rPr>
            <w:noProof/>
          </w:rPr>
          <w:t>Table 3.4: Revenues from excise tax by item, 2016/17 and 2017/18</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_Toc11255087 \h </w:instrText>
        </w:r>
        <w:r w:rsidR="00EF15E8" w:rsidRPr="003D4B4E">
          <w:rPr>
            <w:noProof/>
            <w:webHidden/>
          </w:rPr>
        </w:r>
        <w:r w:rsidR="00EF15E8" w:rsidRPr="003D4B4E">
          <w:rPr>
            <w:noProof/>
            <w:webHidden/>
          </w:rPr>
          <w:fldChar w:fldCharType="separate"/>
        </w:r>
        <w:r w:rsidR="00200930">
          <w:rPr>
            <w:noProof/>
            <w:webHidden/>
          </w:rPr>
          <w:t>28</w:t>
        </w:r>
        <w:r w:rsidR="00EF15E8" w:rsidRPr="003D4B4E">
          <w:rPr>
            <w:noProof/>
            <w:webHidden/>
          </w:rPr>
          <w:fldChar w:fldCharType="end"/>
        </w:r>
      </w:hyperlink>
    </w:p>
    <w:p w14:paraId="47F3A6C3" w14:textId="06922DA0" w:rsidR="00EF15E8" w:rsidRPr="003D4B4E" w:rsidRDefault="00B0774B">
      <w:pPr>
        <w:pStyle w:val="TableofFigures"/>
        <w:tabs>
          <w:tab w:val="right" w:leader="dot" w:pos="9350"/>
        </w:tabs>
        <w:rPr>
          <w:noProof/>
        </w:rPr>
      </w:pPr>
      <w:hyperlink w:anchor="_Toc11255088" w:history="1">
        <w:r w:rsidR="00EF15E8" w:rsidRPr="003D4B4E">
          <w:rPr>
            <w:noProof/>
          </w:rPr>
          <w:t>Table 3.5: Expenditures on subsidies by item, 2017/18</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_Toc11255088 \h </w:instrText>
        </w:r>
        <w:r w:rsidR="00EF15E8" w:rsidRPr="003D4B4E">
          <w:rPr>
            <w:noProof/>
            <w:webHidden/>
          </w:rPr>
        </w:r>
        <w:r w:rsidR="00EF15E8" w:rsidRPr="003D4B4E">
          <w:rPr>
            <w:noProof/>
            <w:webHidden/>
          </w:rPr>
          <w:fldChar w:fldCharType="separate"/>
        </w:r>
        <w:r w:rsidR="00200930">
          <w:rPr>
            <w:noProof/>
            <w:webHidden/>
          </w:rPr>
          <w:t>30</w:t>
        </w:r>
        <w:r w:rsidR="00EF15E8" w:rsidRPr="003D4B4E">
          <w:rPr>
            <w:noProof/>
            <w:webHidden/>
          </w:rPr>
          <w:fldChar w:fldCharType="end"/>
        </w:r>
      </w:hyperlink>
    </w:p>
    <w:p w14:paraId="6951646C" w14:textId="3304AB84" w:rsidR="00EF15E8" w:rsidRPr="003D4B4E" w:rsidRDefault="00B0774B">
      <w:pPr>
        <w:pStyle w:val="TableofFigures"/>
        <w:tabs>
          <w:tab w:val="right" w:leader="dot" w:pos="9350"/>
        </w:tabs>
        <w:rPr>
          <w:noProof/>
        </w:rPr>
      </w:pPr>
      <w:hyperlink w:anchor="_Toc11255089" w:history="1">
        <w:r w:rsidR="00EF15E8" w:rsidRPr="003D4B4E">
          <w:rPr>
            <w:noProof/>
          </w:rPr>
          <w:t>Table 4.1 Inequality and poverty measures, by income aggregate</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_Toc11255089 \h </w:instrText>
        </w:r>
        <w:r w:rsidR="00EF15E8" w:rsidRPr="003D4B4E">
          <w:rPr>
            <w:noProof/>
            <w:webHidden/>
          </w:rPr>
        </w:r>
        <w:r w:rsidR="00EF15E8" w:rsidRPr="003D4B4E">
          <w:rPr>
            <w:noProof/>
            <w:webHidden/>
          </w:rPr>
          <w:fldChar w:fldCharType="separate"/>
        </w:r>
        <w:r w:rsidR="00200930">
          <w:rPr>
            <w:noProof/>
            <w:webHidden/>
          </w:rPr>
          <w:t>42</w:t>
        </w:r>
        <w:r w:rsidR="00EF15E8" w:rsidRPr="003D4B4E">
          <w:rPr>
            <w:noProof/>
            <w:webHidden/>
          </w:rPr>
          <w:fldChar w:fldCharType="end"/>
        </w:r>
      </w:hyperlink>
    </w:p>
    <w:p w14:paraId="72867E6A" w14:textId="71A172E0" w:rsidR="00EF15E8" w:rsidRPr="003D4B4E" w:rsidRDefault="00B0774B">
      <w:pPr>
        <w:pStyle w:val="TableofFigures"/>
        <w:tabs>
          <w:tab w:val="right" w:leader="dot" w:pos="9350"/>
        </w:tabs>
        <w:rPr>
          <w:noProof/>
        </w:rPr>
      </w:pPr>
      <w:hyperlink w:anchor="_Toc11255090" w:history="1">
        <w:r w:rsidR="00EF15E8" w:rsidRPr="003D4B4E">
          <w:rPr>
            <w:noProof/>
          </w:rPr>
          <w:t>Table 5.1 Negative Income Tax Allowance and monthly salary thresholds.</w:t>
        </w:r>
        <w:r w:rsidR="00EF15E8" w:rsidRPr="003D4B4E">
          <w:rPr>
            <w:noProof/>
            <w:webHidden/>
          </w:rPr>
          <w:tab/>
        </w:r>
        <w:r w:rsidR="00EF15E8" w:rsidRPr="003D4B4E">
          <w:rPr>
            <w:noProof/>
            <w:webHidden/>
          </w:rPr>
          <w:fldChar w:fldCharType="begin"/>
        </w:r>
        <w:r w:rsidR="00EF15E8" w:rsidRPr="003D4B4E">
          <w:rPr>
            <w:noProof/>
            <w:webHidden/>
          </w:rPr>
          <w:instrText xml:space="preserve"> PAGEREF _Toc11255090 \h </w:instrText>
        </w:r>
        <w:r w:rsidR="00EF15E8" w:rsidRPr="003D4B4E">
          <w:rPr>
            <w:noProof/>
            <w:webHidden/>
          </w:rPr>
        </w:r>
        <w:r w:rsidR="00EF15E8" w:rsidRPr="003D4B4E">
          <w:rPr>
            <w:noProof/>
            <w:webHidden/>
          </w:rPr>
          <w:fldChar w:fldCharType="separate"/>
        </w:r>
        <w:r w:rsidR="00200930">
          <w:rPr>
            <w:noProof/>
            <w:webHidden/>
          </w:rPr>
          <w:t>47</w:t>
        </w:r>
        <w:r w:rsidR="00EF15E8" w:rsidRPr="003D4B4E">
          <w:rPr>
            <w:noProof/>
            <w:webHidden/>
          </w:rPr>
          <w:fldChar w:fldCharType="end"/>
        </w:r>
      </w:hyperlink>
    </w:p>
    <w:p w14:paraId="5600D1FF" w14:textId="5921A9B9" w:rsidR="00593427" w:rsidRPr="003D4B4E" w:rsidRDefault="00847D21">
      <w:pPr>
        <w:pStyle w:val="TableofFigures"/>
        <w:tabs>
          <w:tab w:val="right" w:leader="dot" w:pos="9350"/>
        </w:tabs>
        <w:rPr>
          <w:rFonts w:asciiTheme="majorHAnsi" w:hAnsiTheme="majorHAnsi" w:cstheme="majorHAnsi"/>
          <w:noProof/>
          <w:szCs w:val="22"/>
        </w:rPr>
      </w:pPr>
      <w:r w:rsidRPr="003D4B4E">
        <w:fldChar w:fldCharType="end"/>
      </w:r>
      <w:r w:rsidR="00593427" w:rsidRPr="003D4B4E">
        <w:rPr>
          <w:rFonts w:asciiTheme="majorHAnsi" w:hAnsiTheme="majorHAnsi" w:cstheme="majorHAnsi"/>
          <w:noProof/>
          <w:szCs w:val="22"/>
        </w:rPr>
        <w:fldChar w:fldCharType="begin"/>
      </w:r>
      <w:r w:rsidR="00593427" w:rsidRPr="003D4B4E">
        <w:rPr>
          <w:rFonts w:asciiTheme="majorHAnsi" w:hAnsiTheme="majorHAnsi" w:cstheme="majorHAnsi"/>
          <w:noProof/>
          <w:szCs w:val="22"/>
        </w:rPr>
        <w:instrText xml:space="preserve"> TOC \c "Table B" </w:instrText>
      </w:r>
      <w:r w:rsidR="00593427" w:rsidRPr="003D4B4E">
        <w:rPr>
          <w:rFonts w:asciiTheme="majorHAnsi" w:hAnsiTheme="majorHAnsi" w:cstheme="majorHAnsi"/>
          <w:noProof/>
          <w:szCs w:val="22"/>
        </w:rPr>
        <w:fldChar w:fldCharType="separate"/>
      </w:r>
      <w:r w:rsidR="00593427" w:rsidRPr="003D4B4E">
        <w:rPr>
          <w:rFonts w:asciiTheme="majorHAnsi" w:hAnsiTheme="majorHAnsi" w:cstheme="majorHAnsi"/>
          <w:noProof/>
          <w:szCs w:val="22"/>
        </w:rPr>
        <w:t>Table B 1.Macrovalidation: Model using National Accounts and the 2017 HBS</w:t>
      </w:r>
      <w:r w:rsidR="00593427" w:rsidRPr="003D4B4E">
        <w:rPr>
          <w:rFonts w:asciiTheme="majorHAnsi" w:hAnsiTheme="majorHAnsi" w:cstheme="majorHAnsi"/>
          <w:noProof/>
          <w:szCs w:val="22"/>
        </w:rPr>
        <w:tab/>
      </w:r>
      <w:r w:rsidR="00593427" w:rsidRPr="003D4B4E">
        <w:rPr>
          <w:rFonts w:asciiTheme="majorHAnsi" w:hAnsiTheme="majorHAnsi" w:cstheme="majorHAnsi"/>
          <w:noProof/>
          <w:szCs w:val="22"/>
        </w:rPr>
        <w:fldChar w:fldCharType="begin"/>
      </w:r>
      <w:r w:rsidR="00593427" w:rsidRPr="003D4B4E">
        <w:rPr>
          <w:rFonts w:asciiTheme="majorHAnsi" w:hAnsiTheme="majorHAnsi" w:cstheme="majorHAnsi"/>
          <w:noProof/>
          <w:szCs w:val="22"/>
        </w:rPr>
        <w:instrText xml:space="preserve"> PAGEREF _Toc11256503 \h </w:instrText>
      </w:r>
      <w:r w:rsidR="00593427" w:rsidRPr="003D4B4E">
        <w:rPr>
          <w:rFonts w:asciiTheme="majorHAnsi" w:hAnsiTheme="majorHAnsi" w:cstheme="majorHAnsi"/>
          <w:noProof/>
          <w:szCs w:val="22"/>
        </w:rPr>
      </w:r>
      <w:r w:rsidR="00593427" w:rsidRPr="003D4B4E">
        <w:rPr>
          <w:rFonts w:asciiTheme="majorHAnsi" w:hAnsiTheme="majorHAnsi" w:cstheme="majorHAnsi"/>
          <w:noProof/>
          <w:szCs w:val="22"/>
        </w:rPr>
        <w:fldChar w:fldCharType="separate"/>
      </w:r>
      <w:r w:rsidR="00200930">
        <w:rPr>
          <w:rFonts w:asciiTheme="majorHAnsi" w:hAnsiTheme="majorHAnsi" w:cstheme="majorHAnsi"/>
          <w:noProof/>
          <w:szCs w:val="22"/>
        </w:rPr>
        <w:t>56</w:t>
      </w:r>
      <w:r w:rsidR="00593427" w:rsidRPr="003D4B4E">
        <w:rPr>
          <w:rFonts w:asciiTheme="majorHAnsi" w:hAnsiTheme="majorHAnsi" w:cstheme="majorHAnsi"/>
          <w:noProof/>
          <w:szCs w:val="22"/>
        </w:rPr>
        <w:fldChar w:fldCharType="end"/>
      </w:r>
    </w:p>
    <w:p w14:paraId="78851513" w14:textId="6E93AAB4" w:rsidR="00593427" w:rsidRPr="003D4B4E" w:rsidRDefault="00593427">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t>Table B 2. Personal Income Tax Deductions</w:t>
      </w:r>
      <w:r w:rsidRPr="003D4B4E">
        <w:rPr>
          <w:rFonts w:asciiTheme="majorHAnsi" w:hAnsiTheme="majorHAnsi" w:cstheme="majorHAnsi"/>
          <w:noProof/>
          <w:szCs w:val="22"/>
        </w:rPr>
        <w:tab/>
      </w:r>
      <w:r w:rsidRPr="003D4B4E">
        <w:rPr>
          <w:rFonts w:asciiTheme="majorHAnsi" w:hAnsiTheme="majorHAnsi" w:cstheme="majorHAnsi"/>
          <w:noProof/>
          <w:szCs w:val="22"/>
        </w:rPr>
        <w:fldChar w:fldCharType="begin"/>
      </w:r>
      <w:r w:rsidRPr="003D4B4E">
        <w:rPr>
          <w:rFonts w:asciiTheme="majorHAnsi" w:hAnsiTheme="majorHAnsi" w:cstheme="majorHAnsi"/>
          <w:noProof/>
          <w:szCs w:val="22"/>
        </w:rPr>
        <w:instrText xml:space="preserve"> PAGEREF _Toc11256504 \h </w:instrText>
      </w:r>
      <w:r w:rsidRPr="003D4B4E">
        <w:rPr>
          <w:rFonts w:asciiTheme="majorHAnsi" w:hAnsiTheme="majorHAnsi" w:cstheme="majorHAnsi"/>
          <w:noProof/>
          <w:szCs w:val="22"/>
        </w:rPr>
      </w:r>
      <w:r w:rsidRPr="003D4B4E">
        <w:rPr>
          <w:rFonts w:asciiTheme="majorHAnsi" w:hAnsiTheme="majorHAnsi" w:cstheme="majorHAnsi"/>
          <w:noProof/>
          <w:szCs w:val="22"/>
        </w:rPr>
        <w:fldChar w:fldCharType="separate"/>
      </w:r>
      <w:r w:rsidR="00200930">
        <w:rPr>
          <w:rFonts w:asciiTheme="majorHAnsi" w:hAnsiTheme="majorHAnsi" w:cstheme="majorHAnsi"/>
          <w:noProof/>
          <w:szCs w:val="22"/>
        </w:rPr>
        <w:t>58</w:t>
      </w:r>
      <w:r w:rsidRPr="003D4B4E">
        <w:rPr>
          <w:rFonts w:asciiTheme="majorHAnsi" w:hAnsiTheme="majorHAnsi" w:cstheme="majorHAnsi"/>
          <w:noProof/>
          <w:szCs w:val="22"/>
        </w:rPr>
        <w:fldChar w:fldCharType="end"/>
      </w:r>
    </w:p>
    <w:p w14:paraId="24867A42" w14:textId="141747B6" w:rsidR="00593427" w:rsidRPr="003D4B4E" w:rsidRDefault="00593427">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t>Table B 3. Contributions rate to National Pension Fund, National Saving Fund, and Training Levy</w:t>
      </w:r>
      <w:r w:rsidRPr="003D4B4E">
        <w:rPr>
          <w:rFonts w:asciiTheme="majorHAnsi" w:hAnsiTheme="majorHAnsi" w:cstheme="majorHAnsi"/>
          <w:noProof/>
          <w:szCs w:val="22"/>
        </w:rPr>
        <w:tab/>
      </w:r>
      <w:r w:rsidRPr="003D4B4E">
        <w:rPr>
          <w:rFonts w:asciiTheme="majorHAnsi" w:hAnsiTheme="majorHAnsi" w:cstheme="majorHAnsi"/>
          <w:noProof/>
          <w:szCs w:val="22"/>
        </w:rPr>
        <w:fldChar w:fldCharType="begin"/>
      </w:r>
      <w:r w:rsidRPr="003D4B4E">
        <w:rPr>
          <w:rFonts w:asciiTheme="majorHAnsi" w:hAnsiTheme="majorHAnsi" w:cstheme="majorHAnsi"/>
          <w:noProof/>
          <w:szCs w:val="22"/>
        </w:rPr>
        <w:instrText xml:space="preserve"> PAGEREF _Toc11256505 \h </w:instrText>
      </w:r>
      <w:r w:rsidRPr="003D4B4E">
        <w:rPr>
          <w:rFonts w:asciiTheme="majorHAnsi" w:hAnsiTheme="majorHAnsi" w:cstheme="majorHAnsi"/>
          <w:noProof/>
          <w:szCs w:val="22"/>
        </w:rPr>
      </w:r>
      <w:r w:rsidRPr="003D4B4E">
        <w:rPr>
          <w:rFonts w:asciiTheme="majorHAnsi" w:hAnsiTheme="majorHAnsi" w:cstheme="majorHAnsi"/>
          <w:noProof/>
          <w:szCs w:val="22"/>
        </w:rPr>
        <w:fldChar w:fldCharType="separate"/>
      </w:r>
      <w:r w:rsidR="00200930">
        <w:rPr>
          <w:rFonts w:asciiTheme="majorHAnsi" w:hAnsiTheme="majorHAnsi" w:cstheme="majorHAnsi"/>
          <w:noProof/>
          <w:szCs w:val="22"/>
        </w:rPr>
        <w:t>59</w:t>
      </w:r>
      <w:r w:rsidRPr="003D4B4E">
        <w:rPr>
          <w:rFonts w:asciiTheme="majorHAnsi" w:hAnsiTheme="majorHAnsi" w:cstheme="majorHAnsi"/>
          <w:noProof/>
          <w:szCs w:val="22"/>
        </w:rPr>
        <w:fldChar w:fldCharType="end"/>
      </w:r>
    </w:p>
    <w:p w14:paraId="560CEF4C" w14:textId="560EAFDD" w:rsidR="00593427" w:rsidRPr="003D4B4E" w:rsidRDefault="00593427">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t>Table B 4. Insurable salary thresholds (</w:t>
      </w:r>
      <w:r w:rsidR="00C465B1">
        <w:rPr>
          <w:rFonts w:asciiTheme="majorHAnsi" w:hAnsiTheme="majorHAnsi" w:cstheme="majorHAnsi"/>
          <w:noProof/>
          <w:szCs w:val="22"/>
        </w:rPr>
        <w:t>MUR</w:t>
      </w:r>
      <w:r w:rsidRPr="003D4B4E">
        <w:rPr>
          <w:rFonts w:asciiTheme="majorHAnsi" w:hAnsiTheme="majorHAnsi" w:cstheme="majorHAnsi"/>
          <w:noProof/>
          <w:szCs w:val="22"/>
        </w:rPr>
        <w:t>)</w:t>
      </w:r>
      <w:r w:rsidRPr="003D4B4E">
        <w:rPr>
          <w:rFonts w:asciiTheme="majorHAnsi" w:hAnsiTheme="majorHAnsi" w:cstheme="majorHAnsi"/>
          <w:noProof/>
          <w:szCs w:val="22"/>
        </w:rPr>
        <w:tab/>
      </w:r>
      <w:r w:rsidRPr="003D4B4E">
        <w:rPr>
          <w:rFonts w:asciiTheme="majorHAnsi" w:hAnsiTheme="majorHAnsi" w:cstheme="majorHAnsi"/>
          <w:noProof/>
          <w:szCs w:val="22"/>
        </w:rPr>
        <w:fldChar w:fldCharType="begin"/>
      </w:r>
      <w:r w:rsidRPr="003D4B4E">
        <w:rPr>
          <w:rFonts w:asciiTheme="majorHAnsi" w:hAnsiTheme="majorHAnsi" w:cstheme="majorHAnsi"/>
          <w:noProof/>
          <w:szCs w:val="22"/>
        </w:rPr>
        <w:instrText xml:space="preserve"> PAGEREF _Toc11256506 \h </w:instrText>
      </w:r>
      <w:r w:rsidRPr="003D4B4E">
        <w:rPr>
          <w:rFonts w:asciiTheme="majorHAnsi" w:hAnsiTheme="majorHAnsi" w:cstheme="majorHAnsi"/>
          <w:noProof/>
          <w:szCs w:val="22"/>
        </w:rPr>
      </w:r>
      <w:r w:rsidRPr="003D4B4E">
        <w:rPr>
          <w:rFonts w:asciiTheme="majorHAnsi" w:hAnsiTheme="majorHAnsi" w:cstheme="majorHAnsi"/>
          <w:noProof/>
          <w:szCs w:val="22"/>
        </w:rPr>
        <w:fldChar w:fldCharType="separate"/>
      </w:r>
      <w:r w:rsidR="00200930">
        <w:rPr>
          <w:rFonts w:asciiTheme="majorHAnsi" w:hAnsiTheme="majorHAnsi" w:cstheme="majorHAnsi"/>
          <w:noProof/>
          <w:szCs w:val="22"/>
        </w:rPr>
        <w:t>59</w:t>
      </w:r>
      <w:r w:rsidRPr="003D4B4E">
        <w:rPr>
          <w:rFonts w:asciiTheme="majorHAnsi" w:hAnsiTheme="majorHAnsi" w:cstheme="majorHAnsi"/>
          <w:noProof/>
          <w:szCs w:val="22"/>
        </w:rPr>
        <w:fldChar w:fldCharType="end"/>
      </w:r>
    </w:p>
    <w:p w14:paraId="49450EBA" w14:textId="49F29DE8" w:rsidR="00593427" w:rsidRPr="003D4B4E" w:rsidRDefault="00593427">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t>Table B 5. National Pension Fund contributions payable in respect of employees having attained retirement age</w:t>
      </w:r>
      <w:r w:rsidRPr="003D4B4E">
        <w:rPr>
          <w:rFonts w:asciiTheme="majorHAnsi" w:hAnsiTheme="majorHAnsi" w:cstheme="majorHAnsi"/>
          <w:noProof/>
          <w:szCs w:val="22"/>
        </w:rPr>
        <w:tab/>
      </w:r>
      <w:r w:rsidRPr="003D4B4E">
        <w:rPr>
          <w:rFonts w:asciiTheme="majorHAnsi" w:hAnsiTheme="majorHAnsi" w:cstheme="majorHAnsi"/>
          <w:noProof/>
          <w:szCs w:val="22"/>
        </w:rPr>
        <w:fldChar w:fldCharType="begin"/>
      </w:r>
      <w:r w:rsidRPr="003D4B4E">
        <w:rPr>
          <w:rFonts w:asciiTheme="majorHAnsi" w:hAnsiTheme="majorHAnsi" w:cstheme="majorHAnsi"/>
          <w:noProof/>
          <w:szCs w:val="22"/>
        </w:rPr>
        <w:instrText xml:space="preserve"> PAGEREF _Toc11256507 \h </w:instrText>
      </w:r>
      <w:r w:rsidRPr="003D4B4E">
        <w:rPr>
          <w:rFonts w:asciiTheme="majorHAnsi" w:hAnsiTheme="majorHAnsi" w:cstheme="majorHAnsi"/>
          <w:noProof/>
          <w:szCs w:val="22"/>
        </w:rPr>
      </w:r>
      <w:r w:rsidRPr="003D4B4E">
        <w:rPr>
          <w:rFonts w:asciiTheme="majorHAnsi" w:hAnsiTheme="majorHAnsi" w:cstheme="majorHAnsi"/>
          <w:noProof/>
          <w:szCs w:val="22"/>
        </w:rPr>
        <w:fldChar w:fldCharType="separate"/>
      </w:r>
      <w:r w:rsidR="00200930">
        <w:rPr>
          <w:rFonts w:asciiTheme="majorHAnsi" w:hAnsiTheme="majorHAnsi" w:cstheme="majorHAnsi"/>
          <w:noProof/>
          <w:szCs w:val="22"/>
        </w:rPr>
        <w:t>60</w:t>
      </w:r>
      <w:r w:rsidRPr="003D4B4E">
        <w:rPr>
          <w:rFonts w:asciiTheme="majorHAnsi" w:hAnsiTheme="majorHAnsi" w:cstheme="majorHAnsi"/>
          <w:noProof/>
          <w:szCs w:val="22"/>
        </w:rPr>
        <w:fldChar w:fldCharType="end"/>
      </w:r>
    </w:p>
    <w:p w14:paraId="7952C06C" w14:textId="5BBF92E0" w:rsidR="00593427" w:rsidRPr="003D4B4E" w:rsidRDefault="00593427">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t>Table B 6. Absolute poverty thresholds - Marshall Plan Social Contract</w:t>
      </w:r>
      <w:r w:rsidRPr="003D4B4E">
        <w:rPr>
          <w:rFonts w:asciiTheme="majorHAnsi" w:hAnsiTheme="majorHAnsi" w:cstheme="majorHAnsi"/>
          <w:noProof/>
          <w:szCs w:val="22"/>
        </w:rPr>
        <w:tab/>
      </w:r>
      <w:r w:rsidRPr="003D4B4E">
        <w:rPr>
          <w:rFonts w:asciiTheme="majorHAnsi" w:hAnsiTheme="majorHAnsi" w:cstheme="majorHAnsi"/>
          <w:noProof/>
          <w:szCs w:val="22"/>
        </w:rPr>
        <w:fldChar w:fldCharType="begin"/>
      </w:r>
      <w:r w:rsidRPr="003D4B4E">
        <w:rPr>
          <w:rFonts w:asciiTheme="majorHAnsi" w:hAnsiTheme="majorHAnsi" w:cstheme="majorHAnsi"/>
          <w:noProof/>
          <w:szCs w:val="22"/>
        </w:rPr>
        <w:instrText xml:space="preserve"> PAGEREF _Toc11256508 \h </w:instrText>
      </w:r>
      <w:r w:rsidRPr="003D4B4E">
        <w:rPr>
          <w:rFonts w:asciiTheme="majorHAnsi" w:hAnsiTheme="majorHAnsi" w:cstheme="majorHAnsi"/>
          <w:noProof/>
          <w:szCs w:val="22"/>
        </w:rPr>
      </w:r>
      <w:r w:rsidRPr="003D4B4E">
        <w:rPr>
          <w:rFonts w:asciiTheme="majorHAnsi" w:hAnsiTheme="majorHAnsi" w:cstheme="majorHAnsi"/>
          <w:noProof/>
          <w:szCs w:val="22"/>
        </w:rPr>
        <w:fldChar w:fldCharType="separate"/>
      </w:r>
      <w:r w:rsidR="00200930">
        <w:rPr>
          <w:rFonts w:asciiTheme="majorHAnsi" w:hAnsiTheme="majorHAnsi" w:cstheme="majorHAnsi"/>
          <w:noProof/>
          <w:szCs w:val="22"/>
        </w:rPr>
        <w:t>60</w:t>
      </w:r>
      <w:r w:rsidRPr="003D4B4E">
        <w:rPr>
          <w:rFonts w:asciiTheme="majorHAnsi" w:hAnsiTheme="majorHAnsi" w:cstheme="majorHAnsi"/>
          <w:noProof/>
          <w:szCs w:val="22"/>
        </w:rPr>
        <w:fldChar w:fldCharType="end"/>
      </w:r>
    </w:p>
    <w:p w14:paraId="5EFE7EDD" w14:textId="17126C90" w:rsidR="00D13C6F" w:rsidRPr="003D4B4E" w:rsidRDefault="00593427" w:rsidP="00156C35">
      <w:pPr>
        <w:pStyle w:val="TableofFigures"/>
        <w:tabs>
          <w:tab w:val="right" w:leader="dot" w:pos="9350"/>
        </w:tabs>
        <w:rPr>
          <w:rFonts w:asciiTheme="majorHAnsi" w:hAnsiTheme="majorHAnsi" w:cstheme="majorHAnsi"/>
          <w:noProof/>
          <w:szCs w:val="22"/>
        </w:rPr>
      </w:pPr>
      <w:r w:rsidRPr="003D4B4E">
        <w:rPr>
          <w:rFonts w:asciiTheme="majorHAnsi" w:hAnsiTheme="majorHAnsi" w:cstheme="majorHAnsi"/>
          <w:noProof/>
          <w:szCs w:val="22"/>
        </w:rPr>
        <w:fldChar w:fldCharType="end"/>
      </w:r>
      <w:r w:rsidR="00704B01" w:rsidRPr="003D4B4E">
        <w:fldChar w:fldCharType="begin"/>
      </w:r>
      <w:r w:rsidR="00704B01" w:rsidRPr="003D4B4E">
        <w:instrText xml:space="preserve"> TOC \h \z \c "Box" </w:instrText>
      </w:r>
      <w:r w:rsidR="00704B01" w:rsidRPr="003D4B4E">
        <w:fldChar w:fldCharType="separate"/>
      </w:r>
      <w:hyperlink w:anchor="_Toc10824852" w:history="1">
        <w:r w:rsidR="00D13C6F" w:rsidRPr="003D4B4E">
          <w:rPr>
            <w:noProof/>
          </w:rPr>
          <w:t>Box 1. Measuring progressivity, redistributive and poverty reduction effect</w:t>
        </w:r>
        <w:r w:rsidR="00D13C6F" w:rsidRPr="003D4B4E">
          <w:rPr>
            <w:noProof/>
            <w:webHidden/>
          </w:rPr>
          <w:tab/>
        </w:r>
        <w:r w:rsidR="00D13C6F" w:rsidRPr="003D4B4E">
          <w:rPr>
            <w:noProof/>
            <w:webHidden/>
          </w:rPr>
          <w:fldChar w:fldCharType="begin"/>
        </w:r>
        <w:r w:rsidR="00D13C6F" w:rsidRPr="003D4B4E">
          <w:rPr>
            <w:noProof/>
            <w:webHidden/>
          </w:rPr>
          <w:instrText xml:space="preserve"> PAGEREF _Toc10824852 \h </w:instrText>
        </w:r>
        <w:r w:rsidR="00D13C6F" w:rsidRPr="003D4B4E">
          <w:rPr>
            <w:noProof/>
            <w:webHidden/>
          </w:rPr>
        </w:r>
        <w:r w:rsidR="00D13C6F" w:rsidRPr="003D4B4E">
          <w:rPr>
            <w:noProof/>
            <w:webHidden/>
          </w:rPr>
          <w:fldChar w:fldCharType="separate"/>
        </w:r>
        <w:r w:rsidR="00200930">
          <w:rPr>
            <w:noProof/>
            <w:webHidden/>
          </w:rPr>
          <w:t>17</w:t>
        </w:r>
        <w:r w:rsidR="00D13C6F" w:rsidRPr="003D4B4E">
          <w:rPr>
            <w:noProof/>
            <w:webHidden/>
          </w:rPr>
          <w:fldChar w:fldCharType="end"/>
        </w:r>
      </w:hyperlink>
    </w:p>
    <w:p w14:paraId="080351B2" w14:textId="779139ED" w:rsidR="00C86987" w:rsidRPr="003D4B4E" w:rsidRDefault="00B0774B" w:rsidP="00C86987">
      <w:pPr>
        <w:pStyle w:val="TableofFigures"/>
        <w:tabs>
          <w:tab w:val="right" w:leader="dot" w:pos="9350"/>
        </w:tabs>
        <w:rPr>
          <w:noProof/>
        </w:rPr>
      </w:pPr>
      <w:hyperlink w:anchor="_Toc10824853" w:history="1">
        <w:r w:rsidR="00D13C6F" w:rsidRPr="003D4B4E">
          <w:rPr>
            <w:noProof/>
          </w:rPr>
          <w:t>Box 2. Cash transfer programs</w:t>
        </w:r>
        <w:r w:rsidR="00D13C6F" w:rsidRPr="003D4B4E">
          <w:rPr>
            <w:noProof/>
            <w:webHidden/>
          </w:rPr>
          <w:tab/>
        </w:r>
        <w:r w:rsidR="00D13C6F" w:rsidRPr="003D4B4E">
          <w:rPr>
            <w:noProof/>
            <w:webHidden/>
          </w:rPr>
          <w:fldChar w:fldCharType="begin"/>
        </w:r>
        <w:r w:rsidR="00D13C6F" w:rsidRPr="003D4B4E">
          <w:rPr>
            <w:noProof/>
            <w:webHidden/>
          </w:rPr>
          <w:instrText xml:space="preserve"> PAGEREF _Toc10824853 \h </w:instrText>
        </w:r>
        <w:r w:rsidR="00D13C6F" w:rsidRPr="003D4B4E">
          <w:rPr>
            <w:noProof/>
            <w:webHidden/>
          </w:rPr>
        </w:r>
        <w:r w:rsidR="00D13C6F" w:rsidRPr="003D4B4E">
          <w:rPr>
            <w:noProof/>
            <w:webHidden/>
          </w:rPr>
          <w:fldChar w:fldCharType="separate"/>
        </w:r>
        <w:r w:rsidR="00200930">
          <w:rPr>
            <w:noProof/>
            <w:webHidden/>
          </w:rPr>
          <w:t>25</w:t>
        </w:r>
        <w:r w:rsidR="00D13C6F" w:rsidRPr="003D4B4E">
          <w:rPr>
            <w:noProof/>
            <w:webHidden/>
          </w:rPr>
          <w:fldChar w:fldCharType="end"/>
        </w:r>
      </w:hyperlink>
    </w:p>
    <w:p w14:paraId="29B9412A" w14:textId="048A74F1" w:rsidR="00547526" w:rsidRPr="003D4B4E" w:rsidRDefault="00704B01" w:rsidP="003D4B4E">
      <w:pPr>
        <w:pStyle w:val="TableofFigures"/>
        <w:tabs>
          <w:tab w:val="right" w:leader="dot" w:pos="9350"/>
        </w:tabs>
      </w:pPr>
      <w:r w:rsidRPr="003D4B4E">
        <w:fldChar w:fldCharType="end"/>
      </w:r>
      <w:r w:rsidR="00547526">
        <w:br w:type="page"/>
      </w:r>
    </w:p>
    <w:p w14:paraId="35617624" w14:textId="77777777" w:rsidR="00857545" w:rsidRDefault="00847D21" w:rsidP="00FA6451">
      <w:pPr>
        <w:pStyle w:val="Heading1"/>
      </w:pPr>
      <w:r>
        <w:br w:type="page"/>
      </w:r>
      <w:bookmarkStart w:id="12" w:name="_Toc8812793"/>
    </w:p>
    <w:p w14:paraId="4141BD27" w14:textId="77777777" w:rsidR="00857545" w:rsidRPr="006D2550" w:rsidRDefault="00857545" w:rsidP="00857545">
      <w:pPr>
        <w:pStyle w:val="Heading1"/>
        <w:rPr>
          <w:rFonts w:ascii="Times New Roman" w:hAnsi="Times New Roman" w:cs="Times New Roman"/>
          <w:b/>
        </w:rPr>
      </w:pPr>
      <w:bookmarkStart w:id="13" w:name="_Toc4141888"/>
      <w:bookmarkStart w:id="14" w:name="_Toc10824865"/>
      <w:bookmarkStart w:id="15" w:name="_Toc10824937"/>
      <w:r w:rsidRPr="006D2550">
        <w:rPr>
          <w:rFonts w:ascii="Times New Roman" w:hAnsi="Times New Roman" w:cs="Times New Roman"/>
          <w:b/>
        </w:rPr>
        <w:t>Acknowledgments</w:t>
      </w:r>
      <w:bookmarkEnd w:id="13"/>
      <w:bookmarkEnd w:id="14"/>
      <w:bookmarkEnd w:id="15"/>
    </w:p>
    <w:p w14:paraId="01E34E0F" w14:textId="3ED616FE" w:rsidR="00857545" w:rsidRPr="00F4219B" w:rsidRDefault="00857545" w:rsidP="00857545">
      <w:pPr>
        <w:rPr>
          <w:rFonts w:cs="Times New Roman"/>
        </w:rPr>
      </w:pPr>
      <w:r w:rsidRPr="00BD00CF">
        <w:rPr>
          <w:rFonts w:cs="Times New Roman"/>
        </w:rPr>
        <w:t xml:space="preserve">This report </w:t>
      </w:r>
      <w:r>
        <w:rPr>
          <w:rFonts w:cs="Times New Roman"/>
        </w:rPr>
        <w:t xml:space="preserve">has been </w:t>
      </w:r>
      <w:r w:rsidRPr="00BD00CF">
        <w:rPr>
          <w:rFonts w:cs="Times New Roman"/>
        </w:rPr>
        <w:t>prepared by M</w:t>
      </w:r>
      <w:r>
        <w:rPr>
          <w:rFonts w:cs="Times New Roman"/>
        </w:rPr>
        <w:t xml:space="preserve">arco Ranzani (TTL, Economist, GPV01) </w:t>
      </w:r>
      <w:r w:rsidR="0054590A">
        <w:rPr>
          <w:rFonts w:cs="Times New Roman"/>
        </w:rPr>
        <w:t xml:space="preserve">with </w:t>
      </w:r>
      <w:r w:rsidR="00F20968">
        <w:rPr>
          <w:rFonts w:cs="Times New Roman"/>
        </w:rPr>
        <w:t xml:space="preserve">the </w:t>
      </w:r>
      <w:r w:rsidR="0054590A">
        <w:rPr>
          <w:rFonts w:cs="Times New Roman"/>
        </w:rPr>
        <w:t xml:space="preserve">excellent </w:t>
      </w:r>
      <w:r w:rsidR="002C5418">
        <w:rPr>
          <w:rFonts w:cs="Times New Roman"/>
        </w:rPr>
        <w:t>research support of</w:t>
      </w:r>
      <w:r w:rsidRPr="00BD00CF">
        <w:rPr>
          <w:rFonts w:cs="Times New Roman"/>
        </w:rPr>
        <w:t xml:space="preserve"> </w:t>
      </w:r>
      <w:r w:rsidR="00522908">
        <w:rPr>
          <w:rFonts w:cs="Times New Roman"/>
        </w:rPr>
        <w:t>Jia Gao</w:t>
      </w:r>
      <w:r w:rsidRPr="00BD00CF">
        <w:rPr>
          <w:rFonts w:cs="Times New Roman"/>
        </w:rPr>
        <w:t xml:space="preserve"> (Consultant</w:t>
      </w:r>
      <w:r>
        <w:rPr>
          <w:rFonts w:cs="Times New Roman"/>
        </w:rPr>
        <w:t>, GPV01</w:t>
      </w:r>
      <w:r w:rsidRPr="00BD00CF">
        <w:rPr>
          <w:rFonts w:cs="Times New Roman"/>
        </w:rPr>
        <w:t>)</w:t>
      </w:r>
      <w:r w:rsidR="009E3F2B">
        <w:rPr>
          <w:rFonts w:cs="Times New Roman"/>
        </w:rPr>
        <w:t>,</w:t>
      </w:r>
      <w:r w:rsidR="00D87B6C">
        <w:rPr>
          <w:rFonts w:cs="Times New Roman"/>
        </w:rPr>
        <w:t xml:space="preserve"> Friedrich Bergmann</w:t>
      </w:r>
      <w:r w:rsidR="00D87B6C" w:rsidRPr="00BD00CF">
        <w:rPr>
          <w:rFonts w:cs="Times New Roman"/>
        </w:rPr>
        <w:t xml:space="preserve"> (Consultant</w:t>
      </w:r>
      <w:r w:rsidR="00D87B6C">
        <w:rPr>
          <w:rFonts w:cs="Times New Roman"/>
        </w:rPr>
        <w:t>, GPV01</w:t>
      </w:r>
      <w:r w:rsidR="00D87B6C" w:rsidRPr="00BD00CF">
        <w:rPr>
          <w:rFonts w:cs="Times New Roman"/>
        </w:rPr>
        <w:t>)</w:t>
      </w:r>
      <w:r w:rsidR="00F20968">
        <w:rPr>
          <w:rFonts w:cs="Times New Roman"/>
        </w:rPr>
        <w:t>,</w:t>
      </w:r>
      <w:r w:rsidR="009E3F2B">
        <w:rPr>
          <w:rFonts w:cs="Times New Roman"/>
        </w:rPr>
        <w:t xml:space="preserve"> and Alex Giron Gordillo</w:t>
      </w:r>
      <w:r w:rsidR="009E3F2B" w:rsidRPr="00BD00CF">
        <w:rPr>
          <w:rFonts w:cs="Times New Roman"/>
        </w:rPr>
        <w:t xml:space="preserve"> (Consultant</w:t>
      </w:r>
      <w:r w:rsidR="009E3F2B">
        <w:rPr>
          <w:rFonts w:cs="Times New Roman"/>
        </w:rPr>
        <w:t xml:space="preserve">, </w:t>
      </w:r>
      <w:r w:rsidR="00DC6BFE">
        <w:rPr>
          <w:rFonts w:cs="Times New Roman"/>
        </w:rPr>
        <w:t>GGOGT</w:t>
      </w:r>
      <w:r w:rsidR="009E3F2B">
        <w:rPr>
          <w:rFonts w:cs="Times New Roman"/>
        </w:rPr>
        <w:t>)</w:t>
      </w:r>
      <w:r>
        <w:rPr>
          <w:rFonts w:cs="Times New Roman"/>
        </w:rPr>
        <w:t>.</w:t>
      </w:r>
      <w:r w:rsidR="00F4219B">
        <w:rPr>
          <w:rFonts w:cs="Times New Roman"/>
        </w:rPr>
        <w:t xml:space="preserve"> </w:t>
      </w:r>
      <w:r w:rsidRPr="00BD00CF">
        <w:rPr>
          <w:rFonts w:cs="Times New Roman"/>
        </w:rPr>
        <w:t xml:space="preserve">The report </w:t>
      </w:r>
      <w:r>
        <w:rPr>
          <w:rFonts w:cs="Times New Roman"/>
        </w:rPr>
        <w:t xml:space="preserve">has </w:t>
      </w:r>
      <w:r w:rsidRPr="00BD00CF">
        <w:rPr>
          <w:rFonts w:cs="Times New Roman"/>
        </w:rPr>
        <w:t xml:space="preserve">benefited from </w:t>
      </w:r>
      <w:r w:rsidR="00522908">
        <w:rPr>
          <w:rFonts w:cs="Times New Roman"/>
        </w:rPr>
        <w:t xml:space="preserve">extensive </w:t>
      </w:r>
      <w:r w:rsidRPr="00BD00CF">
        <w:rPr>
          <w:rFonts w:cs="Times New Roman"/>
        </w:rPr>
        <w:t>discus</w:t>
      </w:r>
      <w:r w:rsidRPr="00F9749C">
        <w:rPr>
          <w:rFonts w:cs="Times New Roman"/>
        </w:rPr>
        <w:t xml:space="preserve">sions held in Mauritius with government officials and </w:t>
      </w:r>
      <w:r w:rsidR="001A6405">
        <w:rPr>
          <w:rFonts w:cs="Times New Roman"/>
        </w:rPr>
        <w:t>staff at the Mauritius Revenue Authority and Statistics Mauritius</w:t>
      </w:r>
      <w:r w:rsidRPr="00F9749C">
        <w:rPr>
          <w:rFonts w:cs="Times New Roman"/>
        </w:rPr>
        <w:t>. The team would like to thank</w:t>
      </w:r>
      <w:r w:rsidR="006571E8">
        <w:rPr>
          <w:rFonts w:cs="Times New Roman"/>
        </w:rPr>
        <w:t xml:space="preserve"> the </w:t>
      </w:r>
      <w:r w:rsidR="00401ABB">
        <w:rPr>
          <w:rFonts w:cs="Times New Roman"/>
        </w:rPr>
        <w:t xml:space="preserve">Ministry of Finance and Economic Development, the </w:t>
      </w:r>
      <w:r w:rsidR="006571E8">
        <w:rPr>
          <w:rFonts w:cs="Times New Roman"/>
        </w:rPr>
        <w:t xml:space="preserve">Ministry of Social Security, </w:t>
      </w:r>
      <w:r w:rsidR="00A21D27">
        <w:rPr>
          <w:rFonts w:cs="Times New Roman"/>
        </w:rPr>
        <w:t xml:space="preserve">National </w:t>
      </w:r>
      <w:r w:rsidR="009D46F8">
        <w:rPr>
          <w:rFonts w:cs="Times New Roman"/>
        </w:rPr>
        <w:t>Solidarity</w:t>
      </w:r>
      <w:r w:rsidR="00A21D27">
        <w:rPr>
          <w:rFonts w:cs="Times New Roman"/>
        </w:rPr>
        <w:t>,</w:t>
      </w:r>
      <w:r w:rsidR="001536BC">
        <w:rPr>
          <w:rFonts w:cs="Times New Roman"/>
        </w:rPr>
        <w:t xml:space="preserve"> </w:t>
      </w:r>
      <w:r w:rsidR="00084C71" w:rsidRPr="001536BC">
        <w:rPr>
          <w:rFonts w:cs="Times New Roman"/>
        </w:rPr>
        <w:t>and Environment and Sustainable Development</w:t>
      </w:r>
      <w:r w:rsidR="009D46F8">
        <w:rPr>
          <w:rFonts w:cs="Times New Roman"/>
        </w:rPr>
        <w:t xml:space="preserve">, </w:t>
      </w:r>
      <w:r w:rsidR="00401ABB">
        <w:rPr>
          <w:rFonts w:cs="Times New Roman"/>
        </w:rPr>
        <w:t>the Ministry o</w:t>
      </w:r>
      <w:r w:rsidR="009D46F8">
        <w:rPr>
          <w:rFonts w:cs="Times New Roman"/>
        </w:rPr>
        <w:t>f</w:t>
      </w:r>
      <w:r w:rsidR="00401ABB">
        <w:rPr>
          <w:rFonts w:cs="Times New Roman"/>
        </w:rPr>
        <w:t xml:space="preserve"> Social Integration</w:t>
      </w:r>
      <w:r w:rsidR="00084C71">
        <w:rPr>
          <w:rFonts w:cs="Times New Roman"/>
        </w:rPr>
        <w:t xml:space="preserve"> and Economic Empowerment</w:t>
      </w:r>
      <w:r w:rsidR="00401ABB">
        <w:rPr>
          <w:rFonts w:cs="Times New Roman"/>
        </w:rPr>
        <w:t xml:space="preserve">, </w:t>
      </w:r>
      <w:r w:rsidR="00DE01FB">
        <w:rPr>
          <w:rFonts w:cs="Times New Roman"/>
        </w:rPr>
        <w:t xml:space="preserve">the </w:t>
      </w:r>
      <w:r w:rsidR="001536BC">
        <w:rPr>
          <w:rFonts w:cs="Times New Roman"/>
        </w:rPr>
        <w:t>Mauritius</w:t>
      </w:r>
      <w:r w:rsidR="00DE01FB">
        <w:rPr>
          <w:rFonts w:cs="Times New Roman"/>
        </w:rPr>
        <w:t xml:space="preserve"> Social Registry Unit, </w:t>
      </w:r>
      <w:r w:rsidR="006571E8">
        <w:rPr>
          <w:rFonts w:cs="Times New Roman"/>
        </w:rPr>
        <w:t xml:space="preserve">the Ministry of </w:t>
      </w:r>
      <w:r w:rsidR="00401ABB">
        <w:rPr>
          <w:rFonts w:cs="Times New Roman"/>
        </w:rPr>
        <w:t>Education</w:t>
      </w:r>
      <w:r w:rsidR="006571E8">
        <w:rPr>
          <w:rFonts w:cs="Times New Roman"/>
        </w:rPr>
        <w:t>,</w:t>
      </w:r>
      <w:r w:rsidR="001536BC">
        <w:rPr>
          <w:rFonts w:cs="Times New Roman"/>
        </w:rPr>
        <w:t xml:space="preserve"> </w:t>
      </w:r>
      <w:r w:rsidR="001536BC" w:rsidRPr="001536BC">
        <w:rPr>
          <w:rFonts w:cs="Times New Roman"/>
        </w:rPr>
        <w:t>and Human Resources, Tertiary Education and Scientific Research</w:t>
      </w:r>
      <w:r w:rsidR="001D66DF">
        <w:rPr>
          <w:rFonts w:cs="Times New Roman"/>
        </w:rPr>
        <w:t>, and</w:t>
      </w:r>
      <w:r w:rsidR="006571E8">
        <w:rPr>
          <w:rFonts w:cs="Times New Roman"/>
        </w:rPr>
        <w:t xml:space="preserve"> the Ministry of </w:t>
      </w:r>
      <w:r w:rsidR="00401ABB">
        <w:rPr>
          <w:rFonts w:cs="Times New Roman"/>
        </w:rPr>
        <w:t>Health</w:t>
      </w:r>
      <w:r w:rsidR="001536BC">
        <w:rPr>
          <w:rFonts w:cs="Times New Roman"/>
        </w:rPr>
        <w:t xml:space="preserve"> and Quality of Life</w:t>
      </w:r>
      <w:r w:rsidR="00401ABB">
        <w:rPr>
          <w:rFonts w:cs="Times New Roman"/>
        </w:rPr>
        <w:t xml:space="preserve">. </w:t>
      </w:r>
      <w:r w:rsidR="00511F0D">
        <w:rPr>
          <w:rFonts w:cs="Times New Roman"/>
        </w:rPr>
        <w:t>The team would like to express its gratitude to</w:t>
      </w:r>
      <w:r w:rsidRPr="00F9749C">
        <w:rPr>
          <w:rFonts w:cs="Times New Roman"/>
        </w:rPr>
        <w:t xml:space="preserve"> </w:t>
      </w:r>
      <w:r w:rsidR="003F23EF">
        <w:rPr>
          <w:rFonts w:cs="Times New Roman"/>
        </w:rPr>
        <w:t xml:space="preserve">Statistics Mauritius </w:t>
      </w:r>
      <w:r w:rsidR="003F23EF" w:rsidRPr="00BD00CF">
        <w:rPr>
          <w:rFonts w:cs="Times New Roman"/>
        </w:rPr>
        <w:t xml:space="preserve">for </w:t>
      </w:r>
      <w:r w:rsidR="003F23EF">
        <w:rPr>
          <w:rFonts w:cs="Times New Roman"/>
        </w:rPr>
        <w:t xml:space="preserve">the </w:t>
      </w:r>
      <w:r w:rsidR="003F23EF" w:rsidRPr="00BD00CF">
        <w:rPr>
          <w:rFonts w:cs="Times New Roman"/>
        </w:rPr>
        <w:t>excellent support and collaboration</w:t>
      </w:r>
      <w:r w:rsidR="003F23EF">
        <w:rPr>
          <w:rFonts w:cs="Times New Roman"/>
        </w:rPr>
        <w:t xml:space="preserve"> and</w:t>
      </w:r>
      <w:r w:rsidR="00314C3B">
        <w:rPr>
          <w:rFonts w:cs="Times New Roman"/>
        </w:rPr>
        <w:t>,</w:t>
      </w:r>
      <w:r w:rsidR="003F23EF">
        <w:rPr>
          <w:rFonts w:cs="Times New Roman"/>
        </w:rPr>
        <w:t xml:space="preserve"> in particular</w:t>
      </w:r>
      <w:r w:rsidR="00314C3B">
        <w:rPr>
          <w:rFonts w:cs="Times New Roman"/>
        </w:rPr>
        <w:t>,</w:t>
      </w:r>
      <w:r w:rsidR="003F23EF">
        <w:rPr>
          <w:rFonts w:cs="Times New Roman"/>
        </w:rPr>
        <w:t xml:space="preserve"> to </w:t>
      </w:r>
      <w:r>
        <w:rPr>
          <w:rFonts w:cs="Times New Roman"/>
        </w:rPr>
        <w:t>M</w:t>
      </w:r>
      <w:r w:rsidRPr="00F9749C">
        <w:rPr>
          <w:rFonts w:cs="Times New Roman"/>
        </w:rPr>
        <w:t>s. Aim</w:t>
      </w:r>
      <w:r>
        <w:rPr>
          <w:rFonts w:cs="Times New Roman"/>
        </w:rPr>
        <w:t>é</w:t>
      </w:r>
      <w:r w:rsidRPr="00F9749C">
        <w:rPr>
          <w:rFonts w:cs="Times New Roman"/>
        </w:rPr>
        <w:t>e Li Fa Cheung Kai Suet (Director</w:t>
      </w:r>
      <w:r w:rsidR="00511F0D">
        <w:rPr>
          <w:rFonts w:cs="Times New Roman"/>
        </w:rPr>
        <w:t xml:space="preserve"> of Statistics</w:t>
      </w:r>
      <w:r w:rsidRPr="00F9749C">
        <w:rPr>
          <w:rFonts w:cs="Times New Roman"/>
        </w:rPr>
        <w:t xml:space="preserve">), </w:t>
      </w:r>
      <w:r>
        <w:rPr>
          <w:rFonts w:cs="Times New Roman"/>
        </w:rPr>
        <w:t>M</w:t>
      </w:r>
      <w:r w:rsidRPr="00F9749C">
        <w:rPr>
          <w:rFonts w:cs="Times New Roman"/>
        </w:rPr>
        <w:t>s. Yasmin Cassimally (Deputy D</w:t>
      </w:r>
      <w:r>
        <w:rPr>
          <w:rFonts w:cs="Times New Roman"/>
        </w:rPr>
        <w:t>irector</w:t>
      </w:r>
      <w:r w:rsidR="00C80C9D">
        <w:rPr>
          <w:rFonts w:cs="Times New Roman"/>
        </w:rPr>
        <w:t xml:space="preserve"> of Statistics</w:t>
      </w:r>
      <w:r>
        <w:rPr>
          <w:rFonts w:cs="Times New Roman"/>
        </w:rPr>
        <w:t>), M</w:t>
      </w:r>
      <w:r w:rsidRPr="00F9749C">
        <w:rPr>
          <w:rFonts w:cs="Times New Roman"/>
        </w:rPr>
        <w:t>s</w:t>
      </w:r>
      <w:r w:rsidRPr="00BD00CF">
        <w:rPr>
          <w:rFonts w:cs="Times New Roman"/>
        </w:rPr>
        <w:t>. Set Fong Cheun</w:t>
      </w:r>
      <w:r>
        <w:rPr>
          <w:rFonts w:cs="Times New Roman"/>
        </w:rPr>
        <w:t>g Tung Shing (Deputy Director</w:t>
      </w:r>
      <w:r w:rsidR="00C80C9D">
        <w:rPr>
          <w:rFonts w:cs="Times New Roman"/>
        </w:rPr>
        <w:t xml:space="preserve"> of Statistics</w:t>
      </w:r>
      <w:r>
        <w:rPr>
          <w:rFonts w:cs="Times New Roman"/>
        </w:rPr>
        <w:t>), M</w:t>
      </w:r>
      <w:r w:rsidRPr="00BD00CF">
        <w:rPr>
          <w:rFonts w:cs="Times New Roman"/>
        </w:rPr>
        <w:t xml:space="preserve">s. </w:t>
      </w:r>
      <w:r w:rsidR="00AB34D7" w:rsidRPr="00AB34D7">
        <w:rPr>
          <w:rFonts w:cs="Times New Roman"/>
        </w:rPr>
        <w:t>Chandranee Rughoobur</w:t>
      </w:r>
      <w:r w:rsidRPr="00BD00CF">
        <w:rPr>
          <w:rFonts w:cs="Times New Roman"/>
        </w:rPr>
        <w:t xml:space="preserve"> (Statistician</w:t>
      </w:r>
      <w:r>
        <w:rPr>
          <w:rFonts w:cs="Times New Roman"/>
        </w:rPr>
        <w:t>,</w:t>
      </w:r>
      <w:r w:rsidRPr="00BD00CF">
        <w:rPr>
          <w:rFonts w:cs="Times New Roman"/>
        </w:rPr>
        <w:t xml:space="preserve"> </w:t>
      </w:r>
      <w:r w:rsidR="007849F6">
        <w:rPr>
          <w:rFonts w:cs="Times New Roman"/>
        </w:rPr>
        <w:t>Poverty Statistics)</w:t>
      </w:r>
      <w:r>
        <w:rPr>
          <w:rFonts w:cs="Times New Roman"/>
        </w:rPr>
        <w:t xml:space="preserve">, </w:t>
      </w:r>
      <w:r w:rsidR="00314C3B">
        <w:rPr>
          <w:rFonts w:cs="Times New Roman"/>
        </w:rPr>
        <w:t xml:space="preserve">and </w:t>
      </w:r>
      <w:r>
        <w:rPr>
          <w:rFonts w:cs="Times New Roman"/>
        </w:rPr>
        <w:t>M</w:t>
      </w:r>
      <w:r w:rsidR="004B7277">
        <w:rPr>
          <w:rFonts w:cs="Times New Roman"/>
        </w:rPr>
        <w:t>r</w:t>
      </w:r>
      <w:r>
        <w:rPr>
          <w:rFonts w:cs="Times New Roman"/>
        </w:rPr>
        <w:t xml:space="preserve">. </w:t>
      </w:r>
      <w:r w:rsidR="00AB34D7" w:rsidRPr="00AB34D7">
        <w:rPr>
          <w:rFonts w:cs="Times New Roman"/>
        </w:rPr>
        <w:t>Sanjev Bhonoo</w:t>
      </w:r>
      <w:r w:rsidRPr="00F9749C">
        <w:rPr>
          <w:rFonts w:cs="Times New Roman"/>
        </w:rPr>
        <w:t xml:space="preserve"> (Statistician, </w:t>
      </w:r>
      <w:r w:rsidR="00235590">
        <w:rPr>
          <w:rFonts w:cs="Times New Roman"/>
        </w:rPr>
        <w:t xml:space="preserve">Household </w:t>
      </w:r>
      <w:r w:rsidR="007849F6">
        <w:rPr>
          <w:rFonts w:cs="Times New Roman"/>
        </w:rPr>
        <w:t>B</w:t>
      </w:r>
      <w:r w:rsidR="00235590">
        <w:rPr>
          <w:rFonts w:cs="Times New Roman"/>
        </w:rPr>
        <w:t>udget Survey</w:t>
      </w:r>
      <w:r w:rsidRPr="00F9749C">
        <w:rPr>
          <w:rFonts w:cs="Times New Roman"/>
        </w:rPr>
        <w:t>)</w:t>
      </w:r>
      <w:r w:rsidR="006519EF">
        <w:rPr>
          <w:rFonts w:cs="Times New Roman"/>
        </w:rPr>
        <w:t xml:space="preserve">. The team is grateful to the Mauritius Revenue Authority, in particular to </w:t>
      </w:r>
      <w:r w:rsidR="00C80C9D">
        <w:rPr>
          <w:rFonts w:cs="Times New Roman"/>
        </w:rPr>
        <w:t xml:space="preserve">Mr. </w:t>
      </w:r>
      <w:r w:rsidR="00664B97" w:rsidRPr="00664B97">
        <w:rPr>
          <w:rFonts w:cs="Times New Roman"/>
        </w:rPr>
        <w:t>Sudhamo Lal</w:t>
      </w:r>
      <w:r w:rsidR="00664B97">
        <w:rPr>
          <w:rFonts w:cs="Times New Roman"/>
        </w:rPr>
        <w:t xml:space="preserve"> </w:t>
      </w:r>
      <w:r w:rsidR="00C80C9D">
        <w:rPr>
          <w:rFonts w:cs="Times New Roman"/>
        </w:rPr>
        <w:t>(Director General) and Mr. Roshan Oree (Team Leader – Research, Policy and Planning Department)</w:t>
      </w:r>
      <w:r w:rsidRPr="00BD00CF">
        <w:rPr>
          <w:rFonts w:cs="Times New Roman"/>
        </w:rPr>
        <w:t>.</w:t>
      </w:r>
      <w:r w:rsidR="00800576">
        <w:rPr>
          <w:rFonts w:cs="Times New Roman"/>
        </w:rPr>
        <w:t xml:space="preserve"> The team </w:t>
      </w:r>
      <w:r w:rsidR="00FC2FFB">
        <w:rPr>
          <w:rFonts w:cs="Times New Roman"/>
        </w:rPr>
        <w:t>also thanks</w:t>
      </w:r>
      <w:r w:rsidR="00800576">
        <w:rPr>
          <w:rFonts w:cs="Times New Roman"/>
        </w:rPr>
        <w:t xml:space="preserve"> Mr.</w:t>
      </w:r>
      <w:r w:rsidR="004854EA">
        <w:rPr>
          <w:rFonts w:cs="Times New Roman"/>
        </w:rPr>
        <w:t xml:space="preserve"> Dayachund </w:t>
      </w:r>
      <w:r w:rsidR="00332BA8">
        <w:rPr>
          <w:rFonts w:cs="Times New Roman"/>
        </w:rPr>
        <w:t>Bundhoo</w:t>
      </w:r>
      <w:r w:rsidR="00800576">
        <w:rPr>
          <w:rFonts w:cs="Times New Roman"/>
        </w:rPr>
        <w:t xml:space="preserve"> (</w:t>
      </w:r>
      <w:r w:rsidR="00D63349">
        <w:rPr>
          <w:rFonts w:cs="Times New Roman"/>
        </w:rPr>
        <w:t xml:space="preserve">National </w:t>
      </w:r>
      <w:r w:rsidR="00800576">
        <w:rPr>
          <w:rFonts w:cs="Times New Roman"/>
        </w:rPr>
        <w:t>Consultant</w:t>
      </w:r>
      <w:r w:rsidR="00D63349">
        <w:rPr>
          <w:rFonts w:cs="Times New Roman"/>
        </w:rPr>
        <w:t xml:space="preserve"> </w:t>
      </w:r>
      <w:r w:rsidR="00314C3B">
        <w:rPr>
          <w:rFonts w:cs="Times New Roman"/>
        </w:rPr>
        <w:t xml:space="preserve">– </w:t>
      </w:r>
      <w:r w:rsidR="00D63349">
        <w:rPr>
          <w:rFonts w:cs="Times New Roman"/>
        </w:rPr>
        <w:t>U</w:t>
      </w:r>
      <w:r w:rsidR="00FC2FFB">
        <w:rPr>
          <w:rFonts w:cs="Times New Roman"/>
        </w:rPr>
        <w:t xml:space="preserve">nited </w:t>
      </w:r>
      <w:r w:rsidR="00D63349">
        <w:rPr>
          <w:rFonts w:cs="Times New Roman"/>
        </w:rPr>
        <w:t>N</w:t>
      </w:r>
      <w:r w:rsidR="00FC2FFB">
        <w:rPr>
          <w:rFonts w:cs="Times New Roman"/>
        </w:rPr>
        <w:t xml:space="preserve">ations </w:t>
      </w:r>
      <w:r w:rsidR="00D63349">
        <w:rPr>
          <w:rFonts w:cs="Times New Roman"/>
        </w:rPr>
        <w:t>D</w:t>
      </w:r>
      <w:r w:rsidR="00FC2FFB">
        <w:rPr>
          <w:rFonts w:cs="Times New Roman"/>
        </w:rPr>
        <w:t xml:space="preserve">evelopment </w:t>
      </w:r>
      <w:r w:rsidR="00D63349">
        <w:rPr>
          <w:rFonts w:cs="Times New Roman"/>
        </w:rPr>
        <w:t>P</w:t>
      </w:r>
      <w:r w:rsidR="00FC2FFB">
        <w:rPr>
          <w:rFonts w:cs="Times New Roman"/>
        </w:rPr>
        <w:t>rogram</w:t>
      </w:r>
      <w:r w:rsidR="00314C3B">
        <w:rPr>
          <w:rFonts w:cs="Times New Roman"/>
        </w:rPr>
        <w:t>me</w:t>
      </w:r>
      <w:r w:rsidR="00800576">
        <w:rPr>
          <w:rFonts w:cs="Times New Roman"/>
        </w:rPr>
        <w:t xml:space="preserve">) and Mr. </w:t>
      </w:r>
      <w:r w:rsidR="000F4416">
        <w:rPr>
          <w:rFonts w:cs="Times New Roman"/>
        </w:rPr>
        <w:t xml:space="preserve">Ajoy </w:t>
      </w:r>
      <w:r w:rsidR="00096FAF" w:rsidRPr="00096FAF">
        <w:rPr>
          <w:rFonts w:cs="Times New Roman"/>
        </w:rPr>
        <w:t>N</w:t>
      </w:r>
      <w:r w:rsidR="000F4416">
        <w:rPr>
          <w:rFonts w:cs="Times New Roman"/>
        </w:rPr>
        <w:t>undoochan</w:t>
      </w:r>
      <w:r w:rsidR="00096FAF" w:rsidRPr="00096FAF">
        <w:rPr>
          <w:rFonts w:cs="Times New Roman"/>
        </w:rPr>
        <w:t xml:space="preserve"> </w:t>
      </w:r>
      <w:r w:rsidR="00800576">
        <w:rPr>
          <w:rFonts w:cs="Times New Roman"/>
        </w:rPr>
        <w:t>(</w:t>
      </w:r>
      <w:r w:rsidR="000F4416">
        <w:rPr>
          <w:rFonts w:cs="Times New Roman"/>
        </w:rPr>
        <w:t xml:space="preserve">National Professional Officer </w:t>
      </w:r>
      <w:r w:rsidR="00314C3B">
        <w:rPr>
          <w:rFonts w:cs="Times New Roman"/>
        </w:rPr>
        <w:t xml:space="preserve">– </w:t>
      </w:r>
      <w:r w:rsidR="00800576">
        <w:rPr>
          <w:rFonts w:cs="Times New Roman"/>
        </w:rPr>
        <w:t>World Health Organization)</w:t>
      </w:r>
      <w:r w:rsidR="00C80C9D">
        <w:rPr>
          <w:rFonts w:cs="Times New Roman"/>
        </w:rPr>
        <w:t xml:space="preserve"> for their kind support</w:t>
      </w:r>
      <w:r w:rsidR="00800576">
        <w:rPr>
          <w:rFonts w:cs="Times New Roman"/>
        </w:rPr>
        <w:t>.</w:t>
      </w:r>
    </w:p>
    <w:p w14:paraId="083648EE" w14:textId="67EECFD8" w:rsidR="00857545" w:rsidRDefault="00857545" w:rsidP="00857545">
      <w:pPr>
        <w:rPr>
          <w:rFonts w:cs="Times New Roman"/>
        </w:rPr>
      </w:pPr>
      <w:bookmarkStart w:id="16" w:name="_Hlk531685901"/>
      <w:r w:rsidRPr="00BD00CF">
        <w:rPr>
          <w:rFonts w:cs="Times New Roman"/>
        </w:rPr>
        <w:t xml:space="preserve">The team gratefully acknowledges the </w:t>
      </w:r>
      <w:r w:rsidR="002D28B2">
        <w:rPr>
          <w:rFonts w:cs="Times New Roman"/>
        </w:rPr>
        <w:t>guidance and feedback</w:t>
      </w:r>
      <w:r w:rsidRPr="00BD00CF">
        <w:rPr>
          <w:rFonts w:cs="Times New Roman"/>
        </w:rPr>
        <w:t xml:space="preserve"> of </w:t>
      </w:r>
      <w:r>
        <w:rPr>
          <w:rFonts w:cs="Times New Roman"/>
        </w:rPr>
        <w:t>Pierella Paci</w:t>
      </w:r>
      <w:r w:rsidRPr="00BD00CF">
        <w:rPr>
          <w:rFonts w:cs="Times New Roman"/>
        </w:rPr>
        <w:t xml:space="preserve"> (Practice Manager</w:t>
      </w:r>
      <w:r>
        <w:rPr>
          <w:rFonts w:cs="Times New Roman"/>
        </w:rPr>
        <w:t>,</w:t>
      </w:r>
      <w:r w:rsidRPr="00BD00CF">
        <w:rPr>
          <w:rFonts w:cs="Times New Roman"/>
        </w:rPr>
        <w:t xml:space="preserve"> </w:t>
      </w:r>
      <w:r>
        <w:rPr>
          <w:rFonts w:cs="Times New Roman"/>
        </w:rPr>
        <w:t>GPV01</w:t>
      </w:r>
      <w:r w:rsidRPr="00BD00CF">
        <w:rPr>
          <w:rFonts w:cs="Times New Roman"/>
        </w:rPr>
        <w:t>), Mark Lundell (Country Director</w:t>
      </w:r>
      <w:r>
        <w:rPr>
          <w:rFonts w:cs="Times New Roman"/>
        </w:rPr>
        <w:t>, AFCS2</w:t>
      </w:r>
      <w:r w:rsidRPr="00BD00CF">
        <w:rPr>
          <w:rFonts w:cs="Times New Roman"/>
        </w:rPr>
        <w:t>), Carolin Geginat (Program Leader</w:t>
      </w:r>
      <w:r>
        <w:rPr>
          <w:rFonts w:cs="Times New Roman"/>
        </w:rPr>
        <w:t>, AFCS2</w:t>
      </w:r>
      <w:r w:rsidRPr="00BD00CF">
        <w:rPr>
          <w:rFonts w:cs="Times New Roman"/>
        </w:rPr>
        <w:t xml:space="preserve">), </w:t>
      </w:r>
      <w:r w:rsidR="00314C3B">
        <w:rPr>
          <w:rFonts w:cs="Times New Roman"/>
        </w:rPr>
        <w:t xml:space="preserve">and </w:t>
      </w:r>
      <w:r>
        <w:rPr>
          <w:rFonts w:cs="Times New Roman"/>
        </w:rPr>
        <w:t xml:space="preserve">Erik von Uexkull (Resident Representative, Mauritius), </w:t>
      </w:r>
      <w:r w:rsidR="002D28B2">
        <w:rPr>
          <w:rFonts w:cs="Times New Roman"/>
        </w:rPr>
        <w:t xml:space="preserve">as well as the support of </w:t>
      </w:r>
      <w:r w:rsidR="00796C7C" w:rsidRPr="003A3B11">
        <w:rPr>
          <w:rFonts w:cs="Times New Roman"/>
        </w:rPr>
        <w:t>Martin Buchara (Program Assistant, GPV01)</w:t>
      </w:r>
      <w:r w:rsidR="00796C7C">
        <w:rPr>
          <w:rFonts w:cs="Times New Roman"/>
        </w:rPr>
        <w:t xml:space="preserve">, </w:t>
      </w:r>
      <w:r w:rsidRPr="003A3B11">
        <w:rPr>
          <w:rFonts w:cs="Times New Roman"/>
        </w:rPr>
        <w:t>Mariella Beugue (Program As</w:t>
      </w:r>
      <w:r>
        <w:rPr>
          <w:rFonts w:cs="Times New Roman"/>
        </w:rPr>
        <w:t>sistant, AFMMU)</w:t>
      </w:r>
      <w:r w:rsidRPr="003A3B11">
        <w:rPr>
          <w:rFonts w:cs="Times New Roman"/>
        </w:rPr>
        <w:t xml:space="preserve">, </w:t>
      </w:r>
      <w:r w:rsidR="00314C3B">
        <w:rPr>
          <w:rFonts w:cs="Times New Roman"/>
        </w:rPr>
        <w:t xml:space="preserve">and </w:t>
      </w:r>
      <w:r>
        <w:rPr>
          <w:rFonts w:cs="Times New Roman"/>
        </w:rPr>
        <w:t>Rachel Ng Cheong (Temporary, AFMMU)</w:t>
      </w:r>
      <w:r w:rsidRPr="003A3B11">
        <w:rPr>
          <w:rFonts w:cs="Times New Roman"/>
        </w:rPr>
        <w:t>.</w:t>
      </w:r>
      <w:bookmarkEnd w:id="16"/>
    </w:p>
    <w:p w14:paraId="280E33C2" w14:textId="77777777" w:rsidR="00F20968" w:rsidRPr="00F20968" w:rsidRDefault="00857545" w:rsidP="00857545">
      <w:pPr>
        <w:rPr>
          <w:rFonts w:cs="Times New Roman"/>
        </w:rPr>
      </w:pPr>
      <w:r w:rsidRPr="00FC1A4E">
        <w:rPr>
          <w:rFonts w:cs="Times New Roman"/>
        </w:rPr>
        <w:t xml:space="preserve">The </w:t>
      </w:r>
      <w:r w:rsidR="007F5777">
        <w:rPr>
          <w:rFonts w:cs="Times New Roman"/>
        </w:rPr>
        <w:t xml:space="preserve">team </w:t>
      </w:r>
      <w:r w:rsidR="007E07C4">
        <w:rPr>
          <w:rFonts w:cs="Times New Roman"/>
        </w:rPr>
        <w:t xml:space="preserve">is grateful to the </w:t>
      </w:r>
      <w:r w:rsidRPr="00FC1A4E">
        <w:rPr>
          <w:rFonts w:cs="Times New Roman"/>
        </w:rPr>
        <w:t>peer reviewers</w:t>
      </w:r>
      <w:r w:rsidR="007E07C4">
        <w:rPr>
          <w:rFonts w:cs="Times New Roman"/>
        </w:rPr>
        <w:t>,</w:t>
      </w:r>
      <w:r>
        <w:rPr>
          <w:rFonts w:cs="Times New Roman"/>
        </w:rPr>
        <w:t xml:space="preserve"> </w:t>
      </w:r>
      <w:r w:rsidR="00B553EE">
        <w:rPr>
          <w:rFonts w:cs="Times New Roman"/>
        </w:rPr>
        <w:t>Ruth Hill</w:t>
      </w:r>
      <w:r>
        <w:rPr>
          <w:rFonts w:cs="Times New Roman"/>
        </w:rPr>
        <w:t xml:space="preserve"> (</w:t>
      </w:r>
      <w:r w:rsidR="0054590A">
        <w:rPr>
          <w:rFonts w:cs="Times New Roman"/>
        </w:rPr>
        <w:t>Lead</w:t>
      </w:r>
      <w:r>
        <w:rPr>
          <w:rFonts w:cs="Times New Roman"/>
        </w:rPr>
        <w:t xml:space="preserve"> Economist, GPV0</w:t>
      </w:r>
      <w:r w:rsidR="00B553EE">
        <w:rPr>
          <w:rFonts w:cs="Times New Roman"/>
        </w:rPr>
        <w:t>7</w:t>
      </w:r>
      <w:r>
        <w:rPr>
          <w:rFonts w:cs="Times New Roman"/>
        </w:rPr>
        <w:t>)</w:t>
      </w:r>
      <w:r w:rsidRPr="00EB1BF3">
        <w:rPr>
          <w:rFonts w:cs="Times New Roman"/>
        </w:rPr>
        <w:t xml:space="preserve"> </w:t>
      </w:r>
      <w:r>
        <w:rPr>
          <w:rFonts w:cs="Times New Roman"/>
        </w:rPr>
        <w:t xml:space="preserve">and </w:t>
      </w:r>
      <w:r w:rsidR="00B553EE">
        <w:rPr>
          <w:rFonts w:cs="Times New Roman"/>
        </w:rPr>
        <w:t>Gabriela Inchauste</w:t>
      </w:r>
      <w:r>
        <w:rPr>
          <w:rFonts w:cs="Times New Roman"/>
        </w:rPr>
        <w:t xml:space="preserve"> (</w:t>
      </w:r>
      <w:r w:rsidR="00B553EE">
        <w:rPr>
          <w:rFonts w:cs="Times New Roman"/>
        </w:rPr>
        <w:t>Lead Economist</w:t>
      </w:r>
      <w:r>
        <w:rPr>
          <w:rFonts w:cs="Times New Roman"/>
        </w:rPr>
        <w:t>, G</w:t>
      </w:r>
      <w:r w:rsidR="00B553EE">
        <w:rPr>
          <w:rFonts w:cs="Times New Roman"/>
        </w:rPr>
        <w:t>PV04</w:t>
      </w:r>
      <w:r>
        <w:rPr>
          <w:rFonts w:cs="Times New Roman"/>
        </w:rPr>
        <w:t>)</w:t>
      </w:r>
      <w:r w:rsidR="007E07C4">
        <w:rPr>
          <w:rFonts w:cs="Times New Roman"/>
        </w:rPr>
        <w:t>, for their constructive suggestions.</w:t>
      </w:r>
    </w:p>
    <w:p w14:paraId="2E343B95" w14:textId="77777777" w:rsidR="00F20968" w:rsidRPr="00727D48" w:rsidRDefault="00F20968" w:rsidP="00857545">
      <w:pPr>
        <w:rPr>
          <w:rFonts w:cs="Times New Roman"/>
          <w:sz w:val="18"/>
          <w:szCs w:val="18"/>
        </w:rPr>
      </w:pPr>
    </w:p>
    <w:p w14:paraId="25987DC6" w14:textId="43E4739E" w:rsidR="00857545" w:rsidRPr="00F20968" w:rsidRDefault="00857545" w:rsidP="00857545">
      <w:pPr>
        <w:rPr>
          <w:rFonts w:cs="Times New Roman"/>
        </w:rPr>
      </w:pPr>
      <w:r w:rsidRPr="00727D48">
        <w:rPr>
          <w:rFonts w:cs="Times New Roman"/>
          <w:sz w:val="18"/>
          <w:szCs w:val="18"/>
        </w:rPr>
        <w:br w:type="page"/>
      </w:r>
    </w:p>
    <w:p w14:paraId="348D430E" w14:textId="10B2A3F7" w:rsidR="00FA6451" w:rsidRPr="00857545" w:rsidRDefault="00857545" w:rsidP="00857545">
      <w:pPr>
        <w:pStyle w:val="Heading1"/>
        <w:rPr>
          <w:rFonts w:ascii="Times New Roman" w:hAnsi="Times New Roman" w:cs="Times New Roman"/>
          <w:b/>
        </w:rPr>
      </w:pPr>
      <w:r>
        <w:rPr>
          <w:rFonts w:ascii="Times New Roman" w:hAnsi="Times New Roman" w:cs="Times New Roman"/>
        </w:rPr>
        <w:br w:type="page"/>
      </w:r>
      <w:bookmarkStart w:id="17" w:name="_Toc10824866"/>
      <w:bookmarkStart w:id="18" w:name="_Toc10824938"/>
      <w:r w:rsidR="00FA6451" w:rsidRPr="00857545">
        <w:rPr>
          <w:rFonts w:ascii="Times New Roman" w:hAnsi="Times New Roman" w:cs="Times New Roman"/>
          <w:b/>
        </w:rPr>
        <w:t>Executive Summary</w:t>
      </w:r>
      <w:bookmarkEnd w:id="12"/>
      <w:bookmarkEnd w:id="17"/>
      <w:bookmarkEnd w:id="18"/>
    </w:p>
    <w:p w14:paraId="1E1E887A" w14:textId="025ED59B" w:rsidR="00FA6451" w:rsidRDefault="00FA6451" w:rsidP="00FA6451">
      <w:pPr>
        <w:pStyle w:val="ListNumber"/>
        <w:numPr>
          <w:ilvl w:val="0"/>
          <w:numId w:val="0"/>
        </w:numPr>
        <w:rPr>
          <w:rFonts w:ascii="Times New Roman" w:hAnsi="Times New Roman" w:cs="Times New Roman"/>
        </w:rPr>
      </w:pPr>
      <w:r w:rsidRPr="00944170">
        <w:rPr>
          <w:rFonts w:ascii="Times New Roman" w:hAnsi="Times New Roman" w:cs="Times New Roman"/>
          <w:b/>
        </w:rPr>
        <w:t xml:space="preserve">Overall, </w:t>
      </w:r>
      <w:r w:rsidR="009D2F81">
        <w:rPr>
          <w:rFonts w:ascii="Times New Roman" w:hAnsi="Times New Roman" w:cs="Times New Roman"/>
          <w:b/>
        </w:rPr>
        <w:t xml:space="preserve">the </w:t>
      </w:r>
      <w:r>
        <w:rPr>
          <w:rFonts w:ascii="Times New Roman" w:hAnsi="Times New Roman" w:cs="Times New Roman"/>
          <w:b/>
        </w:rPr>
        <w:t xml:space="preserve">net fiscal system </w:t>
      </w:r>
      <w:r w:rsidR="009D2F81">
        <w:rPr>
          <w:rFonts w:ascii="Times New Roman" w:hAnsi="Times New Roman" w:cs="Times New Roman"/>
          <w:b/>
        </w:rPr>
        <w:t>of</w:t>
      </w:r>
      <w:r w:rsidR="009D2F81" w:rsidRPr="009D2F81">
        <w:rPr>
          <w:rFonts w:ascii="Times New Roman" w:hAnsi="Times New Roman" w:cs="Times New Roman"/>
          <w:b/>
        </w:rPr>
        <w:t xml:space="preserve"> </w:t>
      </w:r>
      <w:r w:rsidR="009D2F81">
        <w:rPr>
          <w:rFonts w:ascii="Times New Roman" w:hAnsi="Times New Roman" w:cs="Times New Roman"/>
          <w:b/>
        </w:rPr>
        <w:t xml:space="preserve">Mauritius </w:t>
      </w:r>
      <w:r>
        <w:rPr>
          <w:rFonts w:ascii="Times New Roman" w:hAnsi="Times New Roman" w:cs="Times New Roman"/>
          <w:b/>
        </w:rPr>
        <w:t>reduces inequality and poverty</w:t>
      </w:r>
      <w:r w:rsidRPr="00944170">
        <w:rPr>
          <w:rFonts w:ascii="Times New Roman" w:hAnsi="Times New Roman" w:cs="Times New Roman"/>
          <w:b/>
        </w:rPr>
        <w:t>.</w:t>
      </w:r>
      <w:r w:rsidRPr="00944170">
        <w:rPr>
          <w:rFonts w:ascii="Times New Roman" w:hAnsi="Times New Roman" w:cs="Times New Roman"/>
        </w:rPr>
        <w:t xml:space="preserve"> The Gini </w:t>
      </w:r>
      <w:r>
        <w:rPr>
          <w:rFonts w:ascii="Times New Roman" w:hAnsi="Times New Roman" w:cs="Times New Roman"/>
        </w:rPr>
        <w:t xml:space="preserve">index of prefiscal income (per adult equivalent) is </w:t>
      </w:r>
      <w:r w:rsidR="00C37C80">
        <w:rPr>
          <w:rFonts w:ascii="Times New Roman" w:hAnsi="Times New Roman" w:cs="Times New Roman"/>
        </w:rPr>
        <w:t xml:space="preserve">estimated at </w:t>
      </w:r>
      <w:r>
        <w:rPr>
          <w:rFonts w:ascii="Times New Roman" w:hAnsi="Times New Roman" w:cs="Times New Roman"/>
        </w:rPr>
        <w:t>40.0 and declines considerably</w:t>
      </w:r>
      <w:r w:rsidR="009D2F81">
        <w:rPr>
          <w:rFonts w:ascii="Times New Roman" w:hAnsi="Times New Roman" w:cs="Times New Roman"/>
        </w:rPr>
        <w:t>,</w:t>
      </w:r>
      <w:r>
        <w:rPr>
          <w:rFonts w:ascii="Times New Roman" w:hAnsi="Times New Roman" w:cs="Times New Roman"/>
        </w:rPr>
        <w:t xml:space="preserve"> to 34.4</w:t>
      </w:r>
      <w:r w:rsidR="009D2F81">
        <w:rPr>
          <w:rFonts w:ascii="Times New Roman" w:hAnsi="Times New Roman" w:cs="Times New Roman"/>
        </w:rPr>
        <w:t>,</w:t>
      </w:r>
      <w:r>
        <w:rPr>
          <w:rFonts w:ascii="Times New Roman" w:hAnsi="Times New Roman" w:cs="Times New Roman"/>
        </w:rPr>
        <w:t xml:space="preserve"> after direct taxes and cash transfers, 34.</w:t>
      </w:r>
      <w:r w:rsidR="00C77195">
        <w:rPr>
          <w:rFonts w:ascii="Times New Roman" w:hAnsi="Times New Roman" w:cs="Times New Roman"/>
        </w:rPr>
        <w:t>2</w:t>
      </w:r>
      <w:r>
        <w:rPr>
          <w:rFonts w:ascii="Times New Roman" w:hAnsi="Times New Roman" w:cs="Times New Roman"/>
        </w:rPr>
        <w:t xml:space="preserve"> after indirect taxes and subsidies, and 3</w:t>
      </w:r>
      <w:r w:rsidR="00C77195">
        <w:rPr>
          <w:rFonts w:ascii="Times New Roman" w:hAnsi="Times New Roman" w:cs="Times New Roman"/>
        </w:rPr>
        <w:t>0</w:t>
      </w:r>
      <w:r>
        <w:rPr>
          <w:rFonts w:ascii="Times New Roman" w:hAnsi="Times New Roman" w:cs="Times New Roman"/>
        </w:rPr>
        <w:t>.</w:t>
      </w:r>
      <w:r w:rsidR="00C77195">
        <w:rPr>
          <w:rFonts w:ascii="Times New Roman" w:hAnsi="Times New Roman" w:cs="Times New Roman"/>
        </w:rPr>
        <w:t>6</w:t>
      </w:r>
      <w:r>
        <w:rPr>
          <w:rFonts w:ascii="Times New Roman" w:hAnsi="Times New Roman" w:cs="Times New Roman"/>
        </w:rPr>
        <w:t xml:space="preserve"> after </w:t>
      </w:r>
      <w:r w:rsidR="00E92386">
        <w:rPr>
          <w:rFonts w:ascii="Times New Roman" w:hAnsi="Times New Roman" w:cs="Times New Roman"/>
        </w:rPr>
        <w:t xml:space="preserve">in-kind </w:t>
      </w:r>
      <w:r>
        <w:rPr>
          <w:rFonts w:ascii="Times New Roman" w:hAnsi="Times New Roman" w:cs="Times New Roman"/>
        </w:rPr>
        <w:t>education and health transfers are accounted for. The poverty headcount rat</w:t>
      </w:r>
      <w:r w:rsidR="009D2F81">
        <w:rPr>
          <w:rFonts w:ascii="Times New Roman" w:hAnsi="Times New Roman" w:cs="Times New Roman"/>
        </w:rPr>
        <w:t>io</w:t>
      </w:r>
      <w:r>
        <w:rPr>
          <w:rFonts w:ascii="Times New Roman" w:hAnsi="Times New Roman" w:cs="Times New Roman"/>
        </w:rPr>
        <w:t xml:space="preserve"> (measured against the </w:t>
      </w:r>
      <w:r w:rsidR="009D2F81">
        <w:rPr>
          <w:rFonts w:ascii="Times New Roman" w:hAnsi="Times New Roman" w:cs="Times New Roman"/>
        </w:rPr>
        <w:t xml:space="preserve">MUR </w:t>
      </w:r>
      <w:r>
        <w:rPr>
          <w:rFonts w:ascii="Times New Roman" w:hAnsi="Times New Roman" w:cs="Times New Roman"/>
        </w:rPr>
        <w:t>6,404</w:t>
      </w:r>
      <w:r w:rsidR="009D2F81">
        <w:rPr>
          <w:rFonts w:ascii="Times New Roman" w:hAnsi="Times New Roman" w:cs="Times New Roman"/>
        </w:rPr>
        <w:t xml:space="preserve"> a </w:t>
      </w:r>
      <w:r>
        <w:rPr>
          <w:rFonts w:ascii="Times New Roman" w:hAnsi="Times New Roman" w:cs="Times New Roman"/>
        </w:rPr>
        <w:t xml:space="preserve">month per adult equivalent poverty line) declines by about </w:t>
      </w:r>
      <w:r w:rsidR="00C77195">
        <w:rPr>
          <w:rFonts w:ascii="Times New Roman" w:hAnsi="Times New Roman" w:cs="Times New Roman"/>
        </w:rPr>
        <w:t>5.9</w:t>
      </w:r>
      <w:r>
        <w:rPr>
          <w:rFonts w:ascii="Times New Roman" w:hAnsi="Times New Roman" w:cs="Times New Roman"/>
        </w:rPr>
        <w:t xml:space="preserve"> percentage points</w:t>
      </w:r>
      <w:r w:rsidR="009D2F81">
        <w:rPr>
          <w:rFonts w:ascii="Times New Roman" w:hAnsi="Times New Roman" w:cs="Times New Roman"/>
        </w:rPr>
        <w:t>,</w:t>
      </w:r>
      <w:r>
        <w:rPr>
          <w:rFonts w:ascii="Times New Roman" w:hAnsi="Times New Roman" w:cs="Times New Roman"/>
        </w:rPr>
        <w:t xml:space="preserve"> </w:t>
      </w:r>
      <w:r w:rsidR="006D58B7">
        <w:rPr>
          <w:rFonts w:ascii="Times New Roman" w:hAnsi="Times New Roman" w:cs="Times New Roman"/>
        </w:rPr>
        <w:t xml:space="preserve">from 15.1 </w:t>
      </w:r>
      <w:r w:rsidR="009D2F81">
        <w:rPr>
          <w:rFonts w:ascii="Times New Roman" w:hAnsi="Times New Roman" w:cs="Times New Roman"/>
        </w:rPr>
        <w:t xml:space="preserve">percent </w:t>
      </w:r>
      <w:r w:rsidR="006D58B7">
        <w:rPr>
          <w:rFonts w:ascii="Times New Roman" w:hAnsi="Times New Roman" w:cs="Times New Roman"/>
        </w:rPr>
        <w:t>to 9.2 percent</w:t>
      </w:r>
      <w:r w:rsidR="009D2F81">
        <w:rPr>
          <w:rFonts w:ascii="Times New Roman" w:hAnsi="Times New Roman" w:cs="Times New Roman"/>
        </w:rPr>
        <w:t>,</w:t>
      </w:r>
      <w:r w:rsidR="006D58B7">
        <w:rPr>
          <w:rFonts w:ascii="Times New Roman" w:hAnsi="Times New Roman" w:cs="Times New Roman"/>
        </w:rPr>
        <w:t xml:space="preserve"> </w:t>
      </w:r>
      <w:r w:rsidR="009D2F81">
        <w:rPr>
          <w:rFonts w:ascii="Times New Roman" w:hAnsi="Times New Roman" w:cs="Times New Roman"/>
        </w:rPr>
        <w:t xml:space="preserve">if, rather than </w:t>
      </w:r>
      <w:r>
        <w:rPr>
          <w:rFonts w:ascii="Times New Roman" w:hAnsi="Times New Roman" w:cs="Times New Roman"/>
        </w:rPr>
        <w:t>prefiscal income</w:t>
      </w:r>
      <w:r w:rsidR="009D2F81">
        <w:rPr>
          <w:rFonts w:ascii="Times New Roman" w:hAnsi="Times New Roman" w:cs="Times New Roman"/>
        </w:rPr>
        <w:t>,</w:t>
      </w:r>
      <w:r>
        <w:rPr>
          <w:rFonts w:ascii="Times New Roman" w:hAnsi="Times New Roman" w:cs="Times New Roman"/>
        </w:rPr>
        <w:t xml:space="preserve"> </w:t>
      </w:r>
      <w:r w:rsidR="009D2F81">
        <w:rPr>
          <w:rFonts w:ascii="Times New Roman" w:hAnsi="Times New Roman" w:cs="Times New Roman"/>
        </w:rPr>
        <w:t xml:space="preserve">one considers </w:t>
      </w:r>
      <w:r>
        <w:rPr>
          <w:rFonts w:ascii="Times New Roman" w:hAnsi="Times New Roman" w:cs="Times New Roman"/>
        </w:rPr>
        <w:t>consumable income, which accounts for the effect of direct and indirect taxes and transfers. Overall, households a</w:t>
      </w:r>
      <w:r w:rsidR="009D2F81">
        <w:rPr>
          <w:rFonts w:ascii="Times New Roman" w:hAnsi="Times New Roman" w:cs="Times New Roman"/>
        </w:rPr>
        <w:t xml:space="preserve">mong </w:t>
      </w:r>
      <w:r>
        <w:rPr>
          <w:rFonts w:ascii="Times New Roman" w:hAnsi="Times New Roman" w:cs="Times New Roman"/>
        </w:rPr>
        <w:t xml:space="preserve">the bottom </w:t>
      </w:r>
      <w:r w:rsidR="006D58B7">
        <w:rPr>
          <w:rFonts w:ascii="Times New Roman" w:hAnsi="Times New Roman" w:cs="Times New Roman"/>
        </w:rPr>
        <w:t xml:space="preserve">30 percent </w:t>
      </w:r>
      <w:r>
        <w:rPr>
          <w:rFonts w:ascii="Times New Roman" w:hAnsi="Times New Roman" w:cs="Times New Roman"/>
        </w:rPr>
        <w:t>of the prefiscal income distribution are net cash receivers, while the middle class and the most affluent households are net tax payers.</w:t>
      </w:r>
      <w:r w:rsidR="00EE0EF7">
        <w:rPr>
          <w:rFonts w:ascii="Times New Roman" w:hAnsi="Times New Roman" w:cs="Times New Roman"/>
        </w:rPr>
        <w:t xml:space="preserve"> </w:t>
      </w:r>
      <w:r w:rsidR="007923BA">
        <w:rPr>
          <w:rFonts w:ascii="Times New Roman" w:hAnsi="Times New Roman" w:cs="Times New Roman"/>
        </w:rPr>
        <w:t>In terms of inequality and poverty reduction, t</w:t>
      </w:r>
      <w:r w:rsidR="007E1C73">
        <w:rPr>
          <w:rFonts w:ascii="Times New Roman" w:hAnsi="Times New Roman" w:cs="Times New Roman"/>
        </w:rPr>
        <w:t xml:space="preserve">he </w:t>
      </w:r>
      <w:r w:rsidR="00EE0EF7">
        <w:rPr>
          <w:rFonts w:ascii="Times New Roman" w:hAnsi="Times New Roman" w:cs="Times New Roman"/>
        </w:rPr>
        <w:t xml:space="preserve">net fiscal system </w:t>
      </w:r>
      <w:r w:rsidR="007E1C73">
        <w:rPr>
          <w:rFonts w:ascii="Times New Roman" w:hAnsi="Times New Roman" w:cs="Times New Roman"/>
        </w:rPr>
        <w:t>places Mauritius among the 5 top</w:t>
      </w:r>
      <w:r w:rsidR="00897B33">
        <w:rPr>
          <w:rFonts w:ascii="Times New Roman" w:hAnsi="Times New Roman" w:cs="Times New Roman"/>
        </w:rPr>
        <w:t>-</w:t>
      </w:r>
      <w:r w:rsidR="007E1C73">
        <w:rPr>
          <w:rFonts w:ascii="Times New Roman" w:hAnsi="Times New Roman" w:cs="Times New Roman"/>
        </w:rPr>
        <w:t>perform</w:t>
      </w:r>
      <w:r w:rsidR="00F6628E">
        <w:rPr>
          <w:rFonts w:ascii="Times New Roman" w:hAnsi="Times New Roman" w:cs="Times New Roman"/>
        </w:rPr>
        <w:t>ing middle-income countries</w:t>
      </w:r>
      <w:r w:rsidR="009D2F81">
        <w:rPr>
          <w:rFonts w:ascii="Times New Roman" w:hAnsi="Times New Roman" w:cs="Times New Roman"/>
        </w:rPr>
        <w:t xml:space="preserve"> on </w:t>
      </w:r>
      <w:r w:rsidR="00F6628E">
        <w:rPr>
          <w:rFonts w:ascii="Times New Roman" w:hAnsi="Times New Roman" w:cs="Times New Roman"/>
        </w:rPr>
        <w:t xml:space="preserve">which data </w:t>
      </w:r>
      <w:r w:rsidR="009D2F81">
        <w:rPr>
          <w:rFonts w:ascii="Times New Roman" w:hAnsi="Times New Roman" w:cs="Times New Roman"/>
        </w:rPr>
        <w:t>are</w:t>
      </w:r>
      <w:r w:rsidR="00F6628E">
        <w:rPr>
          <w:rFonts w:ascii="Times New Roman" w:hAnsi="Times New Roman" w:cs="Times New Roman"/>
        </w:rPr>
        <w:t xml:space="preserve"> available in the CEQ database</w:t>
      </w:r>
      <w:r w:rsidR="007E1C73">
        <w:rPr>
          <w:rFonts w:ascii="Times New Roman" w:hAnsi="Times New Roman" w:cs="Times New Roman"/>
        </w:rPr>
        <w:t>.</w:t>
      </w:r>
      <w:r w:rsidR="00C32033">
        <w:rPr>
          <w:rStyle w:val="FootnoteReference"/>
          <w:rFonts w:ascii="Times New Roman" w:hAnsi="Times New Roman" w:cs="Times New Roman"/>
        </w:rPr>
        <w:footnoteReference w:id="2"/>
      </w:r>
    </w:p>
    <w:p w14:paraId="14666034" w14:textId="6A6BB586" w:rsidR="00FA6451" w:rsidRPr="00F0367E" w:rsidRDefault="00FA6451" w:rsidP="00F0367E">
      <w:r w:rsidRPr="00944170">
        <w:rPr>
          <w:rFonts w:cs="Times New Roman"/>
          <w:b/>
          <w:szCs w:val="22"/>
        </w:rPr>
        <w:t xml:space="preserve">Direct taxes on </w:t>
      </w:r>
      <w:r>
        <w:rPr>
          <w:rFonts w:cs="Times New Roman"/>
          <w:b/>
        </w:rPr>
        <w:t>personal</w:t>
      </w:r>
      <w:r w:rsidRPr="00944170">
        <w:rPr>
          <w:rFonts w:cs="Times New Roman"/>
          <w:b/>
          <w:szCs w:val="22"/>
        </w:rPr>
        <w:t xml:space="preserve"> income</w:t>
      </w:r>
      <w:r>
        <w:rPr>
          <w:rFonts w:cs="Times New Roman"/>
          <w:b/>
        </w:rPr>
        <w:t xml:space="preserve"> </w:t>
      </w:r>
      <w:r w:rsidRPr="00944170">
        <w:rPr>
          <w:rFonts w:cs="Times New Roman"/>
          <w:b/>
          <w:szCs w:val="22"/>
        </w:rPr>
        <w:t>are progressive</w:t>
      </w:r>
      <w:r>
        <w:rPr>
          <w:rFonts w:cs="Times New Roman"/>
          <w:b/>
          <w:szCs w:val="22"/>
        </w:rPr>
        <w:t xml:space="preserve"> </w:t>
      </w:r>
      <w:r w:rsidRPr="00FE1669">
        <w:rPr>
          <w:rFonts w:cs="Times New Roman"/>
          <w:b/>
          <w:szCs w:val="22"/>
        </w:rPr>
        <w:t>and reduce inequality.</w:t>
      </w:r>
      <w:r w:rsidRPr="00944170">
        <w:rPr>
          <w:rFonts w:cs="Times New Roman"/>
          <w:szCs w:val="22"/>
        </w:rPr>
        <w:t xml:space="preserve"> </w:t>
      </w:r>
      <w:r>
        <w:rPr>
          <w:rFonts w:cs="Times New Roman"/>
          <w:color w:val="000000" w:themeColor="text1"/>
          <w:szCs w:val="22"/>
        </w:rPr>
        <w:t>A</w:t>
      </w:r>
      <w:r w:rsidRPr="00F32D25">
        <w:rPr>
          <w:rFonts w:cs="Times New Roman"/>
          <w:color w:val="000000" w:themeColor="text1"/>
          <w:szCs w:val="22"/>
        </w:rPr>
        <w:t xml:space="preserve">bout 80 percent of the incidence </w:t>
      </w:r>
      <w:r w:rsidR="00805D33">
        <w:rPr>
          <w:rFonts w:cs="Times New Roman"/>
          <w:color w:val="000000" w:themeColor="text1"/>
          <w:szCs w:val="22"/>
        </w:rPr>
        <w:t xml:space="preserve">of the personal income tax (PIT) </w:t>
      </w:r>
      <w:r w:rsidRPr="00F32D25">
        <w:rPr>
          <w:rFonts w:cs="Times New Roman"/>
          <w:color w:val="000000" w:themeColor="text1"/>
          <w:szCs w:val="22"/>
        </w:rPr>
        <w:t>is borne by the richest 10 percent of the population</w:t>
      </w:r>
      <w:r>
        <w:rPr>
          <w:rFonts w:cs="Times New Roman"/>
          <w:color w:val="000000" w:themeColor="text1"/>
          <w:szCs w:val="22"/>
        </w:rPr>
        <w:t>, while t</w:t>
      </w:r>
      <w:r w:rsidRPr="00F32D25">
        <w:rPr>
          <w:rFonts w:cs="Times New Roman"/>
          <w:color w:val="000000" w:themeColor="text1"/>
          <w:szCs w:val="22"/>
        </w:rPr>
        <w:t xml:space="preserve">he poorest 40 percent of the population </w:t>
      </w:r>
      <w:r w:rsidR="00E92386">
        <w:rPr>
          <w:rFonts w:cs="Times New Roman"/>
          <w:color w:val="000000" w:themeColor="text1"/>
          <w:szCs w:val="22"/>
        </w:rPr>
        <w:t>pay</w:t>
      </w:r>
      <w:r w:rsidRPr="00F32D25">
        <w:rPr>
          <w:rFonts w:cs="Times New Roman"/>
          <w:color w:val="000000" w:themeColor="text1"/>
          <w:szCs w:val="22"/>
        </w:rPr>
        <w:t xml:space="preserve"> less than </w:t>
      </w:r>
      <w:r w:rsidR="00805D33">
        <w:rPr>
          <w:rFonts w:cs="Times New Roman"/>
          <w:color w:val="000000" w:themeColor="text1"/>
          <w:szCs w:val="22"/>
        </w:rPr>
        <w:t xml:space="preserve">1 </w:t>
      </w:r>
      <w:r w:rsidRPr="00F32D25">
        <w:rPr>
          <w:rFonts w:cs="Times New Roman"/>
          <w:color w:val="000000" w:themeColor="text1"/>
          <w:szCs w:val="22"/>
        </w:rPr>
        <w:t xml:space="preserve">percent of </w:t>
      </w:r>
      <w:r w:rsidR="00805D33">
        <w:rPr>
          <w:rFonts w:cs="Times New Roman"/>
          <w:color w:val="000000" w:themeColor="text1"/>
          <w:szCs w:val="22"/>
        </w:rPr>
        <w:t xml:space="preserve">the </w:t>
      </w:r>
      <w:r w:rsidR="00E92386">
        <w:rPr>
          <w:rFonts w:cs="Times New Roman"/>
          <w:color w:val="000000" w:themeColor="text1"/>
          <w:szCs w:val="22"/>
        </w:rPr>
        <w:t>PIT</w:t>
      </w:r>
      <w:r>
        <w:rPr>
          <w:rFonts w:cs="Times New Roman"/>
          <w:color w:val="000000" w:themeColor="text1"/>
          <w:szCs w:val="22"/>
        </w:rPr>
        <w:t>.</w:t>
      </w:r>
      <w:r w:rsidRPr="00944170">
        <w:rPr>
          <w:rFonts w:cs="Times New Roman"/>
          <w:szCs w:val="22"/>
        </w:rPr>
        <w:t xml:space="preserve"> </w:t>
      </w:r>
      <w:r w:rsidR="006071DC">
        <w:rPr>
          <w:rFonts w:cs="Times New Roman"/>
          <w:color w:val="000000" w:themeColor="text1"/>
          <w:szCs w:val="22"/>
        </w:rPr>
        <w:t>D</w:t>
      </w:r>
      <w:r w:rsidR="006071DC" w:rsidRPr="00F32D25">
        <w:rPr>
          <w:rFonts w:cs="Times New Roman"/>
          <w:color w:val="000000" w:themeColor="text1"/>
          <w:szCs w:val="22"/>
        </w:rPr>
        <w:t xml:space="preserve">espite a flat tax </w:t>
      </w:r>
      <w:r w:rsidR="006071DC">
        <w:rPr>
          <w:rFonts w:cs="Times New Roman"/>
          <w:color w:val="000000" w:themeColor="text1"/>
          <w:szCs w:val="22"/>
        </w:rPr>
        <w:t xml:space="preserve">of </w:t>
      </w:r>
      <w:r w:rsidR="006071DC" w:rsidRPr="00F32D25">
        <w:rPr>
          <w:rFonts w:cs="Times New Roman"/>
          <w:color w:val="000000" w:themeColor="text1"/>
          <w:szCs w:val="22"/>
        </w:rPr>
        <w:t>15 percent</w:t>
      </w:r>
      <w:r w:rsidR="00233105">
        <w:rPr>
          <w:rFonts w:cs="Times New Roman"/>
          <w:color w:val="000000" w:themeColor="text1"/>
          <w:szCs w:val="22"/>
        </w:rPr>
        <w:t xml:space="preserve">, the PIT is </w:t>
      </w:r>
      <w:r w:rsidRPr="00F32D25">
        <w:rPr>
          <w:rFonts w:cs="Times New Roman"/>
          <w:color w:val="000000" w:themeColor="text1"/>
          <w:szCs w:val="22"/>
        </w:rPr>
        <w:t>progress</w:t>
      </w:r>
      <w:r w:rsidR="00233105">
        <w:rPr>
          <w:rFonts w:cs="Times New Roman"/>
          <w:color w:val="000000" w:themeColor="text1"/>
          <w:szCs w:val="22"/>
        </w:rPr>
        <w:t>ive thanks to</w:t>
      </w:r>
      <w:r w:rsidR="008F0D94">
        <w:rPr>
          <w:rFonts w:cs="Times New Roman"/>
          <w:color w:val="000000" w:themeColor="text1"/>
          <w:szCs w:val="22"/>
        </w:rPr>
        <w:t xml:space="preserve"> a system of </w:t>
      </w:r>
      <w:r w:rsidR="008F0D94" w:rsidRPr="00F32D25">
        <w:rPr>
          <w:rFonts w:cs="Times New Roman"/>
          <w:color w:val="000000" w:themeColor="text1"/>
          <w:szCs w:val="22"/>
        </w:rPr>
        <w:t>deductions</w:t>
      </w:r>
      <w:r w:rsidR="008F0D94">
        <w:rPr>
          <w:rFonts w:cs="Times New Roman"/>
          <w:color w:val="000000" w:themeColor="text1"/>
          <w:szCs w:val="22"/>
        </w:rPr>
        <w:t xml:space="preserve"> and</w:t>
      </w:r>
      <w:r w:rsidRPr="00F32D25">
        <w:rPr>
          <w:rFonts w:cs="Times New Roman"/>
          <w:color w:val="000000" w:themeColor="text1"/>
          <w:szCs w:val="22"/>
        </w:rPr>
        <w:t xml:space="preserve"> exemption thresholds that vary with household composition. </w:t>
      </w:r>
      <w:r w:rsidR="008F0D94">
        <w:rPr>
          <w:rFonts w:cs="Times New Roman"/>
          <w:color w:val="000000" w:themeColor="text1"/>
          <w:szCs w:val="22"/>
        </w:rPr>
        <w:t xml:space="preserve">The </w:t>
      </w:r>
      <w:r w:rsidR="008B60D5">
        <w:rPr>
          <w:rFonts w:cs="Times New Roman"/>
          <w:color w:val="000000" w:themeColor="text1"/>
          <w:szCs w:val="22"/>
        </w:rPr>
        <w:t xml:space="preserve">progressivity </w:t>
      </w:r>
      <w:r w:rsidR="008F0D94">
        <w:rPr>
          <w:rFonts w:cs="Times New Roman"/>
          <w:color w:val="000000" w:themeColor="text1"/>
          <w:szCs w:val="22"/>
        </w:rPr>
        <w:t xml:space="preserve">has </w:t>
      </w:r>
      <w:r w:rsidR="008B60D5">
        <w:rPr>
          <w:rFonts w:cs="Times New Roman"/>
          <w:color w:val="000000" w:themeColor="text1"/>
          <w:szCs w:val="22"/>
        </w:rPr>
        <w:t>i</w:t>
      </w:r>
      <w:r w:rsidR="00A072F7">
        <w:rPr>
          <w:rFonts w:cs="Times New Roman"/>
          <w:color w:val="000000" w:themeColor="text1"/>
          <w:szCs w:val="22"/>
        </w:rPr>
        <w:t>ncrease</w:t>
      </w:r>
      <w:r w:rsidR="008F0D94">
        <w:rPr>
          <w:rFonts w:cs="Times New Roman"/>
          <w:color w:val="000000" w:themeColor="text1"/>
          <w:szCs w:val="22"/>
        </w:rPr>
        <w:t>d</w:t>
      </w:r>
      <w:r w:rsidR="00A072F7">
        <w:rPr>
          <w:rFonts w:cs="Times New Roman"/>
          <w:color w:val="000000" w:themeColor="text1"/>
          <w:szCs w:val="22"/>
        </w:rPr>
        <w:t xml:space="preserve"> with t</w:t>
      </w:r>
      <w:r w:rsidR="00DC44A4" w:rsidRPr="004B091A">
        <w:rPr>
          <w:rFonts w:cs="Times New Roman"/>
          <w:szCs w:val="22"/>
        </w:rPr>
        <w:t xml:space="preserve">he </w:t>
      </w:r>
      <w:r w:rsidR="00A72268">
        <w:rPr>
          <w:rFonts w:cs="Times New Roman"/>
          <w:szCs w:val="22"/>
        </w:rPr>
        <w:t>recently introduced</w:t>
      </w:r>
      <w:r w:rsidR="00DC44A4" w:rsidRPr="004B091A">
        <w:rPr>
          <w:rFonts w:cs="Times New Roman"/>
          <w:szCs w:val="22"/>
        </w:rPr>
        <w:t xml:space="preserve"> additional tax bracket (up to </w:t>
      </w:r>
      <w:r w:rsidR="00C465B1">
        <w:rPr>
          <w:rFonts w:cs="Times New Roman"/>
          <w:szCs w:val="22"/>
        </w:rPr>
        <w:t xml:space="preserve">MUR </w:t>
      </w:r>
      <w:r w:rsidR="00DC44A4" w:rsidRPr="004B091A">
        <w:rPr>
          <w:rFonts w:cs="Times New Roman"/>
          <w:szCs w:val="22"/>
        </w:rPr>
        <w:t>650,000</w:t>
      </w:r>
      <w:r w:rsidR="00DC44A4">
        <w:rPr>
          <w:rFonts w:cs="Times New Roman"/>
          <w:szCs w:val="22"/>
        </w:rPr>
        <w:t xml:space="preserve"> income</w:t>
      </w:r>
      <w:r w:rsidR="00E95B06">
        <w:rPr>
          <w:rFonts w:cs="Times New Roman"/>
          <w:szCs w:val="22"/>
        </w:rPr>
        <w:t>) that</w:t>
      </w:r>
      <w:r w:rsidR="00DC44A4">
        <w:rPr>
          <w:rFonts w:cs="Times New Roman"/>
          <w:szCs w:val="22"/>
        </w:rPr>
        <w:t xml:space="preserve"> is taxed at 10 percent. </w:t>
      </w:r>
      <w:r w:rsidR="00805D33">
        <w:rPr>
          <w:rFonts w:cs="Times New Roman"/>
          <w:szCs w:val="22"/>
        </w:rPr>
        <w:t xml:space="preserve">The </w:t>
      </w:r>
      <w:r>
        <w:rPr>
          <w:rFonts w:cs="Times New Roman"/>
          <w:color w:val="000000" w:themeColor="text1"/>
          <w:szCs w:val="22"/>
        </w:rPr>
        <w:t>PIT slightly decreases inequality</w:t>
      </w:r>
      <w:r w:rsidR="00540299">
        <w:rPr>
          <w:rFonts w:cs="Times New Roman"/>
          <w:color w:val="000000" w:themeColor="text1"/>
          <w:szCs w:val="22"/>
        </w:rPr>
        <w:t>;</w:t>
      </w:r>
      <w:r>
        <w:rPr>
          <w:rFonts w:cs="Times New Roman"/>
          <w:color w:val="000000" w:themeColor="text1"/>
          <w:szCs w:val="22"/>
        </w:rPr>
        <w:t xml:space="preserve"> yet it does not </w:t>
      </w:r>
      <w:r w:rsidR="00E407F1">
        <w:rPr>
          <w:rFonts w:cs="Times New Roman"/>
          <w:color w:val="000000" w:themeColor="text1"/>
          <w:szCs w:val="22"/>
        </w:rPr>
        <w:t>have</w:t>
      </w:r>
      <w:r>
        <w:rPr>
          <w:rFonts w:cs="Times New Roman"/>
          <w:color w:val="000000" w:themeColor="text1"/>
          <w:szCs w:val="22"/>
        </w:rPr>
        <w:t xml:space="preserve"> any sizable effect on the poverty headcount</w:t>
      </w:r>
      <w:r w:rsidR="00F91A7B">
        <w:rPr>
          <w:rFonts w:cs="Times New Roman"/>
          <w:color w:val="000000" w:themeColor="text1"/>
          <w:szCs w:val="22"/>
        </w:rPr>
        <w:t xml:space="preserve"> rat</w:t>
      </w:r>
      <w:r w:rsidR="00540299">
        <w:rPr>
          <w:rFonts w:cs="Times New Roman"/>
          <w:color w:val="000000" w:themeColor="text1"/>
          <w:szCs w:val="22"/>
        </w:rPr>
        <w:t>io</w:t>
      </w:r>
      <w:r>
        <w:rPr>
          <w:rFonts w:cs="Times New Roman"/>
          <w:color w:val="000000" w:themeColor="text1"/>
          <w:szCs w:val="22"/>
        </w:rPr>
        <w:t>.</w:t>
      </w:r>
      <w:r w:rsidR="008A5722">
        <w:rPr>
          <w:rFonts w:cs="Times New Roman"/>
          <w:color w:val="000000" w:themeColor="text1"/>
          <w:szCs w:val="22"/>
        </w:rPr>
        <w:t xml:space="preserve"> </w:t>
      </w:r>
      <w:r w:rsidR="008A5722" w:rsidRPr="00651B47">
        <w:rPr>
          <w:rFonts w:cs="Times New Roman"/>
          <w:color w:val="000000" w:themeColor="text1"/>
          <w:szCs w:val="22"/>
        </w:rPr>
        <w:t xml:space="preserve">The simulated impact of the </w:t>
      </w:r>
      <w:r w:rsidR="00540299" w:rsidRPr="00540299">
        <w:rPr>
          <w:rFonts w:cs="Times New Roman"/>
          <w:color w:val="000000" w:themeColor="text1"/>
          <w:szCs w:val="22"/>
        </w:rPr>
        <w:t xml:space="preserve">negative income tax allowance </w:t>
      </w:r>
      <w:r w:rsidR="00540299">
        <w:rPr>
          <w:rFonts w:cs="Times New Roman"/>
          <w:color w:val="000000" w:themeColor="text1"/>
          <w:szCs w:val="22"/>
        </w:rPr>
        <w:t>(</w:t>
      </w:r>
      <w:r w:rsidR="008A5722" w:rsidRPr="00651B47">
        <w:rPr>
          <w:rFonts w:cs="Times New Roman"/>
          <w:color w:val="000000" w:themeColor="text1"/>
          <w:szCs w:val="22"/>
        </w:rPr>
        <w:t>NIT</w:t>
      </w:r>
      <w:r w:rsidR="00540299">
        <w:rPr>
          <w:rFonts w:cs="Times New Roman"/>
          <w:color w:val="000000" w:themeColor="text1"/>
          <w:szCs w:val="22"/>
        </w:rPr>
        <w:t>)</w:t>
      </w:r>
      <w:r w:rsidR="008A5722" w:rsidRPr="00651B47">
        <w:rPr>
          <w:rFonts w:cs="Times New Roman"/>
          <w:color w:val="000000" w:themeColor="text1"/>
          <w:szCs w:val="22"/>
        </w:rPr>
        <w:t xml:space="preserve"> </w:t>
      </w:r>
      <w:r w:rsidR="00651B47" w:rsidRPr="00651B47">
        <w:rPr>
          <w:rFonts w:cs="Times New Roman"/>
          <w:color w:val="000000" w:themeColor="text1"/>
          <w:szCs w:val="22"/>
        </w:rPr>
        <w:t>show that the instrument</w:t>
      </w:r>
      <w:r w:rsidR="008A5722" w:rsidRPr="00651B47">
        <w:rPr>
          <w:rFonts w:cs="Times New Roman"/>
          <w:color w:val="000000" w:themeColor="text1"/>
          <w:szCs w:val="22"/>
        </w:rPr>
        <w:t xml:space="preserve"> is poverty and inequality reducing. The bottom 40 percent </w:t>
      </w:r>
      <w:r w:rsidR="008F0D94">
        <w:rPr>
          <w:rFonts w:cs="Times New Roman"/>
          <w:color w:val="000000" w:themeColor="text1"/>
          <w:szCs w:val="22"/>
        </w:rPr>
        <w:t xml:space="preserve">of the income distribution (the bottom 40) </w:t>
      </w:r>
      <w:r w:rsidR="008A5722" w:rsidRPr="00651B47">
        <w:rPr>
          <w:rFonts w:cs="Times New Roman"/>
          <w:color w:val="000000" w:themeColor="text1"/>
          <w:szCs w:val="22"/>
        </w:rPr>
        <w:t xml:space="preserve">receives 47 percent of the </w:t>
      </w:r>
      <w:r w:rsidR="008F0D94">
        <w:rPr>
          <w:rFonts w:cs="Times New Roman"/>
          <w:color w:val="000000" w:themeColor="text1"/>
          <w:szCs w:val="22"/>
        </w:rPr>
        <w:t xml:space="preserve">NIT, while </w:t>
      </w:r>
      <w:r w:rsidR="008A5722">
        <w:t xml:space="preserve">less than 1 percent </w:t>
      </w:r>
      <w:r w:rsidR="008F0D94">
        <w:t xml:space="preserve">is received by </w:t>
      </w:r>
      <w:r w:rsidR="008A5722">
        <w:t>households in the top decile</w:t>
      </w:r>
      <w:r w:rsidR="00651B47">
        <w:t>.</w:t>
      </w:r>
    </w:p>
    <w:p w14:paraId="368560FD" w14:textId="69AF3B92" w:rsidR="00FA6451" w:rsidRPr="004E3E55" w:rsidRDefault="00FA6451" w:rsidP="00FA6451">
      <w:pPr>
        <w:pStyle w:val="ListNumber"/>
        <w:numPr>
          <w:ilvl w:val="0"/>
          <w:numId w:val="0"/>
        </w:numPr>
        <w:rPr>
          <w:rFonts w:ascii="Times New Roman" w:hAnsi="Times New Roman" w:cs="Times New Roman"/>
        </w:rPr>
      </w:pPr>
      <w:r>
        <w:rPr>
          <w:rFonts w:ascii="Times New Roman" w:hAnsi="Times New Roman" w:cs="Times New Roman"/>
          <w:b/>
        </w:rPr>
        <w:t>Cash</w:t>
      </w:r>
      <w:r w:rsidRPr="00944170">
        <w:rPr>
          <w:rFonts w:ascii="Times New Roman" w:hAnsi="Times New Roman" w:cs="Times New Roman"/>
          <w:b/>
        </w:rPr>
        <w:t xml:space="preserve"> transfer programs </w:t>
      </w:r>
      <w:r>
        <w:rPr>
          <w:rFonts w:ascii="Times New Roman" w:hAnsi="Times New Roman" w:cs="Times New Roman"/>
          <w:b/>
        </w:rPr>
        <w:t xml:space="preserve">are progressive and pro-poor, except for the </w:t>
      </w:r>
      <w:r w:rsidR="00540299">
        <w:rPr>
          <w:rFonts w:ascii="Times New Roman" w:hAnsi="Times New Roman" w:cs="Times New Roman"/>
          <w:b/>
        </w:rPr>
        <w:t>basic retirement pension</w:t>
      </w:r>
      <w:r w:rsidR="00540299">
        <w:rPr>
          <w:rFonts w:ascii="Times New Roman" w:hAnsi="Times New Roman" w:cs="Times New Roman"/>
        </w:rPr>
        <w:t xml:space="preserve"> (BRP)</w:t>
      </w:r>
      <w:r w:rsidRPr="00727D48">
        <w:rPr>
          <w:rFonts w:ascii="Times New Roman" w:hAnsi="Times New Roman" w:cs="Times New Roman"/>
        </w:rPr>
        <w:t>.</w:t>
      </w:r>
      <w:r w:rsidRPr="00540299">
        <w:rPr>
          <w:rFonts w:ascii="Times New Roman" w:hAnsi="Times New Roman" w:cs="Times New Roman"/>
        </w:rPr>
        <w:t xml:space="preserve"> </w:t>
      </w:r>
      <w:r>
        <w:rPr>
          <w:rFonts w:ascii="Times New Roman" w:hAnsi="Times New Roman" w:cs="Times New Roman"/>
        </w:rPr>
        <w:t>With social protection accounting for about 23 percent of total public spending, the social protection system includes both universal and targeted cash transfer programs. Social protection spending contributes to reduc</w:t>
      </w:r>
      <w:r w:rsidR="00124B5C">
        <w:rPr>
          <w:rFonts w:ascii="Times New Roman" w:hAnsi="Times New Roman" w:cs="Times New Roman"/>
        </w:rPr>
        <w:t>ing</w:t>
      </w:r>
      <w:r>
        <w:rPr>
          <w:rFonts w:ascii="Times New Roman" w:hAnsi="Times New Roman" w:cs="Times New Roman"/>
        </w:rPr>
        <w:t xml:space="preserve"> poverty and inequality. </w:t>
      </w:r>
      <w:r w:rsidRPr="00E247DB">
        <w:rPr>
          <w:rFonts w:ascii="Times New Roman" w:hAnsi="Times New Roman" w:cs="Times New Roman"/>
        </w:rPr>
        <w:t>The reduction in inequality is estimated at 4.5 Gini points</w:t>
      </w:r>
      <w:r>
        <w:rPr>
          <w:rFonts w:ascii="Times New Roman" w:hAnsi="Times New Roman" w:cs="Times New Roman"/>
        </w:rPr>
        <w:t>, with BRP explaining the largest share of the reduction. BRP, which alone accounts for</w:t>
      </w:r>
      <w:r w:rsidRPr="006A5219">
        <w:rPr>
          <w:rFonts w:ascii="Times New Roman" w:hAnsi="Times New Roman" w:cs="Times New Roman"/>
        </w:rPr>
        <w:t xml:space="preserve"> about 50 percent of social protection spending, </w:t>
      </w:r>
      <w:r>
        <w:rPr>
          <w:rFonts w:ascii="Times New Roman" w:hAnsi="Times New Roman" w:cs="Times New Roman"/>
        </w:rPr>
        <w:t xml:space="preserve">is a universal pension benefit that every Mauritian receives from age 60. Although poverty and inequality reducing, BRP </w:t>
      </w:r>
      <w:r w:rsidR="00124B5C">
        <w:rPr>
          <w:rFonts w:ascii="Times New Roman" w:hAnsi="Times New Roman" w:cs="Times New Roman"/>
        </w:rPr>
        <w:t xml:space="preserve">also </w:t>
      </w:r>
      <w:r>
        <w:rPr>
          <w:rFonts w:ascii="Times New Roman" w:hAnsi="Times New Roman" w:cs="Times New Roman"/>
        </w:rPr>
        <w:t xml:space="preserve">reaches the most affluent households and represents an ineffective use of public resources. </w:t>
      </w:r>
      <w:r w:rsidR="007E76C8">
        <w:rPr>
          <w:rFonts w:ascii="Times New Roman" w:hAnsi="Times New Roman" w:cs="Times New Roman"/>
        </w:rPr>
        <w:t>The same</w:t>
      </w:r>
      <w:r w:rsidR="00C638B9">
        <w:rPr>
          <w:rFonts w:ascii="Times New Roman" w:hAnsi="Times New Roman" w:cs="Times New Roman"/>
        </w:rPr>
        <w:t xml:space="preserve"> effect on inequality could be achieved by spending 30 percent of what </w:t>
      </w:r>
      <w:r w:rsidR="00C67B6F">
        <w:rPr>
          <w:rFonts w:ascii="Times New Roman" w:hAnsi="Times New Roman" w:cs="Times New Roman"/>
        </w:rPr>
        <w:t xml:space="preserve">is currently devoted to </w:t>
      </w:r>
      <w:r w:rsidR="00124B5C">
        <w:rPr>
          <w:rFonts w:ascii="Times New Roman" w:hAnsi="Times New Roman" w:cs="Times New Roman"/>
        </w:rPr>
        <w:t xml:space="preserve">the </w:t>
      </w:r>
      <w:r w:rsidR="00C67B6F">
        <w:rPr>
          <w:rFonts w:ascii="Times New Roman" w:hAnsi="Times New Roman" w:cs="Times New Roman"/>
        </w:rPr>
        <w:t xml:space="preserve">BRP. </w:t>
      </w:r>
      <w:r w:rsidR="00545382">
        <w:rPr>
          <w:rFonts w:ascii="Times New Roman" w:hAnsi="Times New Roman" w:cs="Times New Roman"/>
        </w:rPr>
        <w:t xml:space="preserve">Similarly, the same </w:t>
      </w:r>
      <w:r w:rsidR="005E53F7">
        <w:rPr>
          <w:rFonts w:ascii="Times New Roman" w:hAnsi="Times New Roman" w:cs="Times New Roman"/>
        </w:rPr>
        <w:t>reduction</w:t>
      </w:r>
      <w:r w:rsidR="00545382">
        <w:rPr>
          <w:rFonts w:ascii="Times New Roman" w:hAnsi="Times New Roman" w:cs="Times New Roman"/>
        </w:rPr>
        <w:t xml:space="preserve"> in </w:t>
      </w:r>
      <w:r w:rsidR="005E53F7">
        <w:rPr>
          <w:rFonts w:ascii="Times New Roman" w:hAnsi="Times New Roman" w:cs="Times New Roman"/>
        </w:rPr>
        <w:t xml:space="preserve">the distance between household income and the </w:t>
      </w:r>
      <w:r w:rsidR="00545382">
        <w:rPr>
          <w:rFonts w:ascii="Times New Roman" w:hAnsi="Times New Roman" w:cs="Times New Roman"/>
        </w:rPr>
        <w:t>poverty</w:t>
      </w:r>
      <w:r w:rsidR="005E53F7">
        <w:rPr>
          <w:rFonts w:ascii="Times New Roman" w:hAnsi="Times New Roman" w:cs="Times New Roman"/>
        </w:rPr>
        <w:t xml:space="preserve"> line</w:t>
      </w:r>
      <w:r w:rsidR="00545382">
        <w:rPr>
          <w:rFonts w:ascii="Times New Roman" w:hAnsi="Times New Roman" w:cs="Times New Roman"/>
        </w:rPr>
        <w:t xml:space="preserve"> could be obtained by spending </w:t>
      </w:r>
      <w:r w:rsidR="00E05FB4">
        <w:rPr>
          <w:rFonts w:ascii="Times New Roman" w:hAnsi="Times New Roman" w:cs="Times New Roman"/>
        </w:rPr>
        <w:t>only 12 percent of what is</w:t>
      </w:r>
      <w:r w:rsidR="0053331E">
        <w:rPr>
          <w:rFonts w:ascii="Times New Roman" w:hAnsi="Times New Roman" w:cs="Times New Roman"/>
        </w:rPr>
        <w:t xml:space="preserve"> </w:t>
      </w:r>
      <w:r w:rsidR="00655C8E">
        <w:rPr>
          <w:rFonts w:ascii="Times New Roman" w:hAnsi="Times New Roman" w:cs="Times New Roman"/>
        </w:rPr>
        <w:t>currently direct</w:t>
      </w:r>
      <w:r w:rsidR="00F91A7B">
        <w:rPr>
          <w:rFonts w:ascii="Times New Roman" w:hAnsi="Times New Roman" w:cs="Times New Roman"/>
        </w:rPr>
        <w:t>ed</w:t>
      </w:r>
      <w:r w:rsidR="00655C8E">
        <w:rPr>
          <w:rFonts w:ascii="Times New Roman" w:hAnsi="Times New Roman" w:cs="Times New Roman"/>
        </w:rPr>
        <w:t xml:space="preserve"> to</w:t>
      </w:r>
      <w:r w:rsidR="0053331E">
        <w:rPr>
          <w:rFonts w:ascii="Times New Roman" w:hAnsi="Times New Roman" w:cs="Times New Roman"/>
        </w:rPr>
        <w:t xml:space="preserve"> </w:t>
      </w:r>
      <w:r w:rsidR="00124B5C">
        <w:rPr>
          <w:rFonts w:ascii="Times New Roman" w:hAnsi="Times New Roman" w:cs="Times New Roman"/>
        </w:rPr>
        <w:t xml:space="preserve">the </w:t>
      </w:r>
      <w:r w:rsidR="0053331E">
        <w:rPr>
          <w:rFonts w:ascii="Times New Roman" w:hAnsi="Times New Roman" w:cs="Times New Roman"/>
        </w:rPr>
        <w:t>BR</w:t>
      </w:r>
      <w:r w:rsidR="00F91A7B">
        <w:rPr>
          <w:rFonts w:ascii="Times New Roman" w:hAnsi="Times New Roman" w:cs="Times New Roman"/>
        </w:rPr>
        <w:t>P</w:t>
      </w:r>
      <w:r w:rsidR="0053331E">
        <w:rPr>
          <w:rFonts w:ascii="Times New Roman" w:hAnsi="Times New Roman" w:cs="Times New Roman"/>
        </w:rPr>
        <w:t>.</w:t>
      </w:r>
      <w:r w:rsidR="00E05FB4">
        <w:rPr>
          <w:rFonts w:ascii="Times New Roman" w:hAnsi="Times New Roman" w:cs="Times New Roman"/>
        </w:rPr>
        <w:t xml:space="preserve"> </w:t>
      </w:r>
      <w:r>
        <w:rPr>
          <w:rFonts w:ascii="Times New Roman" w:hAnsi="Times New Roman" w:cs="Times New Roman"/>
        </w:rPr>
        <w:t>By contrast, t</w:t>
      </w:r>
      <w:r w:rsidRPr="005447C3">
        <w:rPr>
          <w:rFonts w:ascii="Times New Roman" w:hAnsi="Times New Roman" w:cs="Times New Roman"/>
        </w:rPr>
        <w:t xml:space="preserve">he </w:t>
      </w:r>
      <w:r w:rsidR="00DD7D98">
        <w:rPr>
          <w:rFonts w:ascii="Times New Roman" w:hAnsi="Times New Roman" w:cs="Times New Roman"/>
        </w:rPr>
        <w:t>S</w:t>
      </w:r>
      <w:r w:rsidRPr="005447C3">
        <w:rPr>
          <w:rFonts w:ascii="Times New Roman" w:hAnsi="Times New Roman" w:cs="Times New Roman"/>
        </w:rPr>
        <w:t xml:space="preserve">ocial </w:t>
      </w:r>
      <w:r w:rsidR="00DD7D98">
        <w:rPr>
          <w:rFonts w:ascii="Times New Roman" w:hAnsi="Times New Roman" w:cs="Times New Roman"/>
        </w:rPr>
        <w:t>A</w:t>
      </w:r>
      <w:r w:rsidRPr="005447C3">
        <w:rPr>
          <w:rFonts w:ascii="Times New Roman" w:hAnsi="Times New Roman" w:cs="Times New Roman"/>
        </w:rPr>
        <w:t xml:space="preserve">id </w:t>
      </w:r>
      <w:r w:rsidR="00124B5C">
        <w:rPr>
          <w:rFonts w:ascii="Times New Roman" w:hAnsi="Times New Roman" w:cs="Times New Roman"/>
        </w:rPr>
        <w:t>P</w:t>
      </w:r>
      <w:r w:rsidRPr="005447C3">
        <w:rPr>
          <w:rFonts w:ascii="Times New Roman" w:hAnsi="Times New Roman" w:cs="Times New Roman"/>
        </w:rPr>
        <w:t xml:space="preserve">rogram, which is targeted </w:t>
      </w:r>
      <w:r w:rsidR="00124B5C">
        <w:rPr>
          <w:rFonts w:ascii="Times New Roman" w:hAnsi="Times New Roman" w:cs="Times New Roman"/>
        </w:rPr>
        <w:t xml:space="preserve">on </w:t>
      </w:r>
      <w:r w:rsidRPr="005447C3">
        <w:rPr>
          <w:rFonts w:ascii="Times New Roman" w:hAnsi="Times New Roman" w:cs="Times New Roman"/>
        </w:rPr>
        <w:t xml:space="preserve">households temporarily unable to earn a livelihood, is pro-poor: over 85 percent is absorbed by households </w:t>
      </w:r>
      <w:r w:rsidR="00124B5C">
        <w:rPr>
          <w:rFonts w:ascii="Times New Roman" w:hAnsi="Times New Roman" w:cs="Times New Roman"/>
        </w:rPr>
        <w:t xml:space="preserve">in </w:t>
      </w:r>
      <w:r w:rsidRPr="005447C3">
        <w:rPr>
          <w:rFonts w:ascii="Times New Roman" w:hAnsi="Times New Roman" w:cs="Times New Roman"/>
        </w:rPr>
        <w:t>the bottom 40.</w:t>
      </w:r>
      <w:r>
        <w:rPr>
          <w:rFonts w:ascii="Times New Roman" w:hAnsi="Times New Roman" w:cs="Times New Roman"/>
        </w:rPr>
        <w:t xml:space="preserve"> </w:t>
      </w:r>
      <w:r w:rsidR="00F0367E" w:rsidRPr="0068201B">
        <w:rPr>
          <w:rFonts w:ascii="Times New Roman" w:hAnsi="Times New Roman" w:cs="Times New Roman"/>
        </w:rPr>
        <w:t>The Marshall Plan Social Contract provides a monthly allowance to low-income households that appears to be well</w:t>
      </w:r>
      <w:r w:rsidR="00124B5C">
        <w:rPr>
          <w:rFonts w:ascii="Times New Roman" w:hAnsi="Times New Roman" w:cs="Times New Roman"/>
        </w:rPr>
        <w:t xml:space="preserve"> </w:t>
      </w:r>
      <w:r w:rsidR="00F0367E" w:rsidRPr="0068201B">
        <w:rPr>
          <w:rFonts w:ascii="Times New Roman" w:hAnsi="Times New Roman" w:cs="Times New Roman"/>
        </w:rPr>
        <w:t xml:space="preserve">targeted: about 94 percent of the cash transfers provided under this scheme </w:t>
      </w:r>
      <w:r w:rsidR="00124B5C">
        <w:rPr>
          <w:rFonts w:ascii="Times New Roman" w:hAnsi="Times New Roman" w:cs="Times New Roman"/>
        </w:rPr>
        <w:t>are</w:t>
      </w:r>
      <w:r w:rsidR="00F0367E" w:rsidRPr="0068201B">
        <w:rPr>
          <w:rFonts w:ascii="Times New Roman" w:hAnsi="Times New Roman" w:cs="Times New Roman"/>
        </w:rPr>
        <w:t xml:space="preserve"> absorbed by households in the bottom 20 percent of the </w:t>
      </w:r>
      <w:r w:rsidR="00C11058">
        <w:rPr>
          <w:rFonts w:ascii="Times New Roman" w:hAnsi="Times New Roman" w:cs="Times New Roman"/>
        </w:rPr>
        <w:t>pre</w:t>
      </w:r>
      <w:r w:rsidR="00F0367E" w:rsidRPr="0068201B">
        <w:rPr>
          <w:rFonts w:ascii="Times New Roman" w:hAnsi="Times New Roman" w:cs="Times New Roman"/>
        </w:rPr>
        <w:t xml:space="preserve">fiscal income distribution, and no allowance is received by households in the top 60 percent. </w:t>
      </w:r>
      <w:r w:rsidR="00C5478C">
        <w:rPr>
          <w:rFonts w:ascii="Times New Roman" w:hAnsi="Times New Roman" w:cs="Times New Roman"/>
        </w:rPr>
        <w:t xml:space="preserve">This targeted program </w:t>
      </w:r>
      <w:r w:rsidR="00F0367E" w:rsidRPr="0068201B">
        <w:rPr>
          <w:rFonts w:ascii="Times New Roman" w:hAnsi="Times New Roman" w:cs="Times New Roman"/>
        </w:rPr>
        <w:t>generate</w:t>
      </w:r>
      <w:r w:rsidR="00C5478C">
        <w:rPr>
          <w:rFonts w:ascii="Times New Roman" w:hAnsi="Times New Roman" w:cs="Times New Roman"/>
        </w:rPr>
        <w:t>s</w:t>
      </w:r>
      <w:r w:rsidR="00F0367E" w:rsidRPr="0068201B">
        <w:rPr>
          <w:rFonts w:ascii="Times New Roman" w:hAnsi="Times New Roman" w:cs="Times New Roman"/>
        </w:rPr>
        <w:t xml:space="preserve"> a more equal distribution of income </w:t>
      </w:r>
      <w:r w:rsidR="00C8336A">
        <w:rPr>
          <w:rFonts w:ascii="Times New Roman" w:hAnsi="Times New Roman" w:cs="Times New Roman"/>
        </w:rPr>
        <w:t>and is superior to untargeted transfers such as n</w:t>
      </w:r>
      <w:r w:rsidR="004C6E0D">
        <w:rPr>
          <w:rFonts w:ascii="Times New Roman" w:hAnsi="Times New Roman" w:cs="Times New Roman"/>
        </w:rPr>
        <w:t>on</w:t>
      </w:r>
      <w:r w:rsidR="00C8336A">
        <w:rPr>
          <w:rFonts w:ascii="Times New Roman" w:hAnsi="Times New Roman" w:cs="Times New Roman"/>
        </w:rPr>
        <w:t xml:space="preserve">contributory pensions </w:t>
      </w:r>
      <w:r w:rsidR="00124B5C">
        <w:rPr>
          <w:rFonts w:ascii="Times New Roman" w:hAnsi="Times New Roman" w:cs="Times New Roman"/>
        </w:rPr>
        <w:t xml:space="preserve">because </w:t>
      </w:r>
      <w:r w:rsidR="00C8336A">
        <w:rPr>
          <w:rFonts w:ascii="Times New Roman" w:hAnsi="Times New Roman" w:cs="Times New Roman"/>
        </w:rPr>
        <w:t xml:space="preserve">it is able to achieve the same degree of poverty and inequality reduction with </w:t>
      </w:r>
      <w:r w:rsidR="00124B5C">
        <w:rPr>
          <w:rFonts w:ascii="Times New Roman" w:hAnsi="Times New Roman" w:cs="Times New Roman"/>
        </w:rPr>
        <w:t xml:space="preserve">fewer </w:t>
      </w:r>
      <w:r w:rsidR="00C8336A">
        <w:rPr>
          <w:rFonts w:ascii="Times New Roman" w:hAnsi="Times New Roman" w:cs="Times New Roman"/>
        </w:rPr>
        <w:t>resources</w:t>
      </w:r>
      <w:r w:rsidR="00F0367E" w:rsidRPr="0068201B">
        <w:rPr>
          <w:rFonts w:ascii="Times New Roman" w:hAnsi="Times New Roman" w:cs="Times New Roman"/>
        </w:rPr>
        <w:t>.</w:t>
      </w:r>
    </w:p>
    <w:p w14:paraId="35E6A94B" w14:textId="1548DC13" w:rsidR="00FA6451" w:rsidRPr="003B1C74" w:rsidRDefault="00FA6451" w:rsidP="00FA6451">
      <w:pPr>
        <w:pStyle w:val="ListNumber"/>
        <w:numPr>
          <w:ilvl w:val="0"/>
          <w:numId w:val="0"/>
        </w:numPr>
      </w:pPr>
      <w:r w:rsidRPr="0006094E">
        <w:rPr>
          <w:rFonts w:ascii="Times New Roman" w:hAnsi="Times New Roman" w:cs="Times New Roman"/>
          <w:b/>
        </w:rPr>
        <w:t xml:space="preserve">Indirect taxes are unequalizing </w:t>
      </w:r>
      <w:r w:rsidR="00F0367E">
        <w:rPr>
          <w:rFonts w:ascii="Times New Roman" w:hAnsi="Times New Roman" w:cs="Times New Roman"/>
          <w:b/>
        </w:rPr>
        <w:t xml:space="preserve">in the short term </w:t>
      </w:r>
      <w:r w:rsidRPr="0006094E">
        <w:rPr>
          <w:rFonts w:ascii="Times New Roman" w:hAnsi="Times New Roman" w:cs="Times New Roman"/>
          <w:b/>
        </w:rPr>
        <w:t xml:space="preserve">and result in </w:t>
      </w:r>
      <w:r w:rsidR="00124B5C">
        <w:rPr>
          <w:rFonts w:ascii="Times New Roman" w:hAnsi="Times New Roman" w:cs="Times New Roman"/>
          <w:b/>
        </w:rPr>
        <w:t xml:space="preserve">a </w:t>
      </w:r>
      <w:r w:rsidRPr="0006094E">
        <w:rPr>
          <w:rFonts w:ascii="Times New Roman" w:hAnsi="Times New Roman" w:cs="Times New Roman"/>
          <w:b/>
        </w:rPr>
        <w:t>sizable increase in poverty.</w:t>
      </w:r>
      <w:r w:rsidRPr="0006094E">
        <w:rPr>
          <w:rFonts w:ascii="Times New Roman" w:hAnsi="Times New Roman" w:cs="Times New Roman"/>
        </w:rPr>
        <w:t xml:space="preserve"> </w:t>
      </w:r>
      <w:r>
        <w:rPr>
          <w:rFonts w:ascii="Times New Roman" w:hAnsi="Times New Roman" w:cs="Times New Roman"/>
        </w:rPr>
        <w:t>In Mauritius</w:t>
      </w:r>
      <w:r w:rsidR="00124B5C">
        <w:rPr>
          <w:rFonts w:ascii="Times New Roman" w:hAnsi="Times New Roman" w:cs="Times New Roman"/>
        </w:rPr>
        <w:t>,</w:t>
      </w:r>
      <w:r>
        <w:rPr>
          <w:rFonts w:ascii="Times New Roman" w:hAnsi="Times New Roman" w:cs="Times New Roman"/>
        </w:rPr>
        <w:t xml:space="preserve"> the </w:t>
      </w:r>
      <w:r w:rsidR="008338E4">
        <w:rPr>
          <w:rFonts w:ascii="Times New Roman" w:hAnsi="Times New Roman" w:cs="Times New Roman"/>
        </w:rPr>
        <w:t>value added tax (</w:t>
      </w:r>
      <w:r>
        <w:rPr>
          <w:rFonts w:ascii="Times New Roman" w:hAnsi="Times New Roman" w:cs="Times New Roman"/>
        </w:rPr>
        <w:t>VAT</w:t>
      </w:r>
      <w:r w:rsidR="008338E4">
        <w:rPr>
          <w:rFonts w:ascii="Times New Roman" w:hAnsi="Times New Roman" w:cs="Times New Roman"/>
        </w:rPr>
        <w:t>)</w:t>
      </w:r>
      <w:r>
        <w:rPr>
          <w:rFonts w:ascii="Times New Roman" w:hAnsi="Times New Roman" w:cs="Times New Roman"/>
        </w:rPr>
        <w:t xml:space="preserve"> rate is 15 percent; e</w:t>
      </w:r>
      <w:r w:rsidRPr="0006094E">
        <w:rPr>
          <w:rFonts w:ascii="Times New Roman" w:hAnsi="Times New Roman" w:cs="Times New Roman"/>
        </w:rPr>
        <w:t>xcise duties on alcohol</w:t>
      </w:r>
      <w:r>
        <w:rPr>
          <w:rFonts w:ascii="Times New Roman" w:hAnsi="Times New Roman" w:cs="Times New Roman"/>
        </w:rPr>
        <w:t>,</w:t>
      </w:r>
      <w:r w:rsidRPr="0006094E">
        <w:rPr>
          <w:rFonts w:ascii="Times New Roman" w:hAnsi="Times New Roman" w:cs="Times New Roman"/>
        </w:rPr>
        <w:t xml:space="preserve"> tobacco, and </w:t>
      </w:r>
      <w:r>
        <w:rPr>
          <w:rFonts w:ascii="Times New Roman" w:hAnsi="Times New Roman" w:cs="Times New Roman"/>
        </w:rPr>
        <w:t>petroleum products</w:t>
      </w:r>
      <w:r w:rsidRPr="0006094E">
        <w:rPr>
          <w:rFonts w:ascii="Times New Roman" w:hAnsi="Times New Roman" w:cs="Times New Roman"/>
        </w:rPr>
        <w:t xml:space="preserve"> account for </w:t>
      </w:r>
      <w:r>
        <w:rPr>
          <w:rFonts w:ascii="Times New Roman" w:hAnsi="Times New Roman" w:cs="Times New Roman"/>
        </w:rPr>
        <w:t>about</w:t>
      </w:r>
      <w:r w:rsidRPr="0006094E">
        <w:rPr>
          <w:rFonts w:ascii="Times New Roman" w:hAnsi="Times New Roman" w:cs="Times New Roman"/>
        </w:rPr>
        <w:t xml:space="preserve"> 80 percent of </w:t>
      </w:r>
      <w:r w:rsidR="00124B5C">
        <w:rPr>
          <w:rFonts w:ascii="Times New Roman" w:hAnsi="Times New Roman" w:cs="Times New Roman"/>
        </w:rPr>
        <w:t xml:space="preserve">the </w:t>
      </w:r>
      <w:r w:rsidRPr="0006094E">
        <w:rPr>
          <w:rFonts w:ascii="Times New Roman" w:hAnsi="Times New Roman" w:cs="Times New Roman"/>
        </w:rPr>
        <w:t>revenues from this tax</w:t>
      </w:r>
      <w:r>
        <w:rPr>
          <w:rFonts w:ascii="Times New Roman" w:hAnsi="Times New Roman" w:cs="Times New Roman"/>
        </w:rPr>
        <w:t>.</w:t>
      </w:r>
      <w:r w:rsidRPr="0006094E">
        <w:rPr>
          <w:rFonts w:ascii="Times New Roman" w:hAnsi="Times New Roman" w:cs="Times New Roman"/>
        </w:rPr>
        <w:t xml:space="preserve"> </w:t>
      </w:r>
      <w:r w:rsidR="00A8466A">
        <w:rPr>
          <w:rFonts w:ascii="Times New Roman" w:hAnsi="Times New Roman" w:cs="Times New Roman"/>
        </w:rPr>
        <w:t>VAT and excise duties</w:t>
      </w:r>
      <w:r>
        <w:rPr>
          <w:rFonts w:ascii="Times New Roman" w:hAnsi="Times New Roman" w:cs="Times New Roman"/>
        </w:rPr>
        <w:t xml:space="preserve"> account for over 50 percent of total tax revenues. </w:t>
      </w:r>
      <w:r w:rsidRPr="00033714">
        <w:rPr>
          <w:rFonts w:ascii="Times New Roman" w:hAnsi="Times New Roman" w:cs="Times New Roman"/>
        </w:rPr>
        <w:t xml:space="preserve">The share of VAT in total household </w:t>
      </w:r>
      <w:r w:rsidR="00C11058">
        <w:rPr>
          <w:rFonts w:ascii="Times New Roman" w:hAnsi="Times New Roman" w:cs="Times New Roman"/>
        </w:rPr>
        <w:t>pre</w:t>
      </w:r>
      <w:r w:rsidRPr="00033714">
        <w:rPr>
          <w:rFonts w:ascii="Times New Roman" w:hAnsi="Times New Roman" w:cs="Times New Roman"/>
        </w:rPr>
        <w:t xml:space="preserve">fiscal income is </w:t>
      </w:r>
      <w:r w:rsidR="00821E9C">
        <w:rPr>
          <w:rFonts w:ascii="Times New Roman" w:hAnsi="Times New Roman" w:cs="Times New Roman"/>
        </w:rPr>
        <w:t>42</w:t>
      </w:r>
      <w:r w:rsidR="00DE737B">
        <w:rPr>
          <w:rFonts w:ascii="Times New Roman" w:hAnsi="Times New Roman" w:cs="Times New Roman"/>
        </w:rPr>
        <w:t>.6</w:t>
      </w:r>
      <w:r w:rsidRPr="00033714">
        <w:rPr>
          <w:rFonts w:ascii="Times New Roman" w:hAnsi="Times New Roman" w:cs="Times New Roman"/>
        </w:rPr>
        <w:t xml:space="preserve"> percent </w:t>
      </w:r>
      <w:r w:rsidR="00124B5C">
        <w:rPr>
          <w:rFonts w:ascii="Times New Roman" w:hAnsi="Times New Roman" w:cs="Times New Roman"/>
        </w:rPr>
        <w:t xml:space="preserve">among </w:t>
      </w:r>
      <w:r w:rsidRPr="00033714">
        <w:rPr>
          <w:rFonts w:ascii="Times New Roman" w:hAnsi="Times New Roman" w:cs="Times New Roman"/>
        </w:rPr>
        <w:t xml:space="preserve">the bottom 20 percent and </w:t>
      </w:r>
      <w:r w:rsidR="00DE737B">
        <w:rPr>
          <w:rFonts w:ascii="Times New Roman" w:hAnsi="Times New Roman" w:cs="Times New Roman"/>
        </w:rPr>
        <w:t>26.6</w:t>
      </w:r>
      <w:r w:rsidRPr="00033714">
        <w:rPr>
          <w:rFonts w:ascii="Times New Roman" w:hAnsi="Times New Roman" w:cs="Times New Roman"/>
        </w:rPr>
        <w:t xml:space="preserve"> percent </w:t>
      </w:r>
      <w:r w:rsidR="00124B5C">
        <w:rPr>
          <w:rFonts w:ascii="Times New Roman" w:hAnsi="Times New Roman" w:cs="Times New Roman"/>
        </w:rPr>
        <w:t xml:space="preserve">among </w:t>
      </w:r>
      <w:r w:rsidRPr="00033714">
        <w:rPr>
          <w:rFonts w:ascii="Times New Roman" w:hAnsi="Times New Roman" w:cs="Times New Roman"/>
        </w:rPr>
        <w:t xml:space="preserve">the top 20 percent </w:t>
      </w:r>
      <w:r w:rsidR="00124B5C">
        <w:rPr>
          <w:rFonts w:ascii="Times New Roman" w:hAnsi="Times New Roman" w:cs="Times New Roman"/>
        </w:rPr>
        <w:t xml:space="preserve">because </w:t>
      </w:r>
      <w:r w:rsidRPr="00033714">
        <w:rPr>
          <w:rFonts w:ascii="Times New Roman" w:hAnsi="Times New Roman" w:cs="Times New Roman"/>
        </w:rPr>
        <w:t>low-income households spend a larger share of their income</w:t>
      </w:r>
      <w:r w:rsidR="00124B5C">
        <w:rPr>
          <w:rFonts w:ascii="Times New Roman" w:hAnsi="Times New Roman" w:cs="Times New Roman"/>
        </w:rPr>
        <w:t>s</w:t>
      </w:r>
      <w:r w:rsidRPr="00033714">
        <w:rPr>
          <w:rFonts w:ascii="Times New Roman" w:hAnsi="Times New Roman" w:cs="Times New Roman"/>
        </w:rPr>
        <w:t xml:space="preserve"> on consumption relative to high-income households. Excises on alcohol and tobacco are globally regressive</w:t>
      </w:r>
      <w:r>
        <w:rPr>
          <w:rFonts w:ascii="Times New Roman" w:hAnsi="Times New Roman" w:cs="Times New Roman"/>
        </w:rPr>
        <w:t xml:space="preserve"> </w:t>
      </w:r>
      <w:r w:rsidR="00124B5C">
        <w:rPr>
          <w:rFonts w:ascii="Times New Roman" w:hAnsi="Times New Roman" w:cs="Times New Roman"/>
        </w:rPr>
        <w:t xml:space="preserve">because </w:t>
      </w:r>
      <w:r w:rsidRPr="00033714">
        <w:rPr>
          <w:rFonts w:ascii="Times New Roman" w:hAnsi="Times New Roman" w:cs="Times New Roman"/>
        </w:rPr>
        <w:t xml:space="preserve">the share of expenditures on alcohol and tobacco products in </w:t>
      </w:r>
      <w:r w:rsidR="00C11058">
        <w:rPr>
          <w:rFonts w:ascii="Times New Roman" w:hAnsi="Times New Roman" w:cs="Times New Roman"/>
        </w:rPr>
        <w:t>pre</w:t>
      </w:r>
      <w:r w:rsidRPr="00033714">
        <w:rPr>
          <w:rFonts w:ascii="Times New Roman" w:hAnsi="Times New Roman" w:cs="Times New Roman"/>
        </w:rPr>
        <w:t>fiscal income is significantly larger among the poorest households and declines with income</w:t>
      </w:r>
      <w:r>
        <w:rPr>
          <w:rFonts w:ascii="Times New Roman" w:hAnsi="Times New Roman" w:cs="Times New Roman"/>
        </w:rPr>
        <w:t>.</w:t>
      </w:r>
      <w:r w:rsidRPr="003B1C74">
        <w:rPr>
          <w:rFonts w:ascii="Times New Roman" w:hAnsi="Times New Roman" w:cs="Times New Roman"/>
        </w:rPr>
        <w:t xml:space="preserve"> Overall, the </w:t>
      </w:r>
      <w:r>
        <w:rPr>
          <w:rFonts w:ascii="Times New Roman" w:hAnsi="Times New Roman" w:cs="Times New Roman"/>
        </w:rPr>
        <w:t>VAT and excise duties increase</w:t>
      </w:r>
      <w:r w:rsidRPr="00720EC3">
        <w:rPr>
          <w:rFonts w:ascii="Times New Roman" w:hAnsi="Times New Roman" w:cs="Times New Roman"/>
        </w:rPr>
        <w:t xml:space="preserve"> inequality </w:t>
      </w:r>
      <w:r>
        <w:rPr>
          <w:rFonts w:ascii="Times New Roman" w:hAnsi="Times New Roman" w:cs="Times New Roman"/>
        </w:rPr>
        <w:t>by</w:t>
      </w:r>
      <w:r w:rsidRPr="00720EC3">
        <w:rPr>
          <w:rFonts w:ascii="Times New Roman" w:hAnsi="Times New Roman" w:cs="Times New Roman"/>
        </w:rPr>
        <w:t xml:space="preserve"> </w:t>
      </w:r>
      <w:r w:rsidR="008C6C5E">
        <w:rPr>
          <w:rFonts w:ascii="Times New Roman" w:hAnsi="Times New Roman" w:cs="Times New Roman"/>
        </w:rPr>
        <w:t>0.9</w:t>
      </w:r>
      <w:r w:rsidRPr="00720EC3">
        <w:rPr>
          <w:rFonts w:ascii="Times New Roman" w:hAnsi="Times New Roman" w:cs="Times New Roman"/>
        </w:rPr>
        <w:t xml:space="preserve"> Gini points</w:t>
      </w:r>
      <w:r>
        <w:rPr>
          <w:rFonts w:ascii="Times New Roman" w:hAnsi="Times New Roman" w:cs="Times New Roman"/>
        </w:rPr>
        <w:t xml:space="preserve">, </w:t>
      </w:r>
      <w:r w:rsidR="00AD026D">
        <w:rPr>
          <w:rFonts w:ascii="Times New Roman" w:hAnsi="Times New Roman" w:cs="Times New Roman"/>
        </w:rPr>
        <w:t xml:space="preserve">and </w:t>
      </w:r>
      <w:r>
        <w:rPr>
          <w:rFonts w:ascii="Times New Roman" w:hAnsi="Times New Roman" w:cs="Times New Roman"/>
        </w:rPr>
        <w:t>t</w:t>
      </w:r>
      <w:r w:rsidRPr="00720EC3">
        <w:rPr>
          <w:rFonts w:ascii="Times New Roman" w:hAnsi="Times New Roman" w:cs="Times New Roman"/>
        </w:rPr>
        <w:t xml:space="preserve">he bulk of the unequalizing effect </w:t>
      </w:r>
      <w:r w:rsidR="00AD026D">
        <w:rPr>
          <w:rFonts w:ascii="Times New Roman" w:hAnsi="Times New Roman" w:cs="Times New Roman"/>
        </w:rPr>
        <w:t xml:space="preserve">is </w:t>
      </w:r>
      <w:r w:rsidRPr="00720EC3">
        <w:rPr>
          <w:rFonts w:ascii="Times New Roman" w:hAnsi="Times New Roman" w:cs="Times New Roman"/>
        </w:rPr>
        <w:t>ascribable to</w:t>
      </w:r>
      <w:r w:rsidR="001511C0">
        <w:rPr>
          <w:rFonts w:ascii="Times New Roman" w:hAnsi="Times New Roman" w:cs="Times New Roman"/>
        </w:rPr>
        <w:t xml:space="preserve"> </w:t>
      </w:r>
      <w:r w:rsidRPr="00720EC3">
        <w:rPr>
          <w:rFonts w:ascii="Times New Roman" w:hAnsi="Times New Roman" w:cs="Times New Roman"/>
        </w:rPr>
        <w:t>excise</w:t>
      </w:r>
      <w:r>
        <w:rPr>
          <w:rFonts w:ascii="Times New Roman" w:hAnsi="Times New Roman" w:cs="Times New Roman"/>
        </w:rPr>
        <w:t xml:space="preserve">s </w:t>
      </w:r>
      <w:r w:rsidRPr="00720EC3">
        <w:rPr>
          <w:rFonts w:ascii="Times New Roman" w:hAnsi="Times New Roman" w:cs="Times New Roman"/>
        </w:rPr>
        <w:t>on tobacc</w:t>
      </w:r>
      <w:r w:rsidR="001511C0">
        <w:rPr>
          <w:rFonts w:ascii="Times New Roman" w:hAnsi="Times New Roman" w:cs="Times New Roman"/>
        </w:rPr>
        <w:t>o</w:t>
      </w:r>
      <w:r w:rsidR="00F25DE8">
        <w:rPr>
          <w:rFonts w:ascii="Times New Roman" w:hAnsi="Times New Roman" w:cs="Times New Roman"/>
        </w:rPr>
        <w:t xml:space="preserve"> and alcohol</w:t>
      </w:r>
      <w:r w:rsidRPr="00720EC3">
        <w:rPr>
          <w:rFonts w:ascii="Times New Roman" w:hAnsi="Times New Roman" w:cs="Times New Roman"/>
        </w:rPr>
        <w:t xml:space="preserve"> (</w:t>
      </w:r>
      <w:r w:rsidR="00F77BA3">
        <w:rPr>
          <w:rFonts w:ascii="Times New Roman" w:hAnsi="Times New Roman" w:cs="Times New Roman"/>
        </w:rPr>
        <w:t>0.5</w:t>
      </w:r>
      <w:r w:rsidRPr="00720EC3">
        <w:rPr>
          <w:rFonts w:ascii="Times New Roman" w:hAnsi="Times New Roman" w:cs="Times New Roman"/>
        </w:rPr>
        <w:t xml:space="preserve"> and 0.</w:t>
      </w:r>
      <w:r w:rsidR="00F77BA3">
        <w:rPr>
          <w:rFonts w:ascii="Times New Roman" w:hAnsi="Times New Roman" w:cs="Times New Roman"/>
        </w:rPr>
        <w:t>2</w:t>
      </w:r>
      <w:r w:rsidRPr="00720EC3">
        <w:rPr>
          <w:rFonts w:ascii="Times New Roman" w:hAnsi="Times New Roman" w:cs="Times New Roman"/>
        </w:rPr>
        <w:t xml:space="preserve"> Gini points)</w:t>
      </w:r>
      <w:r>
        <w:rPr>
          <w:rFonts w:ascii="Times New Roman" w:hAnsi="Times New Roman" w:cs="Times New Roman"/>
        </w:rPr>
        <w:t>.</w:t>
      </w:r>
      <w:r w:rsidRPr="00720EC3">
        <w:rPr>
          <w:rFonts w:ascii="Times New Roman" w:hAnsi="Times New Roman" w:cs="Times New Roman"/>
        </w:rPr>
        <w:t xml:space="preserve"> </w:t>
      </w:r>
      <w:r w:rsidR="005126E6">
        <w:rPr>
          <w:rFonts w:ascii="Times New Roman" w:hAnsi="Times New Roman" w:cs="Times New Roman"/>
        </w:rPr>
        <w:t xml:space="preserve">However, </w:t>
      </w:r>
      <w:r w:rsidR="005126E6" w:rsidRPr="005126E6">
        <w:rPr>
          <w:rFonts w:ascii="Times New Roman" w:hAnsi="Times New Roman" w:cs="Times New Roman"/>
        </w:rPr>
        <w:t>these estimates only capture short-term effects, and excises on alcohol and tobacco can have overall positive effect</w:t>
      </w:r>
      <w:r w:rsidR="00AD026D">
        <w:rPr>
          <w:rFonts w:ascii="Times New Roman" w:hAnsi="Times New Roman" w:cs="Times New Roman"/>
        </w:rPr>
        <w:t xml:space="preserve">s </w:t>
      </w:r>
      <w:r w:rsidR="005126E6" w:rsidRPr="005126E6">
        <w:rPr>
          <w:rFonts w:ascii="Times New Roman" w:hAnsi="Times New Roman" w:cs="Times New Roman"/>
        </w:rPr>
        <w:t xml:space="preserve">on the welfare of low-income households </w:t>
      </w:r>
      <w:r w:rsidR="00AD026D">
        <w:rPr>
          <w:rFonts w:ascii="Times New Roman" w:hAnsi="Times New Roman" w:cs="Times New Roman"/>
        </w:rPr>
        <w:t xml:space="preserve">through </w:t>
      </w:r>
      <w:r w:rsidR="005126E6" w:rsidRPr="005126E6">
        <w:rPr>
          <w:rFonts w:ascii="Times New Roman" w:hAnsi="Times New Roman" w:cs="Times New Roman"/>
        </w:rPr>
        <w:t xml:space="preserve">lower health-related expenditures and longer life expectancy. </w:t>
      </w:r>
      <w:r w:rsidRPr="00720EC3">
        <w:rPr>
          <w:rFonts w:ascii="Times New Roman" w:hAnsi="Times New Roman" w:cs="Times New Roman"/>
        </w:rPr>
        <w:t xml:space="preserve">In addition, poverty increases by </w:t>
      </w:r>
      <w:r w:rsidR="001511C0">
        <w:rPr>
          <w:rFonts w:ascii="Times New Roman" w:hAnsi="Times New Roman" w:cs="Times New Roman"/>
        </w:rPr>
        <w:t>5</w:t>
      </w:r>
      <w:r w:rsidRPr="00720EC3">
        <w:rPr>
          <w:rFonts w:ascii="Times New Roman" w:hAnsi="Times New Roman" w:cs="Times New Roman"/>
        </w:rPr>
        <w:t xml:space="preserve"> percentage points due to indirect taxes, particularly because of </w:t>
      </w:r>
      <w:r w:rsidR="00AA134A" w:rsidRPr="00AA134A">
        <w:rPr>
          <w:rFonts w:ascii="Times New Roman" w:hAnsi="Times New Roman" w:cs="Times New Roman"/>
        </w:rPr>
        <w:t>VAT and excises on fuel and tobacco</w:t>
      </w:r>
      <w:r w:rsidRPr="00720EC3">
        <w:rPr>
          <w:rFonts w:ascii="Times New Roman" w:hAnsi="Times New Roman" w:cs="Times New Roman"/>
        </w:rPr>
        <w:t xml:space="preserve">. </w:t>
      </w:r>
      <w:r w:rsidR="00AD026D">
        <w:rPr>
          <w:rFonts w:ascii="Times New Roman" w:hAnsi="Times New Roman" w:cs="Times New Roman"/>
        </w:rPr>
        <w:t xml:space="preserve">In terms of </w:t>
      </w:r>
      <w:r w:rsidRPr="00AA134A">
        <w:rPr>
          <w:rFonts w:ascii="Times New Roman" w:hAnsi="Times New Roman" w:cs="Times New Roman"/>
        </w:rPr>
        <w:t xml:space="preserve">consumable income, about 9 percent of individuals are fiscally impoverished at the national poverty line. </w:t>
      </w:r>
      <w:r w:rsidR="00AD026D">
        <w:rPr>
          <w:rFonts w:ascii="Times New Roman" w:hAnsi="Times New Roman" w:cs="Times New Roman"/>
        </w:rPr>
        <w:t>Thus</w:t>
      </w:r>
      <w:r w:rsidRPr="00AA134A">
        <w:rPr>
          <w:rFonts w:ascii="Times New Roman" w:hAnsi="Times New Roman" w:cs="Times New Roman"/>
        </w:rPr>
        <w:t>, indirect taxes on consumption make some poor poorer and some n</w:t>
      </w:r>
      <w:r w:rsidR="004C6E0D">
        <w:rPr>
          <w:rFonts w:ascii="Times New Roman" w:hAnsi="Times New Roman" w:cs="Times New Roman"/>
        </w:rPr>
        <w:t>on</w:t>
      </w:r>
      <w:r w:rsidRPr="00AA134A">
        <w:rPr>
          <w:rFonts w:ascii="Times New Roman" w:hAnsi="Times New Roman" w:cs="Times New Roman"/>
        </w:rPr>
        <w:t>poor poor.</w:t>
      </w:r>
    </w:p>
    <w:p w14:paraId="6CF984D9" w14:textId="1E7502E5" w:rsidR="00FA6451" w:rsidRDefault="00FA6451" w:rsidP="00FA6451">
      <w:pPr>
        <w:pStyle w:val="ListNumber"/>
        <w:numPr>
          <w:ilvl w:val="0"/>
          <w:numId w:val="0"/>
        </w:numPr>
        <w:rPr>
          <w:rFonts w:ascii="Times New Roman" w:hAnsi="Times New Roman" w:cs="Times New Roman"/>
          <w:b/>
        </w:rPr>
      </w:pPr>
      <w:r>
        <w:rPr>
          <w:rFonts w:ascii="Times New Roman" w:hAnsi="Times New Roman" w:cs="Times New Roman"/>
          <w:b/>
        </w:rPr>
        <w:t>Consumption subsidies have a small positive effect o</w:t>
      </w:r>
      <w:r w:rsidR="00AD026D">
        <w:rPr>
          <w:rFonts w:ascii="Times New Roman" w:hAnsi="Times New Roman" w:cs="Times New Roman"/>
          <w:b/>
        </w:rPr>
        <w:t>n</w:t>
      </w:r>
      <w:r>
        <w:rPr>
          <w:rFonts w:ascii="Times New Roman" w:hAnsi="Times New Roman" w:cs="Times New Roman"/>
          <w:b/>
        </w:rPr>
        <w:t xml:space="preserve"> inequality and poverty reduction, but their universal nature makes them less effective in targeting the poor.</w:t>
      </w:r>
      <w:r w:rsidRPr="00951848">
        <w:rPr>
          <w:rFonts w:ascii="Times New Roman" w:hAnsi="Times New Roman" w:cs="Times New Roman"/>
        </w:rPr>
        <w:t xml:space="preserve"> </w:t>
      </w:r>
      <w:r>
        <w:rPr>
          <w:rFonts w:ascii="Times New Roman" w:hAnsi="Times New Roman" w:cs="Times New Roman"/>
        </w:rPr>
        <w:t>Subsidies on rice, flour</w:t>
      </w:r>
      <w:r w:rsidR="00AD026D">
        <w:rPr>
          <w:rFonts w:ascii="Times New Roman" w:hAnsi="Times New Roman" w:cs="Times New Roman"/>
        </w:rPr>
        <w:t>,</w:t>
      </w:r>
      <w:r>
        <w:rPr>
          <w:rFonts w:ascii="Times New Roman" w:hAnsi="Times New Roman" w:cs="Times New Roman"/>
        </w:rPr>
        <w:t xml:space="preserve"> and </w:t>
      </w:r>
      <w:r w:rsidR="00AD026D" w:rsidRPr="00AD026D">
        <w:rPr>
          <w:rFonts w:ascii="Times New Roman" w:hAnsi="Times New Roman" w:cs="Times New Roman"/>
        </w:rPr>
        <w:t xml:space="preserve">liquified petroleum gas </w:t>
      </w:r>
      <w:r w:rsidR="00AD026D">
        <w:rPr>
          <w:rFonts w:ascii="Times New Roman" w:hAnsi="Times New Roman" w:cs="Times New Roman"/>
        </w:rPr>
        <w:t>(</w:t>
      </w:r>
      <w:r>
        <w:rPr>
          <w:rFonts w:ascii="Times New Roman" w:hAnsi="Times New Roman" w:cs="Times New Roman"/>
        </w:rPr>
        <w:t>LPG</w:t>
      </w:r>
      <w:r w:rsidR="00AD026D">
        <w:rPr>
          <w:rFonts w:ascii="Times New Roman" w:hAnsi="Times New Roman" w:cs="Times New Roman"/>
        </w:rPr>
        <w:t>)</w:t>
      </w:r>
      <w:r w:rsidRPr="00951848">
        <w:rPr>
          <w:rFonts w:ascii="Times New Roman" w:hAnsi="Times New Roman" w:cs="Times New Roman"/>
        </w:rPr>
        <w:t xml:space="preserve"> are progressive in relative terms as </w:t>
      </w:r>
      <w:r w:rsidR="006D778C">
        <w:rPr>
          <w:rFonts w:ascii="Times New Roman" w:hAnsi="Times New Roman" w:cs="Times New Roman"/>
        </w:rPr>
        <w:t xml:space="preserve">these represent a large share of </w:t>
      </w:r>
      <w:r w:rsidR="00C11058">
        <w:rPr>
          <w:rFonts w:ascii="Times New Roman" w:hAnsi="Times New Roman" w:cs="Times New Roman"/>
        </w:rPr>
        <w:t>pre</w:t>
      </w:r>
      <w:r w:rsidR="006D778C">
        <w:rPr>
          <w:rFonts w:ascii="Times New Roman" w:hAnsi="Times New Roman" w:cs="Times New Roman"/>
        </w:rPr>
        <w:t xml:space="preserve">fiscal income among </w:t>
      </w:r>
      <w:r w:rsidRPr="00951848">
        <w:rPr>
          <w:rFonts w:ascii="Times New Roman" w:hAnsi="Times New Roman" w:cs="Times New Roman"/>
        </w:rPr>
        <w:t>poorer households compared with richer households</w:t>
      </w:r>
      <w:r w:rsidR="00E106A7">
        <w:rPr>
          <w:rFonts w:ascii="Times New Roman" w:hAnsi="Times New Roman" w:cs="Times New Roman"/>
        </w:rPr>
        <w:t xml:space="preserve">. This is not the case </w:t>
      </w:r>
      <w:r>
        <w:rPr>
          <w:rFonts w:ascii="Times New Roman" w:hAnsi="Times New Roman" w:cs="Times New Roman"/>
        </w:rPr>
        <w:t xml:space="preserve">in absolute terms. </w:t>
      </w:r>
      <w:r w:rsidRPr="00A72BB7">
        <w:rPr>
          <w:rFonts w:ascii="Times New Roman" w:eastAsiaTheme="minorEastAsia" w:hAnsi="Times New Roman"/>
        </w:rPr>
        <w:t xml:space="preserve">Free public bus </w:t>
      </w:r>
      <w:r w:rsidR="00E106A7">
        <w:rPr>
          <w:rFonts w:ascii="Times New Roman" w:eastAsiaTheme="minorEastAsia" w:hAnsi="Times New Roman"/>
        </w:rPr>
        <w:t xml:space="preserve">transport </w:t>
      </w:r>
      <w:r w:rsidRPr="00A72BB7">
        <w:rPr>
          <w:rFonts w:ascii="Times New Roman" w:eastAsiaTheme="minorEastAsia" w:hAnsi="Times New Roman"/>
        </w:rPr>
        <w:t xml:space="preserve">is globally progressive and pro-poor mainly </w:t>
      </w:r>
      <w:r w:rsidR="00E106A7">
        <w:rPr>
          <w:rFonts w:ascii="Times New Roman" w:eastAsiaTheme="minorEastAsia" w:hAnsi="Times New Roman"/>
        </w:rPr>
        <w:t xml:space="preserve">because of </w:t>
      </w:r>
      <w:r w:rsidRPr="00A72BB7">
        <w:rPr>
          <w:rFonts w:ascii="Times New Roman" w:eastAsiaTheme="minorEastAsia" w:hAnsi="Times New Roman"/>
        </w:rPr>
        <w:t xml:space="preserve">the high prevalence of seniors in </w:t>
      </w:r>
      <w:r w:rsidR="00E106A7">
        <w:rPr>
          <w:rFonts w:ascii="Times New Roman" w:eastAsiaTheme="minorEastAsia" w:hAnsi="Times New Roman"/>
        </w:rPr>
        <w:t xml:space="preserve">the </w:t>
      </w:r>
      <w:r w:rsidRPr="00A72BB7">
        <w:rPr>
          <w:rFonts w:ascii="Times New Roman" w:eastAsiaTheme="minorEastAsia" w:hAnsi="Times New Roman"/>
        </w:rPr>
        <w:t xml:space="preserve">poorest households. </w:t>
      </w:r>
      <w:r>
        <w:rPr>
          <w:rFonts w:ascii="Times New Roman" w:eastAsiaTheme="minorEastAsia" w:hAnsi="Times New Roman"/>
        </w:rPr>
        <w:t>However, g</w:t>
      </w:r>
      <w:r>
        <w:rPr>
          <w:rFonts w:ascii="Times New Roman" w:hAnsi="Times New Roman" w:cs="Times New Roman"/>
        </w:rPr>
        <w:t>iven the universal</w:t>
      </w:r>
      <w:r w:rsidR="00F4655E">
        <w:rPr>
          <w:rFonts w:ascii="Times New Roman" w:hAnsi="Times New Roman" w:cs="Times New Roman"/>
        </w:rPr>
        <w:t xml:space="preserve"> nature</w:t>
      </w:r>
      <w:r>
        <w:rPr>
          <w:rFonts w:ascii="Times New Roman" w:hAnsi="Times New Roman" w:cs="Times New Roman"/>
        </w:rPr>
        <w:t xml:space="preserve"> and </w:t>
      </w:r>
      <w:r w:rsidR="00F4655E">
        <w:rPr>
          <w:rFonts w:ascii="Times New Roman" w:hAnsi="Times New Roman" w:cs="Times New Roman"/>
        </w:rPr>
        <w:t xml:space="preserve">the relatively small budget </w:t>
      </w:r>
      <w:r>
        <w:rPr>
          <w:rFonts w:ascii="Times New Roman" w:hAnsi="Times New Roman" w:cs="Times New Roman"/>
        </w:rPr>
        <w:t xml:space="preserve">size </w:t>
      </w:r>
      <w:r w:rsidR="00F3621D">
        <w:rPr>
          <w:rFonts w:ascii="Times New Roman" w:hAnsi="Times New Roman" w:cs="Times New Roman"/>
        </w:rPr>
        <w:t xml:space="preserve">of these subsidies </w:t>
      </w:r>
      <w:r>
        <w:rPr>
          <w:rFonts w:ascii="Times New Roman" w:hAnsi="Times New Roman" w:cs="Times New Roman"/>
        </w:rPr>
        <w:t>relative to other fiscal instruments, the</w:t>
      </w:r>
      <w:r w:rsidR="00F3621D">
        <w:rPr>
          <w:rFonts w:ascii="Times New Roman" w:hAnsi="Times New Roman" w:cs="Times New Roman"/>
        </w:rPr>
        <w:t>ir</w:t>
      </w:r>
      <w:r>
        <w:rPr>
          <w:rFonts w:ascii="Times New Roman" w:hAnsi="Times New Roman" w:cs="Times New Roman"/>
        </w:rPr>
        <w:t xml:space="preserve"> fiscal incidence is modest and ranges between </w:t>
      </w:r>
      <w:r w:rsidR="00184E13">
        <w:rPr>
          <w:rFonts w:ascii="Times New Roman" w:hAnsi="Times New Roman" w:cs="Times New Roman"/>
        </w:rPr>
        <w:t>6</w:t>
      </w:r>
      <w:r>
        <w:rPr>
          <w:rFonts w:ascii="Times New Roman" w:hAnsi="Times New Roman" w:cs="Times New Roman"/>
        </w:rPr>
        <w:t xml:space="preserve"> percent </w:t>
      </w:r>
      <w:r w:rsidR="00D4459E">
        <w:rPr>
          <w:rFonts w:ascii="Times New Roman" w:hAnsi="Times New Roman" w:cs="Times New Roman"/>
        </w:rPr>
        <w:t xml:space="preserve">of </w:t>
      </w:r>
      <w:r w:rsidR="00C11058">
        <w:rPr>
          <w:rFonts w:ascii="Times New Roman" w:hAnsi="Times New Roman" w:cs="Times New Roman"/>
        </w:rPr>
        <w:t>pre</w:t>
      </w:r>
      <w:r w:rsidR="00D4459E">
        <w:rPr>
          <w:rFonts w:ascii="Times New Roman" w:hAnsi="Times New Roman" w:cs="Times New Roman"/>
        </w:rPr>
        <w:t xml:space="preserve">fiscal income among households </w:t>
      </w:r>
      <w:r>
        <w:rPr>
          <w:rFonts w:ascii="Times New Roman" w:hAnsi="Times New Roman" w:cs="Times New Roman"/>
        </w:rPr>
        <w:t>in the first decile and less than 0.</w:t>
      </w:r>
      <w:r w:rsidR="00D4459E">
        <w:rPr>
          <w:rFonts w:ascii="Times New Roman" w:hAnsi="Times New Roman" w:cs="Times New Roman"/>
        </w:rPr>
        <w:t>2</w:t>
      </w:r>
      <w:r>
        <w:rPr>
          <w:rFonts w:ascii="Times New Roman" w:hAnsi="Times New Roman" w:cs="Times New Roman"/>
        </w:rPr>
        <w:t xml:space="preserve"> percent in the highest decile of the </w:t>
      </w:r>
      <w:r w:rsidR="00C11058">
        <w:rPr>
          <w:rFonts w:ascii="Times New Roman" w:hAnsi="Times New Roman" w:cs="Times New Roman"/>
        </w:rPr>
        <w:t>pre</w:t>
      </w:r>
      <w:r w:rsidR="00D4459E">
        <w:rPr>
          <w:rFonts w:ascii="Times New Roman" w:hAnsi="Times New Roman" w:cs="Times New Roman"/>
        </w:rPr>
        <w:t xml:space="preserve">fiscal </w:t>
      </w:r>
      <w:r>
        <w:rPr>
          <w:rFonts w:ascii="Times New Roman" w:hAnsi="Times New Roman" w:cs="Times New Roman"/>
        </w:rPr>
        <w:t>income</w:t>
      </w:r>
      <w:r w:rsidRPr="00A72BB7">
        <w:rPr>
          <w:rFonts w:ascii="Times New Roman" w:eastAsiaTheme="minorEastAsia" w:hAnsi="Times New Roman"/>
        </w:rPr>
        <w:t xml:space="preserve"> distribution.</w:t>
      </w:r>
    </w:p>
    <w:p w14:paraId="3B6A7A89" w14:textId="18A2A0E7" w:rsidR="00FA6451" w:rsidRPr="00EA754E" w:rsidRDefault="00FA6451" w:rsidP="00FA6451">
      <w:pPr>
        <w:pStyle w:val="ListNumber"/>
        <w:numPr>
          <w:ilvl w:val="0"/>
          <w:numId w:val="0"/>
        </w:numPr>
        <w:rPr>
          <w:rFonts w:ascii="Times New Roman" w:hAnsi="Times New Roman" w:cs="Times New Roman"/>
        </w:rPr>
      </w:pPr>
      <w:r w:rsidRPr="00EA754E">
        <w:rPr>
          <w:rFonts w:ascii="Times New Roman" w:hAnsi="Times New Roman" w:cs="Times New Roman"/>
          <w:b/>
        </w:rPr>
        <w:t xml:space="preserve">Public education expenditure is progressive and pro-poor, except </w:t>
      </w:r>
      <w:r w:rsidR="00E106A7">
        <w:rPr>
          <w:rFonts w:ascii="Times New Roman" w:hAnsi="Times New Roman" w:cs="Times New Roman"/>
          <w:b/>
        </w:rPr>
        <w:t xml:space="preserve">in </w:t>
      </w:r>
      <w:r w:rsidRPr="00EA754E">
        <w:rPr>
          <w:rFonts w:ascii="Times New Roman" w:hAnsi="Times New Roman" w:cs="Times New Roman"/>
          <w:b/>
        </w:rPr>
        <w:t>tertiary education.</w:t>
      </w:r>
      <w:r w:rsidRPr="00EA754E">
        <w:rPr>
          <w:rFonts w:ascii="Times New Roman" w:hAnsi="Times New Roman" w:cs="Times New Roman"/>
        </w:rPr>
        <w:t xml:space="preserve"> Public education spending is progressive in absolute terms, but </w:t>
      </w:r>
      <w:r w:rsidR="00CC568D">
        <w:rPr>
          <w:rFonts w:ascii="Times New Roman" w:hAnsi="Times New Roman" w:cs="Times New Roman"/>
        </w:rPr>
        <w:t xml:space="preserve">the degree of </w:t>
      </w:r>
      <w:r w:rsidRPr="00EA754E">
        <w:rPr>
          <w:rFonts w:ascii="Times New Roman" w:hAnsi="Times New Roman" w:cs="Times New Roman"/>
        </w:rPr>
        <w:t xml:space="preserve">progressivity declines </w:t>
      </w:r>
      <w:r w:rsidR="00CC568D">
        <w:rPr>
          <w:rFonts w:ascii="Times New Roman" w:hAnsi="Times New Roman" w:cs="Times New Roman"/>
        </w:rPr>
        <w:t>at higher</w:t>
      </w:r>
      <w:r w:rsidRPr="00EA754E">
        <w:rPr>
          <w:rFonts w:ascii="Times New Roman" w:hAnsi="Times New Roman" w:cs="Times New Roman"/>
        </w:rPr>
        <w:t xml:space="preserve"> levels of education.</w:t>
      </w:r>
      <w:r w:rsidRPr="0006094E">
        <w:rPr>
          <w:rFonts w:ascii="Times New Roman" w:hAnsi="Times New Roman" w:cs="Times New Roman"/>
        </w:rPr>
        <w:t xml:space="preserve"> </w:t>
      </w:r>
      <w:r w:rsidRPr="00EA754E">
        <w:rPr>
          <w:rFonts w:ascii="Times New Roman" w:hAnsi="Times New Roman" w:cs="Times New Roman"/>
        </w:rPr>
        <w:t xml:space="preserve">Low-income households have more </w:t>
      </w:r>
      <w:r w:rsidR="00E106A7">
        <w:rPr>
          <w:rFonts w:ascii="Times New Roman" w:hAnsi="Times New Roman" w:cs="Times New Roman"/>
        </w:rPr>
        <w:t xml:space="preserve">children </w:t>
      </w:r>
      <w:r w:rsidRPr="00EA754E">
        <w:rPr>
          <w:rFonts w:ascii="Times New Roman" w:hAnsi="Times New Roman" w:cs="Times New Roman"/>
        </w:rPr>
        <w:t xml:space="preserve">attending public primary and secondary schools relative to more affluent households that opt out of the public education system. Therefore, public spending on primary and secondary education is progressive and pro-poor. However, </w:t>
      </w:r>
      <w:r w:rsidRPr="0006094E">
        <w:rPr>
          <w:rFonts w:ascii="Times New Roman" w:hAnsi="Times New Roman" w:cs="Times New Roman"/>
        </w:rPr>
        <w:t xml:space="preserve">the net benefits of spending at higher levels of the education system benefit the </w:t>
      </w:r>
      <w:r w:rsidR="00E106A7">
        <w:rPr>
          <w:rFonts w:ascii="Times New Roman" w:hAnsi="Times New Roman" w:cs="Times New Roman"/>
        </w:rPr>
        <w:t xml:space="preserve">more well </w:t>
      </w:r>
      <w:r w:rsidRPr="0006094E">
        <w:rPr>
          <w:rFonts w:ascii="Times New Roman" w:hAnsi="Times New Roman" w:cs="Times New Roman"/>
        </w:rPr>
        <w:t xml:space="preserve">off. </w:t>
      </w:r>
      <w:r w:rsidRPr="00EA754E">
        <w:rPr>
          <w:rFonts w:ascii="Times New Roman" w:hAnsi="Times New Roman" w:cs="Times New Roman"/>
        </w:rPr>
        <w:t>High-income households are disproportionately benefiting from in-kind transfers at high</w:t>
      </w:r>
      <w:r w:rsidR="007370DA">
        <w:rPr>
          <w:rFonts w:ascii="Times New Roman" w:hAnsi="Times New Roman" w:cs="Times New Roman"/>
        </w:rPr>
        <w:t>er</w:t>
      </w:r>
      <w:r w:rsidRPr="00EA754E">
        <w:rPr>
          <w:rFonts w:ascii="Times New Roman" w:hAnsi="Times New Roman" w:cs="Times New Roman"/>
        </w:rPr>
        <w:t xml:space="preserve"> level</w:t>
      </w:r>
      <w:r w:rsidR="007370DA">
        <w:rPr>
          <w:rFonts w:ascii="Times New Roman" w:hAnsi="Times New Roman" w:cs="Times New Roman"/>
        </w:rPr>
        <w:t>s</w:t>
      </w:r>
      <w:r w:rsidRPr="00EA754E">
        <w:rPr>
          <w:rFonts w:ascii="Times New Roman" w:hAnsi="Times New Roman" w:cs="Times New Roman"/>
        </w:rPr>
        <w:t xml:space="preserve"> of education </w:t>
      </w:r>
      <w:r w:rsidR="007370DA">
        <w:rPr>
          <w:rFonts w:ascii="Times New Roman" w:hAnsi="Times New Roman" w:cs="Times New Roman"/>
        </w:rPr>
        <w:t xml:space="preserve">because of </w:t>
      </w:r>
      <w:r w:rsidRPr="00EA754E">
        <w:rPr>
          <w:rFonts w:ascii="Times New Roman" w:hAnsi="Times New Roman" w:cs="Times New Roman"/>
        </w:rPr>
        <w:t>higher attendance rate</w:t>
      </w:r>
      <w:r w:rsidR="00BF2CFD">
        <w:rPr>
          <w:rFonts w:ascii="Times New Roman" w:hAnsi="Times New Roman" w:cs="Times New Roman"/>
        </w:rPr>
        <w:t>s</w:t>
      </w:r>
      <w:r w:rsidRPr="00EA754E">
        <w:rPr>
          <w:rFonts w:ascii="Times New Roman" w:hAnsi="Times New Roman" w:cs="Times New Roman"/>
        </w:rPr>
        <w:t xml:space="preserve"> </w:t>
      </w:r>
      <w:r w:rsidR="007370DA">
        <w:rPr>
          <w:rFonts w:ascii="Times New Roman" w:hAnsi="Times New Roman" w:cs="Times New Roman"/>
        </w:rPr>
        <w:t xml:space="preserve">among </w:t>
      </w:r>
      <w:r w:rsidR="00BF2CFD">
        <w:rPr>
          <w:rFonts w:ascii="Times New Roman" w:hAnsi="Times New Roman" w:cs="Times New Roman"/>
        </w:rPr>
        <w:t>their</w:t>
      </w:r>
      <w:r w:rsidR="00BF2CFD" w:rsidRPr="00EA754E">
        <w:rPr>
          <w:rFonts w:ascii="Times New Roman" w:hAnsi="Times New Roman" w:cs="Times New Roman"/>
        </w:rPr>
        <w:t xml:space="preserve"> </w:t>
      </w:r>
      <w:r w:rsidRPr="00EA754E">
        <w:rPr>
          <w:rFonts w:ascii="Times New Roman" w:hAnsi="Times New Roman" w:cs="Times New Roman"/>
        </w:rPr>
        <w:t>children.</w:t>
      </w:r>
    </w:p>
    <w:p w14:paraId="7EEB9D6D" w14:textId="2E96AEC6" w:rsidR="00FA6451" w:rsidRPr="0046524D" w:rsidRDefault="00FA6451" w:rsidP="00FA6451">
      <w:r w:rsidRPr="00D202D3">
        <w:rPr>
          <w:b/>
        </w:rPr>
        <w:t xml:space="preserve">Public health expenditure </w:t>
      </w:r>
      <w:r>
        <w:rPr>
          <w:b/>
        </w:rPr>
        <w:t>is</w:t>
      </w:r>
      <w:r w:rsidRPr="00D202D3">
        <w:rPr>
          <w:b/>
        </w:rPr>
        <w:t xml:space="preserve"> progressive.</w:t>
      </w:r>
      <w:r w:rsidRPr="00736A12">
        <w:t xml:space="preserve"> </w:t>
      </w:r>
      <w:r>
        <w:t>Low</w:t>
      </w:r>
      <w:r w:rsidR="007370DA">
        <w:t>-</w:t>
      </w:r>
      <w:r>
        <w:t xml:space="preserve">income households are more likely to access public health care facilities relative to their affluent counterparts. </w:t>
      </w:r>
      <w:r w:rsidR="00D10E96">
        <w:t xml:space="preserve">About 25 percent of the population in the richest quintile report </w:t>
      </w:r>
      <w:r w:rsidR="007370DA">
        <w:t xml:space="preserve">that they </w:t>
      </w:r>
      <w:r w:rsidR="00D10E96">
        <w:t>typically use private health services, as opposed to only between 1.5 and 7.3 percent of the population in the bottom and fourth quintile</w:t>
      </w:r>
      <w:r w:rsidR="007370DA">
        <w:t>s</w:t>
      </w:r>
      <w:r w:rsidR="00D10E96">
        <w:t xml:space="preserve">, respectively. </w:t>
      </w:r>
      <w:r>
        <w:t xml:space="preserve">This makes public health expenditure progressive in relative terms. However, </w:t>
      </w:r>
      <w:r w:rsidRPr="00E6486C">
        <w:t xml:space="preserve">there has been a general increase in access to private health care that might pose </w:t>
      </w:r>
      <w:r w:rsidR="007370DA">
        <w:t xml:space="preserve">a </w:t>
      </w:r>
      <w:r w:rsidRPr="00E6486C">
        <w:t xml:space="preserve">financial strain on </w:t>
      </w:r>
      <w:r w:rsidR="007370DA">
        <w:t xml:space="preserve">the </w:t>
      </w:r>
      <w:r w:rsidRPr="00E6486C">
        <w:t>living standards of the poorest.</w:t>
      </w:r>
      <w:r w:rsidRPr="00D13C55">
        <w:t xml:space="preserve"> In 2007</w:t>
      </w:r>
      <w:r w:rsidR="007370DA">
        <w:t>,</w:t>
      </w:r>
      <w:r w:rsidRPr="00D13C55">
        <w:t xml:space="preserve"> private health expenditure surpassed public health expenditure</w:t>
      </w:r>
      <w:r w:rsidR="007370DA">
        <w:t>,</w:t>
      </w:r>
      <w:r w:rsidRPr="00D13C55">
        <w:t xml:space="preserve"> and the </w:t>
      </w:r>
      <w:r>
        <w:t xml:space="preserve">gap </w:t>
      </w:r>
      <w:r w:rsidRPr="00D13C55">
        <w:t xml:space="preserve">has </w:t>
      </w:r>
      <w:r>
        <w:t xml:space="preserve">expanded </w:t>
      </w:r>
      <w:r w:rsidRPr="00D13C55">
        <w:t xml:space="preserve">ever since. </w:t>
      </w:r>
      <w:r>
        <w:t xml:space="preserve">The main driver of </w:t>
      </w:r>
      <w:r w:rsidRPr="00D13C55">
        <w:t>out</w:t>
      </w:r>
      <w:r w:rsidR="007370DA">
        <w:t>-</w:t>
      </w:r>
      <w:r w:rsidRPr="00D13C55">
        <w:t>of</w:t>
      </w:r>
      <w:r w:rsidR="007370DA">
        <w:t>-</w:t>
      </w:r>
      <w:r w:rsidRPr="00D13C55">
        <w:t>pocket</w:t>
      </w:r>
      <w:r>
        <w:t xml:space="preserve"> expenditures are purchases of pharmaceutical products</w:t>
      </w:r>
      <w:r w:rsidR="007370DA">
        <w:t>,</w:t>
      </w:r>
      <w:r>
        <w:t xml:space="preserve"> followed by medical supplies and disposables. In addition, </w:t>
      </w:r>
      <w:r w:rsidR="007370DA">
        <w:t xml:space="preserve">the </w:t>
      </w:r>
      <w:r>
        <w:t xml:space="preserve">use of private hospitals is largely ascribable to </w:t>
      </w:r>
      <w:r w:rsidR="007370DA">
        <w:t xml:space="preserve">the </w:t>
      </w:r>
      <w:r>
        <w:t xml:space="preserve">long </w:t>
      </w:r>
      <w:r w:rsidRPr="00E6486C">
        <w:t>waiting time</w:t>
      </w:r>
      <w:r w:rsidR="007370DA">
        <w:t>s</w:t>
      </w:r>
      <w:r w:rsidRPr="00E6486C">
        <w:t xml:space="preserve"> to access health care in public hospitals.</w:t>
      </w:r>
    </w:p>
    <w:p w14:paraId="48F6157C" w14:textId="77FA59BE" w:rsidR="004F3C67" w:rsidRDefault="00CD2F3E" w:rsidP="00856671">
      <w:r>
        <w:rPr>
          <w:b/>
        </w:rPr>
        <w:t>Two fiscal instruments</w:t>
      </w:r>
      <w:r w:rsidR="00FA6451" w:rsidRPr="0046524D">
        <w:rPr>
          <w:b/>
        </w:rPr>
        <w:t xml:space="preserve"> merit attention: cash transfer programs</w:t>
      </w:r>
      <w:r>
        <w:rPr>
          <w:b/>
        </w:rPr>
        <w:t xml:space="preserve"> and</w:t>
      </w:r>
      <w:r w:rsidR="00E407F1">
        <w:rPr>
          <w:b/>
        </w:rPr>
        <w:t xml:space="preserve"> indirect</w:t>
      </w:r>
      <w:r w:rsidR="00FA6451" w:rsidRPr="0046524D">
        <w:rPr>
          <w:b/>
        </w:rPr>
        <w:t xml:space="preserve"> subsidies.</w:t>
      </w:r>
      <w:r w:rsidR="00FA6451" w:rsidRPr="0046524D">
        <w:t xml:space="preserve"> First, </w:t>
      </w:r>
      <w:r w:rsidR="007370DA">
        <w:t xml:space="preserve">the </w:t>
      </w:r>
      <w:r w:rsidR="00FA6451" w:rsidRPr="0046524D">
        <w:t xml:space="preserve">cash transfer system comprises a plethora of schemes that could be consolidated and </w:t>
      </w:r>
      <w:r w:rsidR="007370DA">
        <w:t xml:space="preserve">more well </w:t>
      </w:r>
      <w:r w:rsidR="00FA6451" w:rsidRPr="0046524D">
        <w:t xml:space="preserve">targeted to increase their effectiveness in reducing poverty and inequality. For example, the </w:t>
      </w:r>
      <w:r w:rsidR="00E07F88">
        <w:t>BRP</w:t>
      </w:r>
      <w:r w:rsidR="002701B7">
        <w:t>, which is the first source of social protection spending,</w:t>
      </w:r>
      <w:r w:rsidR="00FA6451" w:rsidRPr="0046524D">
        <w:t xml:space="preserve"> could be made means-tested</w:t>
      </w:r>
      <w:r w:rsidR="00FA6451">
        <w:t xml:space="preserve"> so that the per capita amount of resources devoted to th</w:t>
      </w:r>
      <w:r w:rsidR="00C8439C">
        <w:t>is n</w:t>
      </w:r>
      <w:r w:rsidR="004C6E0D">
        <w:t>on</w:t>
      </w:r>
      <w:r w:rsidR="00C8439C">
        <w:t xml:space="preserve">contributory pension </w:t>
      </w:r>
      <w:r w:rsidR="00FA6451">
        <w:t>could be higher among the poor</w:t>
      </w:r>
      <w:r w:rsidR="007370DA">
        <w:t>,</w:t>
      </w:r>
      <w:r w:rsidR="0023696F">
        <w:t xml:space="preserve"> </w:t>
      </w:r>
      <w:r w:rsidR="007370DA">
        <w:t xml:space="preserve">and </w:t>
      </w:r>
      <w:r w:rsidR="003F58D3">
        <w:t>some of the</w:t>
      </w:r>
      <w:r w:rsidR="0023696F">
        <w:t xml:space="preserve"> resources could be directed to target</w:t>
      </w:r>
      <w:r w:rsidR="003F58D3">
        <w:t>ed</w:t>
      </w:r>
      <w:r w:rsidR="0023696F">
        <w:t xml:space="preserve"> schemes</w:t>
      </w:r>
      <w:r w:rsidR="00FA6451" w:rsidRPr="0046524D">
        <w:t xml:space="preserve">. </w:t>
      </w:r>
      <w:r w:rsidR="004A032C">
        <w:rPr>
          <w:rFonts w:cs="Times New Roman"/>
        </w:rPr>
        <w:t>Similarly, subsidies on rice, flour</w:t>
      </w:r>
      <w:r w:rsidR="007370DA">
        <w:rPr>
          <w:rFonts w:cs="Times New Roman"/>
        </w:rPr>
        <w:t>,</w:t>
      </w:r>
      <w:r w:rsidR="004A032C">
        <w:rPr>
          <w:rFonts w:cs="Times New Roman"/>
        </w:rPr>
        <w:t xml:space="preserve"> and LPG</w:t>
      </w:r>
      <w:r w:rsidR="004A032C" w:rsidRPr="00951848">
        <w:rPr>
          <w:rFonts w:cs="Times New Roman"/>
        </w:rPr>
        <w:t xml:space="preserve"> are progressive in relative terms</w:t>
      </w:r>
      <w:r w:rsidR="004A032C">
        <w:rPr>
          <w:rFonts w:cs="Times New Roman"/>
        </w:rPr>
        <w:t xml:space="preserve">, but they are not pro-poor. </w:t>
      </w:r>
      <w:r w:rsidR="004A032C" w:rsidRPr="0098608A">
        <w:rPr>
          <w:rFonts w:eastAsiaTheme="minorHAnsi" w:cs="Times New Roman"/>
        </w:rPr>
        <w:t xml:space="preserve">Free public bus </w:t>
      </w:r>
      <w:r w:rsidR="007370DA">
        <w:rPr>
          <w:rFonts w:eastAsiaTheme="minorHAnsi" w:cs="Times New Roman"/>
        </w:rPr>
        <w:t xml:space="preserve">transport </w:t>
      </w:r>
      <w:r w:rsidR="004A032C" w:rsidRPr="0098608A">
        <w:rPr>
          <w:rFonts w:eastAsiaTheme="minorHAnsi" w:cs="Times New Roman"/>
        </w:rPr>
        <w:t xml:space="preserve">is globally progressive and pro-poor mainly </w:t>
      </w:r>
      <w:r w:rsidR="007370DA">
        <w:rPr>
          <w:rFonts w:eastAsiaTheme="minorHAnsi" w:cs="Times New Roman"/>
        </w:rPr>
        <w:t xml:space="preserve">because of </w:t>
      </w:r>
      <w:r w:rsidR="004A032C" w:rsidRPr="0098608A">
        <w:rPr>
          <w:rFonts w:eastAsiaTheme="minorHAnsi" w:cs="Times New Roman"/>
        </w:rPr>
        <w:t xml:space="preserve">the high prevalence of seniors in </w:t>
      </w:r>
      <w:r w:rsidR="007370DA">
        <w:rPr>
          <w:rFonts w:eastAsiaTheme="minorHAnsi" w:cs="Times New Roman"/>
        </w:rPr>
        <w:t xml:space="preserve">the </w:t>
      </w:r>
      <w:r w:rsidR="004A032C" w:rsidRPr="0098608A">
        <w:rPr>
          <w:rFonts w:eastAsiaTheme="minorHAnsi" w:cs="Times New Roman"/>
        </w:rPr>
        <w:t>poorest households.</w:t>
      </w:r>
      <w:r w:rsidR="004A032C">
        <w:rPr>
          <w:rFonts w:eastAsiaTheme="minorHAnsi" w:cs="Times New Roman"/>
        </w:rPr>
        <w:t xml:space="preserve"> </w:t>
      </w:r>
      <w:r w:rsidR="007370DA">
        <w:t>T</w:t>
      </w:r>
      <w:r w:rsidR="00B75F45" w:rsidRPr="0046524D">
        <w:t xml:space="preserve">he Social Register </w:t>
      </w:r>
      <w:r w:rsidR="00B75F45">
        <w:t xml:space="preserve">of </w:t>
      </w:r>
      <w:r w:rsidR="00B75F45" w:rsidRPr="0046524D">
        <w:t xml:space="preserve">Mauritius, a large database of potential and actual program beneficiaries, </w:t>
      </w:r>
      <w:r w:rsidR="00B75F45">
        <w:t xml:space="preserve">could </w:t>
      </w:r>
      <w:r w:rsidR="00B75F45" w:rsidRPr="0046524D">
        <w:t xml:space="preserve">help rationalize and consolidate </w:t>
      </w:r>
      <w:r w:rsidR="00B75F45">
        <w:t>existing</w:t>
      </w:r>
      <w:r w:rsidR="00B75F45" w:rsidRPr="0046524D">
        <w:t xml:space="preserve"> programs</w:t>
      </w:r>
      <w:r w:rsidR="00B75F45">
        <w:t xml:space="preserve"> as well as</w:t>
      </w:r>
      <w:r w:rsidR="00B75F45" w:rsidRPr="0046524D">
        <w:t xml:space="preserve"> </w:t>
      </w:r>
      <w:r w:rsidR="00B75F45">
        <w:t>increase</w:t>
      </w:r>
      <w:r w:rsidR="00B75F45" w:rsidRPr="0046524D">
        <w:t xml:space="preserve"> targeting </w:t>
      </w:r>
      <w:r w:rsidR="00B75F45">
        <w:t>performance</w:t>
      </w:r>
      <w:r w:rsidR="00B75F45" w:rsidRPr="0046524D">
        <w:t xml:space="preserve">. </w:t>
      </w:r>
      <w:r w:rsidR="00447AEE">
        <w:t>T</w:t>
      </w:r>
      <w:r w:rsidR="00447AEE" w:rsidRPr="0046524D">
        <w:t>he mean</w:t>
      </w:r>
      <w:r w:rsidR="007370DA">
        <w:t>s</w:t>
      </w:r>
      <w:r w:rsidR="001F72DF">
        <w:t>-</w:t>
      </w:r>
      <w:r w:rsidR="00447AEE" w:rsidRPr="0046524D">
        <w:t xml:space="preserve">tested </w:t>
      </w:r>
      <w:r w:rsidR="00447AEE">
        <w:t>antipoverty program</w:t>
      </w:r>
      <w:r w:rsidR="00447AEE" w:rsidRPr="0046524D">
        <w:t xml:space="preserve"> introduced under the Marshall Plan Social Contract</w:t>
      </w:r>
      <w:r w:rsidR="00447AEE">
        <w:t xml:space="preserve"> currently reaches about 11,000 low-income households and could be gradually expanded if more resources w</w:t>
      </w:r>
      <w:r w:rsidR="00897B33">
        <w:t>ere</w:t>
      </w:r>
      <w:r w:rsidR="00447AEE">
        <w:t xml:space="preserve"> freed up from untargeted schemes</w:t>
      </w:r>
      <w:r w:rsidR="00447AEE" w:rsidRPr="0046524D">
        <w:t xml:space="preserve">. </w:t>
      </w:r>
      <w:r w:rsidR="00C45C7B">
        <w:t>In addition</w:t>
      </w:r>
      <w:r w:rsidR="00447AEE" w:rsidRPr="0046524D">
        <w:t xml:space="preserve">, </w:t>
      </w:r>
      <w:r w:rsidR="00447AEE">
        <w:t xml:space="preserve">subsidies could be gradually phased out or targeted </w:t>
      </w:r>
      <w:r w:rsidR="00897B33">
        <w:t xml:space="preserve">on </w:t>
      </w:r>
      <w:r w:rsidR="00447AEE">
        <w:t>households that benefit from the Marshall Plan through the Social Register o</w:t>
      </w:r>
      <w:r w:rsidR="00447AEE" w:rsidRPr="00DE7F03">
        <w:t>f Mauritius.</w:t>
      </w:r>
    </w:p>
    <w:p w14:paraId="14B3CBA2" w14:textId="2153D543" w:rsidR="00856671" w:rsidRDefault="00856671" w:rsidP="00856671">
      <w:r w:rsidRPr="001E2286">
        <w:rPr>
          <w:b/>
        </w:rPr>
        <w:t xml:space="preserve">The microsimulation tool developed by the World Bank is a useful instrument that </w:t>
      </w:r>
      <w:r w:rsidR="00BA02B4">
        <w:rPr>
          <w:b/>
        </w:rPr>
        <w:t xml:space="preserve">will </w:t>
      </w:r>
      <w:r w:rsidRPr="001E2286">
        <w:rPr>
          <w:b/>
        </w:rPr>
        <w:t xml:space="preserve">allow </w:t>
      </w:r>
      <w:r w:rsidR="00370FBA">
        <w:rPr>
          <w:b/>
        </w:rPr>
        <w:t>a number of potential</w:t>
      </w:r>
      <w:r w:rsidRPr="001E2286">
        <w:rPr>
          <w:b/>
        </w:rPr>
        <w:t xml:space="preserve"> policy change</w:t>
      </w:r>
      <w:r w:rsidR="00370FBA">
        <w:rPr>
          <w:b/>
        </w:rPr>
        <w:t>s</w:t>
      </w:r>
      <w:r w:rsidRPr="001E2286">
        <w:rPr>
          <w:b/>
        </w:rPr>
        <w:t xml:space="preserve"> </w:t>
      </w:r>
      <w:r w:rsidR="00897B33">
        <w:rPr>
          <w:b/>
        </w:rPr>
        <w:t>to be</w:t>
      </w:r>
      <w:r w:rsidR="00897B33" w:rsidRPr="00897B33">
        <w:rPr>
          <w:b/>
        </w:rPr>
        <w:t xml:space="preserve"> </w:t>
      </w:r>
      <w:r w:rsidR="00897B33" w:rsidRPr="001E2286">
        <w:rPr>
          <w:b/>
        </w:rPr>
        <w:t>simulate</w:t>
      </w:r>
      <w:r w:rsidR="00897B33">
        <w:rPr>
          <w:b/>
        </w:rPr>
        <w:t>d</w:t>
      </w:r>
      <w:r w:rsidR="00897B33" w:rsidRPr="001E2286">
        <w:rPr>
          <w:b/>
        </w:rPr>
        <w:t xml:space="preserve"> </w:t>
      </w:r>
      <w:r w:rsidRPr="001E2286">
        <w:rPr>
          <w:b/>
        </w:rPr>
        <w:t xml:space="preserve">by simply </w:t>
      </w:r>
      <w:r w:rsidR="00370FBA">
        <w:rPr>
          <w:b/>
        </w:rPr>
        <w:t>altering</w:t>
      </w:r>
      <w:r w:rsidRPr="001E2286">
        <w:rPr>
          <w:b/>
        </w:rPr>
        <w:t xml:space="preserve"> a </w:t>
      </w:r>
      <w:r w:rsidR="00370FBA">
        <w:rPr>
          <w:b/>
        </w:rPr>
        <w:t>set of</w:t>
      </w:r>
      <w:r w:rsidRPr="001E2286">
        <w:rPr>
          <w:b/>
        </w:rPr>
        <w:t xml:space="preserve"> parameters </w:t>
      </w:r>
      <w:r w:rsidR="00897B33">
        <w:rPr>
          <w:b/>
        </w:rPr>
        <w:t xml:space="preserve">in </w:t>
      </w:r>
      <w:r w:rsidRPr="001E2286">
        <w:rPr>
          <w:b/>
        </w:rPr>
        <w:t>the fiscal system.</w:t>
      </w:r>
      <w:r>
        <w:t xml:space="preserve"> For example, change</w:t>
      </w:r>
      <w:r w:rsidR="00897B33">
        <w:t>s</w:t>
      </w:r>
      <w:r>
        <w:t xml:space="preserve"> in the tax rates, additional income tax brackets</w:t>
      </w:r>
      <w:r w:rsidR="00897B33">
        <w:t>,</w:t>
      </w:r>
      <w:r>
        <w:t xml:space="preserve"> </w:t>
      </w:r>
      <w:r w:rsidR="00897B33">
        <w:t xml:space="preserve">and </w:t>
      </w:r>
      <w:r>
        <w:t>shifts in the basic salary thresholds for the NIT or in the cash transfer amount provided under the Marshall Plan Social Contract c</w:t>
      </w:r>
      <w:r w:rsidR="00163CC6">
        <w:t>ould</w:t>
      </w:r>
      <w:r>
        <w:t xml:space="preserve"> be easily simulated within the model.</w:t>
      </w:r>
    </w:p>
    <w:p w14:paraId="4F01A96E" w14:textId="1A646E06" w:rsidR="00447AEE" w:rsidRDefault="00447AEE" w:rsidP="00447AEE"/>
    <w:p w14:paraId="310FE574" w14:textId="7018B35E" w:rsidR="00FC291A" w:rsidRDefault="00270E6D" w:rsidP="00847D21">
      <w:pPr>
        <w:jc w:val="left"/>
      </w:pPr>
      <w:r>
        <w:br w:type="page"/>
      </w:r>
    </w:p>
    <w:p w14:paraId="03A1498A" w14:textId="77777777" w:rsidR="009379E6" w:rsidRPr="00FC291A" w:rsidRDefault="00FC291A" w:rsidP="00FC291A">
      <w:pPr>
        <w:pStyle w:val="Heading1"/>
        <w:numPr>
          <w:ilvl w:val="0"/>
          <w:numId w:val="2"/>
        </w:numPr>
        <w:rPr>
          <w:rFonts w:ascii="Times New Roman" w:hAnsi="Times New Roman" w:cs="Times New Roman"/>
        </w:rPr>
      </w:pPr>
      <w:bookmarkStart w:id="19" w:name="_Toc8812794"/>
      <w:bookmarkStart w:id="20" w:name="_Toc10824867"/>
      <w:bookmarkStart w:id="21" w:name="_Toc10824939"/>
      <w:r w:rsidRPr="00FC291A">
        <w:rPr>
          <w:rFonts w:ascii="Times New Roman" w:hAnsi="Times New Roman" w:cs="Times New Roman"/>
        </w:rPr>
        <w:t>Introduction</w:t>
      </w:r>
      <w:bookmarkEnd w:id="19"/>
      <w:bookmarkEnd w:id="20"/>
      <w:bookmarkEnd w:id="21"/>
    </w:p>
    <w:p w14:paraId="746D93B3" w14:textId="225BC767" w:rsidR="00C56BD7" w:rsidRPr="00CF2C8C" w:rsidRDefault="00C56BD7" w:rsidP="00C56BD7">
      <w:pPr>
        <w:rPr>
          <w:rFonts w:cs="Times New Roman"/>
        </w:rPr>
      </w:pPr>
      <w:r w:rsidRPr="002E5A55">
        <w:rPr>
          <w:rFonts w:cs="Times New Roman"/>
          <w:b/>
        </w:rPr>
        <w:t xml:space="preserve">Over the </w:t>
      </w:r>
      <w:r w:rsidR="00897B33">
        <w:rPr>
          <w:rFonts w:cs="Times New Roman"/>
          <w:b/>
        </w:rPr>
        <w:t>p</w:t>
      </w:r>
      <w:r w:rsidRPr="002E5A55">
        <w:rPr>
          <w:rFonts w:cs="Times New Roman"/>
          <w:b/>
        </w:rPr>
        <w:t xml:space="preserve">ast decade, steady economic growth has placed Mauritius solidly </w:t>
      </w:r>
      <w:r w:rsidR="0050217E">
        <w:rPr>
          <w:rFonts w:cs="Times New Roman"/>
          <w:b/>
        </w:rPr>
        <w:t xml:space="preserve">among </w:t>
      </w:r>
      <w:r w:rsidRPr="002E5A55">
        <w:rPr>
          <w:rFonts w:cs="Times New Roman"/>
          <w:b/>
        </w:rPr>
        <w:t>upper</w:t>
      </w:r>
      <w:r w:rsidR="0050217E">
        <w:rPr>
          <w:rFonts w:cs="Times New Roman"/>
          <w:b/>
        </w:rPr>
        <w:t>-</w:t>
      </w:r>
      <w:r w:rsidRPr="002E5A55">
        <w:rPr>
          <w:rFonts w:cs="Times New Roman"/>
          <w:b/>
        </w:rPr>
        <w:t>middle</w:t>
      </w:r>
      <w:r w:rsidR="0050217E">
        <w:rPr>
          <w:rFonts w:cs="Times New Roman"/>
          <w:b/>
        </w:rPr>
        <w:t>-</w:t>
      </w:r>
      <w:r w:rsidRPr="002E5A55">
        <w:rPr>
          <w:rFonts w:cs="Times New Roman"/>
          <w:b/>
        </w:rPr>
        <w:t xml:space="preserve">income </w:t>
      </w:r>
      <w:r w:rsidR="0050217E">
        <w:rPr>
          <w:rFonts w:cs="Times New Roman"/>
          <w:b/>
        </w:rPr>
        <w:t xml:space="preserve">countries </w:t>
      </w:r>
      <w:r w:rsidRPr="002E5A55">
        <w:rPr>
          <w:rFonts w:cs="Times New Roman"/>
          <w:b/>
        </w:rPr>
        <w:t>and has contributed to reducing poverty.</w:t>
      </w:r>
      <w:r w:rsidRPr="007B12BD">
        <w:rPr>
          <w:rFonts w:cs="Times New Roman"/>
        </w:rPr>
        <w:t xml:space="preserve"> </w:t>
      </w:r>
      <w:r w:rsidR="00DC4D15">
        <w:rPr>
          <w:rFonts w:cs="Times New Roman"/>
        </w:rPr>
        <w:t>At</w:t>
      </w:r>
      <w:r>
        <w:rPr>
          <w:rFonts w:cs="Times New Roman"/>
        </w:rPr>
        <w:t xml:space="preserve"> an average</w:t>
      </w:r>
      <w:r w:rsidR="00445146">
        <w:rPr>
          <w:rFonts w:cs="Times New Roman"/>
        </w:rPr>
        <w:t xml:space="preserve"> of about 3.6 percent,</w:t>
      </w:r>
      <w:r>
        <w:rPr>
          <w:rFonts w:cs="Times New Roman"/>
        </w:rPr>
        <w:t xml:space="preserve"> annual per capita growth</w:t>
      </w:r>
      <w:r w:rsidR="009B75E9">
        <w:rPr>
          <w:rFonts w:cs="Times New Roman"/>
        </w:rPr>
        <w:t xml:space="preserve"> </w:t>
      </w:r>
      <w:r w:rsidR="0050217E">
        <w:rPr>
          <w:rFonts w:cs="Times New Roman"/>
        </w:rPr>
        <w:t xml:space="preserve">in gross domestic product (GDP) </w:t>
      </w:r>
      <w:r w:rsidR="009B75E9">
        <w:rPr>
          <w:rFonts w:cs="Times New Roman"/>
        </w:rPr>
        <w:t>has been accompanied by</w:t>
      </w:r>
      <w:r>
        <w:rPr>
          <w:rFonts w:cs="Times New Roman"/>
        </w:rPr>
        <w:t xml:space="preserve"> a process of structural transformation </w:t>
      </w:r>
      <w:r w:rsidRPr="00E63E9B">
        <w:rPr>
          <w:rFonts w:cs="Times New Roman"/>
        </w:rPr>
        <w:t>from traditional and low-skill sectors</w:t>
      </w:r>
      <w:r>
        <w:rPr>
          <w:rFonts w:cs="Times New Roman"/>
        </w:rPr>
        <w:t>,</w:t>
      </w:r>
      <w:r w:rsidRPr="00E63E9B">
        <w:rPr>
          <w:rFonts w:cs="Times New Roman"/>
        </w:rPr>
        <w:t xml:space="preserve"> </w:t>
      </w:r>
      <w:r>
        <w:rPr>
          <w:rFonts w:cs="Times New Roman"/>
        </w:rPr>
        <w:t>such as agricultural and textile</w:t>
      </w:r>
      <w:r w:rsidR="0050217E">
        <w:rPr>
          <w:rFonts w:cs="Times New Roman"/>
        </w:rPr>
        <w:t>s</w:t>
      </w:r>
      <w:r>
        <w:rPr>
          <w:rFonts w:cs="Times New Roman"/>
        </w:rPr>
        <w:t xml:space="preserve">, </w:t>
      </w:r>
      <w:r w:rsidRPr="00E63E9B">
        <w:rPr>
          <w:rFonts w:cs="Times New Roman"/>
        </w:rPr>
        <w:t>to</w:t>
      </w:r>
      <w:r>
        <w:rPr>
          <w:rFonts w:cs="Times New Roman"/>
        </w:rPr>
        <w:t>ward</w:t>
      </w:r>
      <w:r w:rsidRPr="00E63E9B">
        <w:rPr>
          <w:rFonts w:cs="Times New Roman"/>
        </w:rPr>
        <w:t xml:space="preserve"> services.</w:t>
      </w:r>
      <w:r>
        <w:rPr>
          <w:rFonts w:cs="Times New Roman"/>
        </w:rPr>
        <w:t xml:space="preserve"> </w:t>
      </w:r>
      <w:r w:rsidR="00B50530">
        <w:rPr>
          <w:rFonts w:cs="Times New Roman"/>
        </w:rPr>
        <w:t>In 2017, p</w:t>
      </w:r>
      <w:r w:rsidRPr="0065121A">
        <w:rPr>
          <w:rFonts w:cs="Times New Roman"/>
        </w:rPr>
        <w:t>er capita</w:t>
      </w:r>
      <w:r>
        <w:rPr>
          <w:rFonts w:cs="Times New Roman"/>
        </w:rPr>
        <w:t xml:space="preserve"> GDP of $22,3</w:t>
      </w:r>
      <w:r w:rsidR="009C790C">
        <w:rPr>
          <w:rFonts w:cs="Times New Roman"/>
        </w:rPr>
        <w:t>56</w:t>
      </w:r>
      <w:r w:rsidRPr="0065121A">
        <w:rPr>
          <w:rFonts w:cs="Times New Roman"/>
        </w:rPr>
        <w:t xml:space="preserve"> </w:t>
      </w:r>
      <w:r>
        <w:rPr>
          <w:rFonts w:cs="Times New Roman"/>
        </w:rPr>
        <w:t xml:space="preserve">(measured in current international dollars) </w:t>
      </w:r>
      <w:r w:rsidRPr="0065121A">
        <w:rPr>
          <w:rFonts w:cs="Times New Roman"/>
        </w:rPr>
        <w:t xml:space="preserve">is the </w:t>
      </w:r>
      <w:r w:rsidR="0050217E">
        <w:rPr>
          <w:rFonts w:cs="Times New Roman"/>
        </w:rPr>
        <w:t xml:space="preserve">third </w:t>
      </w:r>
      <w:r>
        <w:rPr>
          <w:rFonts w:cs="Times New Roman"/>
        </w:rPr>
        <w:t>highest in Africa and places Mauritius</w:t>
      </w:r>
      <w:r w:rsidRPr="0065121A">
        <w:rPr>
          <w:rFonts w:cs="Times New Roman"/>
        </w:rPr>
        <w:t xml:space="preserve"> solidly in the upper</w:t>
      </w:r>
      <w:r w:rsidR="0050217E">
        <w:rPr>
          <w:rFonts w:cs="Times New Roman"/>
        </w:rPr>
        <w:t>-</w:t>
      </w:r>
      <w:r w:rsidRPr="0065121A">
        <w:rPr>
          <w:rFonts w:cs="Times New Roman"/>
        </w:rPr>
        <w:t>middle</w:t>
      </w:r>
      <w:r w:rsidR="0050217E">
        <w:rPr>
          <w:rFonts w:cs="Times New Roman"/>
        </w:rPr>
        <w:t>-</w:t>
      </w:r>
      <w:r w:rsidRPr="0065121A">
        <w:rPr>
          <w:rFonts w:cs="Times New Roman"/>
        </w:rPr>
        <w:t>income category.</w:t>
      </w:r>
      <w:r>
        <w:rPr>
          <w:rFonts w:cs="Times New Roman"/>
        </w:rPr>
        <w:t xml:space="preserve"> Measured against the $5.5</w:t>
      </w:r>
      <w:r w:rsidR="0050217E">
        <w:rPr>
          <w:rFonts w:cs="Times New Roman"/>
        </w:rPr>
        <w:t>0-a-</w:t>
      </w:r>
      <w:r>
        <w:rPr>
          <w:rFonts w:cs="Times New Roman"/>
        </w:rPr>
        <w:t xml:space="preserve">day 2011 </w:t>
      </w:r>
      <w:r w:rsidR="0050217E">
        <w:rPr>
          <w:rFonts w:cs="Times New Roman"/>
        </w:rPr>
        <w:t>purchasing power parity (</w:t>
      </w:r>
      <w:r>
        <w:rPr>
          <w:rFonts w:cs="Times New Roman"/>
        </w:rPr>
        <w:t>PPP</w:t>
      </w:r>
      <w:r w:rsidR="0050217E">
        <w:rPr>
          <w:rFonts w:cs="Times New Roman"/>
        </w:rPr>
        <w:t>)</w:t>
      </w:r>
      <w:r>
        <w:rPr>
          <w:rFonts w:cs="Times New Roman"/>
        </w:rPr>
        <w:t xml:space="preserve"> line, </w:t>
      </w:r>
      <w:r w:rsidR="002B53B2">
        <w:rPr>
          <w:rFonts w:cs="Times New Roman"/>
        </w:rPr>
        <w:t xml:space="preserve">consumption-based </w:t>
      </w:r>
      <w:r>
        <w:rPr>
          <w:rFonts w:cs="Times New Roman"/>
        </w:rPr>
        <w:t xml:space="preserve">poverty </w:t>
      </w:r>
      <w:r w:rsidR="00F70578">
        <w:rPr>
          <w:rFonts w:cs="Times New Roman"/>
        </w:rPr>
        <w:t>declined from</w:t>
      </w:r>
      <w:r>
        <w:rPr>
          <w:rFonts w:cs="Times New Roman"/>
        </w:rPr>
        <w:t xml:space="preserve"> </w:t>
      </w:r>
      <w:r w:rsidR="003A292A">
        <w:rPr>
          <w:rFonts w:cs="Times New Roman"/>
        </w:rPr>
        <w:t xml:space="preserve">20.3 percent in 2006/07 to </w:t>
      </w:r>
      <w:r w:rsidRPr="00A124CE">
        <w:rPr>
          <w:rFonts w:cs="Times New Roman"/>
        </w:rPr>
        <w:t>18.1</w:t>
      </w:r>
      <w:r>
        <w:rPr>
          <w:rFonts w:cs="Times New Roman"/>
        </w:rPr>
        <w:t xml:space="preserve"> percent in 2012</w:t>
      </w:r>
      <w:r w:rsidR="003A292A">
        <w:rPr>
          <w:rFonts w:cs="Times New Roman"/>
        </w:rPr>
        <w:t xml:space="preserve"> and r</w:t>
      </w:r>
      <w:r w:rsidR="003A292A" w:rsidRPr="00EF4FA9">
        <w:rPr>
          <w:rFonts w:cs="Times New Roman"/>
        </w:rPr>
        <w:t xml:space="preserve">eached </w:t>
      </w:r>
      <w:r w:rsidR="00BE57AB" w:rsidRPr="00EF4FA9">
        <w:rPr>
          <w:rFonts w:cs="Times New Roman"/>
        </w:rPr>
        <w:t>12.1</w:t>
      </w:r>
      <w:r w:rsidR="00883F99" w:rsidRPr="00EF4FA9">
        <w:rPr>
          <w:rFonts w:cs="Times New Roman"/>
        </w:rPr>
        <w:t xml:space="preserve"> perc</w:t>
      </w:r>
      <w:r w:rsidR="00883F99">
        <w:rPr>
          <w:rFonts w:cs="Times New Roman"/>
        </w:rPr>
        <w:t xml:space="preserve">ent </w:t>
      </w:r>
      <w:r w:rsidR="003A292A">
        <w:rPr>
          <w:rFonts w:cs="Times New Roman"/>
        </w:rPr>
        <w:t>in 2017</w:t>
      </w:r>
      <w:r>
        <w:rPr>
          <w:rFonts w:cs="Times New Roman"/>
        </w:rPr>
        <w:t>, well below the average of 34.4 percent among upper</w:t>
      </w:r>
      <w:r w:rsidR="0050217E">
        <w:rPr>
          <w:rFonts w:cs="Times New Roman"/>
        </w:rPr>
        <w:t>-</w:t>
      </w:r>
      <w:r>
        <w:rPr>
          <w:rFonts w:cs="Times New Roman"/>
        </w:rPr>
        <w:t>middle</w:t>
      </w:r>
      <w:r w:rsidR="0050217E">
        <w:rPr>
          <w:rFonts w:cs="Times New Roman"/>
        </w:rPr>
        <w:t>-</w:t>
      </w:r>
      <w:r>
        <w:rPr>
          <w:rFonts w:cs="Times New Roman"/>
        </w:rPr>
        <w:t>income countries.</w:t>
      </w:r>
    </w:p>
    <w:p w14:paraId="2AC83270" w14:textId="32469E6A" w:rsidR="00C56BD7" w:rsidRDefault="00C56BD7" w:rsidP="00C56BD7">
      <w:pPr>
        <w:rPr>
          <w:rFonts w:cs="Times New Roman"/>
        </w:rPr>
      </w:pPr>
      <w:r w:rsidRPr="002E5A55">
        <w:rPr>
          <w:rFonts w:cs="Times New Roman"/>
          <w:b/>
        </w:rPr>
        <w:t>Economic growth has been accompanied by an increase in income inequality</w:t>
      </w:r>
      <w:r w:rsidR="00F33BAB">
        <w:rPr>
          <w:rFonts w:cs="Times New Roman"/>
          <w:b/>
        </w:rPr>
        <w:t xml:space="preserve"> that has recently started to decline</w:t>
      </w:r>
      <w:r w:rsidR="002A64A6" w:rsidRPr="002E5A55">
        <w:rPr>
          <w:rFonts w:cs="Times New Roman"/>
          <w:b/>
        </w:rPr>
        <w:t>.</w:t>
      </w:r>
      <w:r w:rsidRPr="00CF2C8C">
        <w:rPr>
          <w:rFonts w:cs="Times New Roman"/>
        </w:rPr>
        <w:t xml:space="preserve"> </w:t>
      </w:r>
      <w:r w:rsidR="004D1ACC">
        <w:rPr>
          <w:rFonts w:cs="Times New Roman"/>
        </w:rPr>
        <w:t>I</w:t>
      </w:r>
      <w:r w:rsidR="000B1258" w:rsidRPr="004A3AB3">
        <w:rPr>
          <w:rFonts w:cs="Times New Roman"/>
        </w:rPr>
        <w:t>nequality in Mauritius has widened substantially over the last 15 years. Th</w:t>
      </w:r>
      <w:r w:rsidR="000B1258">
        <w:rPr>
          <w:rFonts w:cs="Times New Roman"/>
        </w:rPr>
        <w:t xml:space="preserve">e World Bank (2017) shows </w:t>
      </w:r>
      <w:r w:rsidR="000B1258" w:rsidRPr="00C94EDA">
        <w:rPr>
          <w:rFonts w:cs="Times New Roman"/>
        </w:rPr>
        <w:t>that</w:t>
      </w:r>
      <w:r w:rsidR="000B1258">
        <w:rPr>
          <w:rFonts w:cs="Times New Roman"/>
        </w:rPr>
        <w:t xml:space="preserve"> </w:t>
      </w:r>
      <w:r w:rsidR="000B1258" w:rsidRPr="00C94EDA">
        <w:rPr>
          <w:rFonts w:cs="Times New Roman"/>
        </w:rPr>
        <w:t xml:space="preserve">household income inequality </w:t>
      </w:r>
      <w:r w:rsidR="000B1258">
        <w:rPr>
          <w:rFonts w:cs="Times New Roman"/>
        </w:rPr>
        <w:t>has widened particularly</w:t>
      </w:r>
      <w:r w:rsidR="000B1258" w:rsidRPr="00C94EDA">
        <w:rPr>
          <w:rFonts w:cs="Times New Roman"/>
        </w:rPr>
        <w:t xml:space="preserve"> in the aftermath of the global economic downturn and terms-of-trade shock that hit Mauritius between 2008 and 2015. </w:t>
      </w:r>
      <w:r w:rsidR="004D1ACC">
        <w:rPr>
          <w:rFonts w:cs="Times New Roman"/>
        </w:rPr>
        <w:t xml:space="preserve">However, recent estimates reveal a </w:t>
      </w:r>
      <w:r w:rsidR="004E37E0">
        <w:rPr>
          <w:rFonts w:cs="Times New Roman"/>
        </w:rPr>
        <w:t>trend reversal</w:t>
      </w:r>
      <w:r w:rsidR="003E4743">
        <w:rPr>
          <w:rFonts w:cs="Times New Roman"/>
        </w:rPr>
        <w:t xml:space="preserve">. </w:t>
      </w:r>
      <w:r w:rsidRPr="004A3AB3">
        <w:rPr>
          <w:rFonts w:cs="Times New Roman"/>
        </w:rPr>
        <w:t xml:space="preserve">As measured by the Gini </w:t>
      </w:r>
      <w:r w:rsidR="00B50DCA">
        <w:rPr>
          <w:rFonts w:cs="Times New Roman"/>
        </w:rPr>
        <w:t>index</w:t>
      </w:r>
      <w:r w:rsidRPr="004A3AB3">
        <w:rPr>
          <w:rFonts w:cs="Times New Roman"/>
        </w:rPr>
        <w:t xml:space="preserve">, </w:t>
      </w:r>
      <w:r w:rsidR="00AF67F2">
        <w:rPr>
          <w:rFonts w:cs="Times New Roman"/>
        </w:rPr>
        <w:t xml:space="preserve">income </w:t>
      </w:r>
      <w:r w:rsidRPr="004A3AB3">
        <w:rPr>
          <w:rFonts w:cs="Times New Roman"/>
        </w:rPr>
        <w:t xml:space="preserve">inequality in Mauritius </w:t>
      </w:r>
      <w:r w:rsidR="00BB70FB">
        <w:rPr>
          <w:rFonts w:cs="Times New Roman"/>
        </w:rPr>
        <w:t>has decline</w:t>
      </w:r>
      <w:r w:rsidR="004D0578">
        <w:rPr>
          <w:rFonts w:cs="Times New Roman"/>
        </w:rPr>
        <w:t>d</w:t>
      </w:r>
      <w:r w:rsidR="00BB70FB">
        <w:rPr>
          <w:rFonts w:cs="Times New Roman"/>
        </w:rPr>
        <w:t xml:space="preserve"> from 38.6 </w:t>
      </w:r>
      <w:r w:rsidR="003E4743">
        <w:rPr>
          <w:rFonts w:cs="Times New Roman"/>
        </w:rPr>
        <w:t>in 2012 to 36.5</w:t>
      </w:r>
      <w:r w:rsidR="00BB70FB">
        <w:rPr>
          <w:rFonts w:cs="Times New Roman"/>
        </w:rPr>
        <w:t xml:space="preserve"> </w:t>
      </w:r>
      <w:r w:rsidR="00B50DCA">
        <w:rPr>
          <w:rFonts w:cs="Times New Roman"/>
        </w:rPr>
        <w:t>in 2017</w:t>
      </w:r>
      <w:r w:rsidR="00666C58">
        <w:rPr>
          <w:rFonts w:cs="Times New Roman"/>
        </w:rPr>
        <w:t xml:space="preserve">. </w:t>
      </w:r>
      <w:r w:rsidR="0050217E">
        <w:rPr>
          <w:rFonts w:cs="Times New Roman"/>
        </w:rPr>
        <w:t xml:space="preserve">This </w:t>
      </w:r>
      <w:r w:rsidRPr="004A3AB3">
        <w:rPr>
          <w:rFonts w:cs="Times New Roman"/>
        </w:rPr>
        <w:t xml:space="preserve">is </w:t>
      </w:r>
      <w:r>
        <w:rPr>
          <w:rFonts w:cs="Times New Roman"/>
        </w:rPr>
        <w:t xml:space="preserve">comparable </w:t>
      </w:r>
      <w:r w:rsidR="0050217E">
        <w:rPr>
          <w:rFonts w:cs="Times New Roman"/>
        </w:rPr>
        <w:t xml:space="preserve">with </w:t>
      </w:r>
      <w:r>
        <w:rPr>
          <w:rFonts w:cs="Times New Roman"/>
        </w:rPr>
        <w:t>the level of inequality in</w:t>
      </w:r>
      <w:r w:rsidRPr="004A3AB3">
        <w:rPr>
          <w:rFonts w:cs="Times New Roman"/>
        </w:rPr>
        <w:t xml:space="preserve"> countries at a similar level of economic development and </w:t>
      </w:r>
      <w:r>
        <w:rPr>
          <w:rFonts w:cs="Times New Roman"/>
        </w:rPr>
        <w:t xml:space="preserve">moderate </w:t>
      </w:r>
      <w:r w:rsidRPr="004A3AB3">
        <w:rPr>
          <w:rFonts w:cs="Times New Roman"/>
        </w:rPr>
        <w:t>compared with the most unequal countries in the world</w:t>
      </w:r>
      <w:r>
        <w:rPr>
          <w:rFonts w:cs="Times New Roman"/>
        </w:rPr>
        <w:t>,</w:t>
      </w:r>
      <w:r w:rsidRPr="004A3AB3">
        <w:rPr>
          <w:rFonts w:cs="Times New Roman"/>
        </w:rPr>
        <w:t xml:space="preserve"> such as South Africa (0.63)</w:t>
      </w:r>
      <w:r>
        <w:rPr>
          <w:rFonts w:cs="Times New Roman"/>
        </w:rPr>
        <w:t>, Botswana (0.61)</w:t>
      </w:r>
      <w:r w:rsidR="0050217E">
        <w:rPr>
          <w:rFonts w:cs="Times New Roman"/>
        </w:rPr>
        <w:t>,</w:t>
      </w:r>
      <w:r>
        <w:rPr>
          <w:rFonts w:cs="Times New Roman"/>
        </w:rPr>
        <w:t xml:space="preserve"> and Namibia (0.59)</w:t>
      </w:r>
      <w:r w:rsidRPr="004A3AB3">
        <w:rPr>
          <w:rFonts w:cs="Times New Roman"/>
        </w:rPr>
        <w:t>.</w:t>
      </w:r>
      <w:r w:rsidR="001E1DA7">
        <w:rPr>
          <w:rStyle w:val="FootnoteReference"/>
          <w:rFonts w:cs="Times New Roman"/>
        </w:rPr>
        <w:footnoteReference w:id="3"/>
      </w:r>
    </w:p>
    <w:p w14:paraId="7D4409C0" w14:textId="5A3809FE" w:rsidR="004D1E47" w:rsidRDefault="00D757CE" w:rsidP="004D1E47">
      <w:pPr>
        <w:rPr>
          <w:rFonts w:cs="Times New Roman"/>
        </w:rPr>
      </w:pPr>
      <w:r w:rsidRPr="002E5A55">
        <w:rPr>
          <w:rFonts w:cs="Times New Roman"/>
          <w:b/>
        </w:rPr>
        <w:t>Rising inequality in household income from labor has been the main culprit behind the growth in overall income inequality</w:t>
      </w:r>
      <w:r w:rsidR="003F1BBD" w:rsidRPr="002E5A55">
        <w:rPr>
          <w:rFonts w:cs="Times New Roman"/>
          <w:b/>
        </w:rPr>
        <w:t>.</w:t>
      </w:r>
      <w:r w:rsidR="003F1BBD">
        <w:rPr>
          <w:rFonts w:cs="Times New Roman"/>
        </w:rPr>
        <w:t xml:space="preserve"> </w:t>
      </w:r>
      <w:r w:rsidR="00E94ECC">
        <w:rPr>
          <w:rFonts w:cs="Times New Roman"/>
        </w:rPr>
        <w:t>S</w:t>
      </w:r>
      <w:r w:rsidR="004D1E47" w:rsidRPr="004D1E47">
        <w:rPr>
          <w:rFonts w:cs="Times New Roman"/>
        </w:rPr>
        <w:t xml:space="preserve">kills shortages </w:t>
      </w:r>
      <w:r w:rsidR="00E94ECC">
        <w:rPr>
          <w:rFonts w:cs="Times New Roman"/>
        </w:rPr>
        <w:t>ascribable to the</w:t>
      </w:r>
      <w:r w:rsidR="004D1E47" w:rsidRPr="004D1E47">
        <w:rPr>
          <w:rFonts w:cs="Times New Roman"/>
        </w:rPr>
        <w:t xml:space="preserve"> structural transformation </w:t>
      </w:r>
      <w:r w:rsidR="00E94ECC">
        <w:rPr>
          <w:rFonts w:cs="Times New Roman"/>
        </w:rPr>
        <w:t xml:space="preserve">of the economy </w:t>
      </w:r>
      <w:r w:rsidR="004D1E47" w:rsidRPr="004D1E47">
        <w:rPr>
          <w:rFonts w:cs="Times New Roman"/>
        </w:rPr>
        <w:t>ha</w:t>
      </w:r>
      <w:r w:rsidR="00E94ECC">
        <w:rPr>
          <w:rFonts w:cs="Times New Roman"/>
        </w:rPr>
        <w:t>ve</w:t>
      </w:r>
      <w:r w:rsidR="004D1E47" w:rsidRPr="004D1E47">
        <w:rPr>
          <w:rFonts w:cs="Times New Roman"/>
        </w:rPr>
        <w:t xml:space="preserve"> been the single most important contributor to increasing inequality</w:t>
      </w:r>
      <w:r w:rsidR="00E94ECC">
        <w:rPr>
          <w:rFonts w:cs="Times New Roman"/>
        </w:rPr>
        <w:t xml:space="preserve"> in earnings</w:t>
      </w:r>
      <w:r w:rsidR="00AE6CCB">
        <w:rPr>
          <w:rFonts w:cs="Times New Roman"/>
        </w:rPr>
        <w:t xml:space="preserve"> (World Bank 2017)</w:t>
      </w:r>
      <w:r w:rsidR="004D1E47" w:rsidRPr="004D1E47">
        <w:rPr>
          <w:rFonts w:cs="Times New Roman"/>
        </w:rPr>
        <w:t>.</w:t>
      </w:r>
      <w:r w:rsidR="004D1E47" w:rsidRPr="00734B00">
        <w:rPr>
          <w:rFonts w:cs="Times New Roman"/>
        </w:rPr>
        <w:t xml:space="preserve"> The economy has experienced a progressive shift from traditional and low-skill sectors to services, notably professional, real estate, and financial services. This transformation has generated a considerable rise in the demand for skilled workers that has not been matched by an equally rapid increase in the supply of skilled workers, notwithstanding the substantial improvement in educational attainment among the population. </w:t>
      </w:r>
      <w:r w:rsidR="004D1E47">
        <w:rPr>
          <w:rFonts w:cs="Times New Roman"/>
        </w:rPr>
        <w:t>As a consequence, high-skilled workers benefited from considerably larger increase</w:t>
      </w:r>
      <w:r w:rsidR="004F3569">
        <w:rPr>
          <w:rFonts w:cs="Times New Roman"/>
        </w:rPr>
        <w:t>s</w:t>
      </w:r>
      <w:r w:rsidR="004D1E47">
        <w:rPr>
          <w:rFonts w:cs="Times New Roman"/>
        </w:rPr>
        <w:t xml:space="preserve"> in wages compared with low-skilled workers.</w:t>
      </w:r>
    </w:p>
    <w:p w14:paraId="1DB21277" w14:textId="3F949D71" w:rsidR="00971594" w:rsidRDefault="005E7D22">
      <w:pPr>
        <w:rPr>
          <w:rFonts w:cs="Times New Roman"/>
        </w:rPr>
      </w:pPr>
      <w:r>
        <w:rPr>
          <w:rFonts w:cs="Times New Roman"/>
          <w:b/>
        </w:rPr>
        <w:t>T</w:t>
      </w:r>
      <w:r w:rsidRPr="002E5A55">
        <w:rPr>
          <w:rFonts w:cs="Times New Roman"/>
          <w:b/>
        </w:rPr>
        <w:t xml:space="preserve">he government’s efforts to redistribute the benefits of growth </w:t>
      </w:r>
      <w:r>
        <w:rPr>
          <w:rFonts w:cs="Times New Roman"/>
          <w:b/>
        </w:rPr>
        <w:t xml:space="preserve">have helped </w:t>
      </w:r>
      <w:r w:rsidR="00141D86">
        <w:rPr>
          <w:rFonts w:cs="Times New Roman"/>
          <w:b/>
        </w:rPr>
        <w:t xml:space="preserve">partially </w:t>
      </w:r>
      <w:r>
        <w:rPr>
          <w:rFonts w:cs="Times New Roman"/>
          <w:b/>
        </w:rPr>
        <w:t>mitigate</w:t>
      </w:r>
      <w:r w:rsidR="00073761" w:rsidRPr="002E5A55">
        <w:rPr>
          <w:rFonts w:cs="Times New Roman"/>
          <w:b/>
        </w:rPr>
        <w:t xml:space="preserve"> the increases in </w:t>
      </w:r>
      <w:r w:rsidR="00437BDB">
        <w:rPr>
          <w:rFonts w:cs="Times New Roman"/>
          <w:b/>
        </w:rPr>
        <w:t>labor income</w:t>
      </w:r>
      <w:r w:rsidR="00073761" w:rsidRPr="002E5A55">
        <w:rPr>
          <w:rFonts w:cs="Times New Roman"/>
          <w:b/>
        </w:rPr>
        <w:t xml:space="preserve"> inequality</w:t>
      </w:r>
      <w:r w:rsidR="009B23FE" w:rsidRPr="002E5A55">
        <w:rPr>
          <w:rFonts w:cs="Times New Roman"/>
          <w:b/>
        </w:rPr>
        <w:t>.</w:t>
      </w:r>
      <w:r w:rsidR="009B23FE">
        <w:rPr>
          <w:rFonts w:cs="Times New Roman"/>
        </w:rPr>
        <w:t xml:space="preserve"> </w:t>
      </w:r>
      <w:r w:rsidR="00597906">
        <w:rPr>
          <w:rFonts w:cs="Times New Roman"/>
        </w:rPr>
        <w:t xml:space="preserve">Estimates based on data from the labor force survey indicate </w:t>
      </w:r>
      <w:r w:rsidR="00437BDB">
        <w:rPr>
          <w:rFonts w:cs="Times New Roman"/>
        </w:rPr>
        <w:t xml:space="preserve">that the Gini </w:t>
      </w:r>
      <w:r w:rsidR="004F3569">
        <w:rPr>
          <w:rFonts w:cs="Times New Roman"/>
        </w:rPr>
        <w:t xml:space="preserve">coefficient </w:t>
      </w:r>
      <w:r w:rsidR="00D95486">
        <w:rPr>
          <w:rFonts w:cs="Times New Roman"/>
        </w:rPr>
        <w:t xml:space="preserve">based on household income from labor increased </w:t>
      </w:r>
      <w:r w:rsidR="005A72F1">
        <w:rPr>
          <w:rFonts w:cs="Times New Roman"/>
        </w:rPr>
        <w:t>by 8 Gini point</w:t>
      </w:r>
      <w:r w:rsidR="004F3569">
        <w:rPr>
          <w:rFonts w:cs="Times New Roman"/>
        </w:rPr>
        <w:t>s,</w:t>
      </w:r>
      <w:r w:rsidR="005A72F1">
        <w:rPr>
          <w:rFonts w:cs="Times New Roman"/>
        </w:rPr>
        <w:t xml:space="preserve"> </w:t>
      </w:r>
      <w:r w:rsidR="00D95486">
        <w:rPr>
          <w:rFonts w:cs="Times New Roman"/>
        </w:rPr>
        <w:t xml:space="preserve">from </w:t>
      </w:r>
      <w:r w:rsidR="00CE7C1F">
        <w:rPr>
          <w:rFonts w:cs="Times New Roman"/>
        </w:rPr>
        <w:t xml:space="preserve">0.42 </w:t>
      </w:r>
      <w:r w:rsidR="00D95486">
        <w:rPr>
          <w:rFonts w:cs="Times New Roman"/>
        </w:rPr>
        <w:t xml:space="preserve">in 2001 to </w:t>
      </w:r>
      <w:r w:rsidR="00CE7C1F">
        <w:rPr>
          <w:rFonts w:cs="Times New Roman"/>
        </w:rPr>
        <w:t xml:space="preserve">0.49 </w:t>
      </w:r>
      <w:r w:rsidR="00D95486">
        <w:rPr>
          <w:rFonts w:cs="Times New Roman"/>
        </w:rPr>
        <w:t xml:space="preserve">in 2015 (World Bank 2017). At the same time, inequality in </w:t>
      </w:r>
      <w:r w:rsidR="00CE7C1F">
        <w:rPr>
          <w:rFonts w:cs="Times New Roman"/>
        </w:rPr>
        <w:t>household</w:t>
      </w:r>
      <w:r w:rsidR="00D95486">
        <w:rPr>
          <w:rFonts w:cs="Times New Roman"/>
        </w:rPr>
        <w:t xml:space="preserve"> total income </w:t>
      </w:r>
      <w:r w:rsidR="005A72F1">
        <w:rPr>
          <w:rFonts w:cs="Times New Roman"/>
        </w:rPr>
        <w:t xml:space="preserve">expanded </w:t>
      </w:r>
      <w:r w:rsidR="00232770">
        <w:rPr>
          <w:rFonts w:cs="Times New Roman"/>
        </w:rPr>
        <w:t xml:space="preserve">by only </w:t>
      </w:r>
      <w:r w:rsidR="00C8092C">
        <w:rPr>
          <w:rFonts w:cs="Times New Roman"/>
        </w:rPr>
        <w:t>6 Gini points</w:t>
      </w:r>
      <w:r w:rsidR="004F3569">
        <w:rPr>
          <w:rFonts w:cs="Times New Roman"/>
        </w:rPr>
        <w:t>,</w:t>
      </w:r>
      <w:r w:rsidR="00C8092C">
        <w:rPr>
          <w:rFonts w:cs="Times New Roman"/>
        </w:rPr>
        <w:t xml:space="preserve"> </w:t>
      </w:r>
      <w:r w:rsidR="005A72F1">
        <w:rPr>
          <w:rFonts w:cs="Times New Roman"/>
        </w:rPr>
        <w:t xml:space="preserve">from </w:t>
      </w:r>
      <w:r w:rsidR="00CE7C1F">
        <w:rPr>
          <w:rFonts w:cs="Times New Roman"/>
        </w:rPr>
        <w:t>0.36 to 0.42</w:t>
      </w:r>
      <w:r w:rsidR="00333555">
        <w:rPr>
          <w:rFonts w:cs="Times New Roman"/>
        </w:rPr>
        <w:t xml:space="preserve"> thanks </w:t>
      </w:r>
      <w:r w:rsidR="00967B93" w:rsidRPr="0063424F">
        <w:rPr>
          <w:rFonts w:cs="Times New Roman"/>
        </w:rPr>
        <w:t xml:space="preserve">to the </w:t>
      </w:r>
      <w:r w:rsidR="00F2747F" w:rsidRPr="0063424F">
        <w:rPr>
          <w:rFonts w:cs="Times New Roman"/>
        </w:rPr>
        <w:t>e</w:t>
      </w:r>
      <w:r w:rsidR="00967B93" w:rsidRPr="0063424F">
        <w:rPr>
          <w:rFonts w:cs="Times New Roman"/>
        </w:rPr>
        <w:t>ffect of public transfers</w:t>
      </w:r>
      <w:r w:rsidR="00F2747F" w:rsidRPr="0063424F">
        <w:rPr>
          <w:rFonts w:cs="Times New Roman"/>
        </w:rPr>
        <w:t>.</w:t>
      </w:r>
      <w:r w:rsidR="00946F00">
        <w:rPr>
          <w:rStyle w:val="FootnoteReference"/>
          <w:rFonts w:cs="Times New Roman"/>
        </w:rPr>
        <w:footnoteReference w:id="4"/>
      </w:r>
    </w:p>
    <w:p w14:paraId="4005F245" w14:textId="61009D7F" w:rsidR="00562107" w:rsidRDefault="004F3569" w:rsidP="00562107">
      <w:pPr>
        <w:rPr>
          <w:rFonts w:cs="Times New Roman"/>
        </w:rPr>
      </w:pPr>
      <w:r>
        <w:rPr>
          <w:rFonts w:cs="Times New Roman"/>
          <w:b/>
        </w:rPr>
        <w:t>The s</w:t>
      </w:r>
      <w:r w:rsidR="006A788B">
        <w:rPr>
          <w:rFonts w:cs="Times New Roman"/>
          <w:b/>
        </w:rPr>
        <w:t>cope of t</w:t>
      </w:r>
      <w:r w:rsidR="00F2747F" w:rsidRPr="00DD3CD2">
        <w:rPr>
          <w:rFonts w:cs="Times New Roman"/>
          <w:b/>
        </w:rPr>
        <w:t xml:space="preserve">his </w:t>
      </w:r>
      <w:r w:rsidR="00E4294A">
        <w:rPr>
          <w:rFonts w:cs="Times New Roman"/>
          <w:b/>
        </w:rPr>
        <w:t>study</w:t>
      </w:r>
      <w:r w:rsidR="00F2747F" w:rsidRPr="00DD3CD2">
        <w:rPr>
          <w:rFonts w:cs="Times New Roman"/>
          <w:b/>
        </w:rPr>
        <w:t xml:space="preserve"> </w:t>
      </w:r>
      <w:r w:rsidR="006A788B">
        <w:rPr>
          <w:rFonts w:cs="Times New Roman"/>
          <w:b/>
        </w:rPr>
        <w:t>is to investigate</w:t>
      </w:r>
      <w:r w:rsidR="00F2747F" w:rsidRPr="00DD3CD2">
        <w:rPr>
          <w:rFonts w:cs="Times New Roman"/>
          <w:b/>
        </w:rPr>
        <w:t xml:space="preserve"> </w:t>
      </w:r>
      <w:r w:rsidR="00941E3D">
        <w:rPr>
          <w:rFonts w:cs="Times New Roman"/>
          <w:b/>
        </w:rPr>
        <w:t>the effect</w:t>
      </w:r>
      <w:r w:rsidR="00F2747F" w:rsidRPr="00DD3CD2">
        <w:rPr>
          <w:rFonts w:cs="Times New Roman"/>
          <w:b/>
        </w:rPr>
        <w:t xml:space="preserve"> of the </w:t>
      </w:r>
      <w:r w:rsidR="00941E3D">
        <w:rPr>
          <w:rFonts w:cs="Times New Roman"/>
          <w:b/>
        </w:rPr>
        <w:t xml:space="preserve">fiscal </w:t>
      </w:r>
      <w:r w:rsidR="00F2747F" w:rsidRPr="00DD3CD2">
        <w:rPr>
          <w:rFonts w:cs="Times New Roman"/>
          <w:b/>
        </w:rPr>
        <w:t>system as a whole</w:t>
      </w:r>
      <w:r w:rsidR="002B0682" w:rsidRPr="00DD3CD2">
        <w:rPr>
          <w:rFonts w:cs="Times New Roman"/>
          <w:b/>
        </w:rPr>
        <w:t xml:space="preserve"> </w:t>
      </w:r>
      <w:r w:rsidR="00383DD7" w:rsidRPr="00DD3CD2">
        <w:rPr>
          <w:rFonts w:cs="Times New Roman"/>
          <w:b/>
        </w:rPr>
        <w:t>on the distribution of income</w:t>
      </w:r>
      <w:r w:rsidR="00383DD7">
        <w:rPr>
          <w:rFonts w:cs="Times New Roman"/>
          <w:b/>
        </w:rPr>
        <w:t xml:space="preserve"> as of 2017 </w:t>
      </w:r>
      <w:r w:rsidR="00941E3D">
        <w:rPr>
          <w:rFonts w:cs="Times New Roman"/>
          <w:b/>
        </w:rPr>
        <w:t xml:space="preserve">and </w:t>
      </w:r>
      <w:r w:rsidR="006A788B">
        <w:rPr>
          <w:rFonts w:cs="Times New Roman"/>
          <w:b/>
        </w:rPr>
        <w:t xml:space="preserve">to unpack </w:t>
      </w:r>
      <w:r w:rsidR="00383DD7">
        <w:rPr>
          <w:rFonts w:cs="Times New Roman"/>
          <w:b/>
        </w:rPr>
        <w:t>the contribution of</w:t>
      </w:r>
      <w:r w:rsidR="00941E3D" w:rsidRPr="00DD3CD2">
        <w:rPr>
          <w:rFonts w:cs="Times New Roman"/>
          <w:b/>
        </w:rPr>
        <w:t xml:space="preserve"> single fiscal </w:t>
      </w:r>
      <w:r w:rsidR="00941E3D">
        <w:rPr>
          <w:rFonts w:cs="Times New Roman"/>
          <w:b/>
        </w:rPr>
        <w:t>instruments</w:t>
      </w:r>
      <w:r w:rsidR="00383DD7">
        <w:rPr>
          <w:rFonts w:cs="Times New Roman"/>
          <w:b/>
        </w:rPr>
        <w:t xml:space="preserve"> to</w:t>
      </w:r>
      <w:r w:rsidR="002B0682" w:rsidRPr="00DD3CD2">
        <w:rPr>
          <w:rFonts w:cs="Times New Roman"/>
          <w:b/>
        </w:rPr>
        <w:t xml:space="preserve"> poverty and inequality</w:t>
      </w:r>
      <w:r w:rsidR="00F2747F" w:rsidRPr="00DD3CD2">
        <w:rPr>
          <w:rFonts w:cs="Times New Roman"/>
          <w:b/>
        </w:rPr>
        <w:t>.</w:t>
      </w:r>
      <w:r w:rsidR="002B0682">
        <w:rPr>
          <w:rFonts w:cs="Times New Roman"/>
        </w:rPr>
        <w:t xml:space="preserve"> </w:t>
      </w:r>
      <w:r w:rsidR="00A35618">
        <w:rPr>
          <w:rFonts w:cs="Times New Roman"/>
        </w:rPr>
        <w:t>In a context characterized by tight fiscal space and expanding inequality</w:t>
      </w:r>
      <w:r w:rsidR="00867C65">
        <w:rPr>
          <w:rFonts w:cs="Times New Roman"/>
        </w:rPr>
        <w:t xml:space="preserve">, investigating the effect of the net fiscal system </w:t>
      </w:r>
      <w:r w:rsidR="00045DB7">
        <w:rPr>
          <w:rFonts w:cs="Times New Roman"/>
        </w:rPr>
        <w:t>as well as</w:t>
      </w:r>
      <w:r w:rsidR="00867C65">
        <w:rPr>
          <w:rFonts w:cs="Times New Roman"/>
        </w:rPr>
        <w:t xml:space="preserve"> of individual fiscal instruments</w:t>
      </w:r>
      <w:r w:rsidR="002B0682">
        <w:rPr>
          <w:rFonts w:cs="Times New Roman"/>
        </w:rPr>
        <w:t xml:space="preserve"> </w:t>
      </w:r>
      <w:r w:rsidR="00045DB7">
        <w:rPr>
          <w:rFonts w:cs="Times New Roman"/>
        </w:rPr>
        <w:t>is of paramount importance</w:t>
      </w:r>
      <w:r w:rsidR="00867C65">
        <w:rPr>
          <w:rFonts w:cs="Times New Roman"/>
        </w:rPr>
        <w:t>.</w:t>
      </w:r>
      <w:r w:rsidR="007A76C6">
        <w:rPr>
          <w:rFonts w:cs="Times New Roman"/>
        </w:rPr>
        <w:t xml:space="preserve"> </w:t>
      </w:r>
      <w:r w:rsidR="006D1DB1">
        <w:rPr>
          <w:rFonts w:cs="Times New Roman"/>
        </w:rPr>
        <w:t xml:space="preserve">The challenge facing </w:t>
      </w:r>
      <w:r w:rsidR="00C82AF2">
        <w:rPr>
          <w:rFonts w:cs="Times New Roman"/>
        </w:rPr>
        <w:t>Mauritius</w:t>
      </w:r>
      <w:r w:rsidR="00E64C33">
        <w:rPr>
          <w:rFonts w:cs="Times New Roman"/>
        </w:rPr>
        <w:t xml:space="preserve"> </w:t>
      </w:r>
      <w:r w:rsidR="0075559D">
        <w:rPr>
          <w:rFonts w:cs="Times New Roman"/>
        </w:rPr>
        <w:t>will be</w:t>
      </w:r>
      <w:r w:rsidR="009E2FE8">
        <w:rPr>
          <w:rFonts w:cs="Times New Roman"/>
        </w:rPr>
        <w:t xml:space="preserve"> </w:t>
      </w:r>
      <w:r w:rsidR="001701C1">
        <w:rPr>
          <w:rFonts w:cs="Times New Roman"/>
        </w:rPr>
        <w:t>to boost inclusive economic growth</w:t>
      </w:r>
      <w:r w:rsidR="009E2FE8">
        <w:rPr>
          <w:rFonts w:cs="Times New Roman"/>
        </w:rPr>
        <w:t>,</w:t>
      </w:r>
      <w:r w:rsidR="001701C1">
        <w:rPr>
          <w:rFonts w:cs="Times New Roman"/>
        </w:rPr>
        <w:t xml:space="preserve"> while preserving fiscal </w:t>
      </w:r>
      <w:r w:rsidR="009E2FE8">
        <w:rPr>
          <w:rFonts w:cs="Times New Roman"/>
        </w:rPr>
        <w:t>sustainability and regaining competitiveness (IMF 2019).</w:t>
      </w:r>
      <w:r w:rsidR="00735A5B">
        <w:rPr>
          <w:rFonts w:cs="Times New Roman"/>
        </w:rPr>
        <w:t xml:space="preserve"> </w:t>
      </w:r>
      <w:r w:rsidR="00F123CD">
        <w:rPr>
          <w:rFonts w:cs="Times New Roman"/>
        </w:rPr>
        <w:t>In this context,</w:t>
      </w:r>
      <w:r w:rsidR="00D90C3A">
        <w:rPr>
          <w:rFonts w:cs="Times New Roman"/>
        </w:rPr>
        <w:t xml:space="preserve"> </w:t>
      </w:r>
      <w:r w:rsidR="00AD3649" w:rsidRPr="00801EFB">
        <w:rPr>
          <w:rFonts w:cs="Times New Roman"/>
        </w:rPr>
        <w:t xml:space="preserve">investigating </w:t>
      </w:r>
      <w:r w:rsidR="00EB4E63" w:rsidRPr="00801EFB">
        <w:rPr>
          <w:rFonts w:cs="Times New Roman"/>
        </w:rPr>
        <w:t xml:space="preserve">the progressivity </w:t>
      </w:r>
      <w:r w:rsidR="000B0317" w:rsidRPr="00801EFB">
        <w:rPr>
          <w:rFonts w:cs="Times New Roman"/>
        </w:rPr>
        <w:t xml:space="preserve">as well as the inequality and poverty effect of </w:t>
      </w:r>
      <w:r w:rsidR="00BA0EE7">
        <w:rPr>
          <w:rFonts w:cs="Times New Roman"/>
        </w:rPr>
        <w:t xml:space="preserve">the </w:t>
      </w:r>
      <w:r w:rsidR="003E1036">
        <w:rPr>
          <w:rFonts w:cs="Times New Roman"/>
        </w:rPr>
        <w:t>net fiscal</w:t>
      </w:r>
      <w:r w:rsidR="00BA0EE7">
        <w:rPr>
          <w:rFonts w:cs="Times New Roman"/>
        </w:rPr>
        <w:t xml:space="preserve"> system can help </w:t>
      </w:r>
      <w:r w:rsidR="00801EFB" w:rsidRPr="00801EFB">
        <w:rPr>
          <w:rFonts w:cs="Times New Roman"/>
        </w:rPr>
        <w:t xml:space="preserve">inform policy </w:t>
      </w:r>
      <w:r w:rsidR="000577B7">
        <w:rPr>
          <w:rFonts w:cs="Times New Roman"/>
        </w:rPr>
        <w:t>reforms</w:t>
      </w:r>
      <w:r w:rsidR="00954B3F">
        <w:rPr>
          <w:rFonts w:cs="Times New Roman"/>
        </w:rPr>
        <w:t xml:space="preserve"> aimed at </w:t>
      </w:r>
      <w:r w:rsidR="00485A47">
        <w:rPr>
          <w:rFonts w:cs="Times New Roman"/>
        </w:rPr>
        <w:t>ensuring</w:t>
      </w:r>
      <w:r w:rsidR="009E616B">
        <w:rPr>
          <w:rFonts w:cs="Times New Roman"/>
        </w:rPr>
        <w:t xml:space="preserve"> </w:t>
      </w:r>
      <w:r w:rsidR="00A4514D">
        <w:rPr>
          <w:rFonts w:cs="Times New Roman"/>
        </w:rPr>
        <w:t xml:space="preserve">that </w:t>
      </w:r>
      <w:r w:rsidR="00C85D78">
        <w:rPr>
          <w:rFonts w:cs="Times New Roman"/>
        </w:rPr>
        <w:t xml:space="preserve">tax collection and social spending </w:t>
      </w:r>
      <w:r w:rsidR="008955FD">
        <w:rPr>
          <w:rFonts w:cs="Times New Roman"/>
        </w:rPr>
        <w:t>are</w:t>
      </w:r>
      <w:r w:rsidR="00A4514D">
        <w:rPr>
          <w:rFonts w:cs="Times New Roman"/>
        </w:rPr>
        <w:t xml:space="preserve"> effective</w:t>
      </w:r>
      <w:r w:rsidR="00FC16CB">
        <w:rPr>
          <w:rFonts w:cs="Times New Roman"/>
        </w:rPr>
        <w:t>ly</w:t>
      </w:r>
      <w:r w:rsidR="00A4514D">
        <w:rPr>
          <w:rFonts w:cs="Times New Roman"/>
        </w:rPr>
        <w:t xml:space="preserve"> </w:t>
      </w:r>
      <w:r w:rsidR="00FC16CB">
        <w:rPr>
          <w:rFonts w:cs="Times New Roman"/>
        </w:rPr>
        <w:t xml:space="preserve">used to promote </w:t>
      </w:r>
      <w:r w:rsidR="009E616B">
        <w:rPr>
          <w:rFonts w:cs="Times New Roman"/>
        </w:rPr>
        <w:t xml:space="preserve">equity </w:t>
      </w:r>
      <w:r w:rsidR="008955FD">
        <w:rPr>
          <w:rFonts w:cs="Times New Roman"/>
        </w:rPr>
        <w:t>and reduce poverty</w:t>
      </w:r>
      <w:r w:rsidR="001E1B17">
        <w:rPr>
          <w:rFonts w:cs="Times New Roman"/>
        </w:rPr>
        <w:t>.</w:t>
      </w:r>
      <w:r w:rsidR="00F123CD">
        <w:rPr>
          <w:rFonts w:cs="Times New Roman"/>
        </w:rPr>
        <w:t xml:space="preserve"> </w:t>
      </w:r>
      <w:r w:rsidR="00FB30D6">
        <w:rPr>
          <w:rFonts w:cs="Times New Roman"/>
        </w:rPr>
        <w:t>The analysis will pro</w:t>
      </w:r>
      <w:r w:rsidR="00562107">
        <w:rPr>
          <w:rFonts w:cs="Times New Roman"/>
        </w:rPr>
        <w:t>vide answer</w:t>
      </w:r>
      <w:r w:rsidR="006D1DB1">
        <w:rPr>
          <w:rFonts w:cs="Times New Roman"/>
        </w:rPr>
        <w:t>s</w:t>
      </w:r>
      <w:r w:rsidR="00562107">
        <w:rPr>
          <w:rFonts w:cs="Times New Roman"/>
        </w:rPr>
        <w:t xml:space="preserve"> to </w:t>
      </w:r>
      <w:r w:rsidR="00FB30D6">
        <w:rPr>
          <w:rFonts w:cs="Times New Roman"/>
        </w:rPr>
        <w:t xml:space="preserve">the following </w:t>
      </w:r>
      <w:r w:rsidR="00562107">
        <w:rPr>
          <w:rFonts w:cs="Times New Roman"/>
        </w:rPr>
        <w:t>questions</w:t>
      </w:r>
      <w:r w:rsidR="00FB30D6">
        <w:rPr>
          <w:rFonts w:cs="Times New Roman"/>
        </w:rPr>
        <w:t>.</w:t>
      </w:r>
      <w:r w:rsidR="00562107">
        <w:rPr>
          <w:rFonts w:cs="Times New Roman"/>
        </w:rPr>
        <w:t xml:space="preserve"> </w:t>
      </w:r>
      <w:r w:rsidR="00562107" w:rsidRPr="0026385B">
        <w:rPr>
          <w:rFonts w:cs="Times New Roman"/>
        </w:rPr>
        <w:t>How much income redistribution and poverty reduction is being accomplished through fiscal policy? How equalizing and pro-poor are specific taxes and government spending? How effective are taxes and government spending in reducing inequality and poverty?</w:t>
      </w:r>
    </w:p>
    <w:p w14:paraId="4C26A0AD" w14:textId="77777777" w:rsidR="00A06246" w:rsidRPr="00A766CC" w:rsidRDefault="00A06246">
      <w:pPr>
        <w:rPr>
          <w:rFonts w:cs="Times New Roman"/>
        </w:rPr>
      </w:pPr>
    </w:p>
    <w:p w14:paraId="00EEE69E" w14:textId="77777777" w:rsidR="00FC291A" w:rsidRPr="00A766CC" w:rsidRDefault="00A06246">
      <w:pPr>
        <w:rPr>
          <w:rFonts w:cs="Times New Roman"/>
        </w:rPr>
      </w:pPr>
      <w:r w:rsidRPr="00A766CC">
        <w:rPr>
          <w:rFonts w:cs="Times New Roman"/>
        </w:rPr>
        <w:br w:type="page"/>
      </w:r>
    </w:p>
    <w:p w14:paraId="6811DFBD" w14:textId="77777777" w:rsidR="00FC291A" w:rsidRPr="00FC291A" w:rsidRDefault="00FC291A" w:rsidP="00FC291A">
      <w:pPr>
        <w:pStyle w:val="Heading1"/>
        <w:numPr>
          <w:ilvl w:val="0"/>
          <w:numId w:val="2"/>
        </w:numPr>
        <w:rPr>
          <w:rFonts w:ascii="Times New Roman" w:hAnsi="Times New Roman" w:cs="Times New Roman"/>
        </w:rPr>
      </w:pPr>
      <w:bookmarkStart w:id="22" w:name="_Toc8812795"/>
      <w:bookmarkStart w:id="23" w:name="_Toc10824868"/>
      <w:bookmarkStart w:id="24" w:name="_Toc10824940"/>
      <w:r>
        <w:rPr>
          <w:rFonts w:ascii="Times New Roman" w:hAnsi="Times New Roman" w:cs="Times New Roman"/>
        </w:rPr>
        <w:t>Methodology</w:t>
      </w:r>
      <w:bookmarkEnd w:id="22"/>
      <w:bookmarkEnd w:id="23"/>
      <w:bookmarkEnd w:id="24"/>
    </w:p>
    <w:p w14:paraId="6FCE53F0" w14:textId="72805FB8" w:rsidR="00B43871" w:rsidRDefault="006D1DB1">
      <w:pPr>
        <w:rPr>
          <w:rFonts w:cs="Times New Roman"/>
        </w:rPr>
      </w:pPr>
      <w:r>
        <w:rPr>
          <w:rFonts w:cs="Times New Roman"/>
          <w:b/>
        </w:rPr>
        <w:t>The s</w:t>
      </w:r>
      <w:r w:rsidR="009774C1" w:rsidRPr="00F43390">
        <w:rPr>
          <w:rFonts w:cs="Times New Roman"/>
          <w:b/>
        </w:rPr>
        <w:t>cope of fiscal incidence analysis is to assess the distributional effects of a country’s taxes and transfers</w:t>
      </w:r>
      <w:r w:rsidR="00CA5667" w:rsidRPr="00F43390">
        <w:rPr>
          <w:rFonts w:cs="Times New Roman"/>
          <w:b/>
        </w:rPr>
        <w:t>.</w:t>
      </w:r>
      <w:r w:rsidR="00CA5667">
        <w:rPr>
          <w:rFonts w:cs="Times New Roman"/>
        </w:rPr>
        <w:t xml:space="preserve"> </w:t>
      </w:r>
      <w:r w:rsidR="00204154">
        <w:rPr>
          <w:rFonts w:cs="Times New Roman"/>
        </w:rPr>
        <w:t>T</w:t>
      </w:r>
      <w:r w:rsidR="004204D8">
        <w:rPr>
          <w:rFonts w:cs="Times New Roman"/>
        </w:rPr>
        <w:t>he</w:t>
      </w:r>
      <w:r w:rsidR="00204154">
        <w:rPr>
          <w:rFonts w:cs="Times New Roman"/>
        </w:rPr>
        <w:t xml:space="preserve"> questions this type of analys</w:t>
      </w:r>
      <w:r>
        <w:rPr>
          <w:rFonts w:cs="Times New Roman"/>
        </w:rPr>
        <w:t>i</w:t>
      </w:r>
      <w:r w:rsidR="00204154">
        <w:rPr>
          <w:rFonts w:cs="Times New Roman"/>
        </w:rPr>
        <w:t>s aim</w:t>
      </w:r>
      <w:r>
        <w:rPr>
          <w:rFonts w:cs="Times New Roman"/>
        </w:rPr>
        <w:t>s</w:t>
      </w:r>
      <w:r w:rsidR="00204154">
        <w:rPr>
          <w:rFonts w:cs="Times New Roman"/>
        </w:rPr>
        <w:t xml:space="preserve"> to answer are the following: </w:t>
      </w:r>
      <w:r w:rsidR="00204154" w:rsidRPr="00A95647">
        <w:rPr>
          <w:rFonts w:cs="Times New Roman"/>
        </w:rPr>
        <w:t>What are the impacts of taxes and expenditures on inequality and poverty? What are the impacts of individual fiscal interventions on poverty and</w:t>
      </w:r>
      <w:r w:rsidR="00A95647">
        <w:rPr>
          <w:rFonts w:cs="Times New Roman"/>
        </w:rPr>
        <w:t xml:space="preserve"> </w:t>
      </w:r>
      <w:r w:rsidR="00204154" w:rsidRPr="00A95647">
        <w:rPr>
          <w:rFonts w:cs="Times New Roman"/>
        </w:rPr>
        <w:t>inequality?</w:t>
      </w:r>
      <w:r w:rsidR="00A95647" w:rsidRPr="00A95647">
        <w:rPr>
          <w:rFonts w:cs="Times New Roman"/>
        </w:rPr>
        <w:t xml:space="preserve"> Is public spending on education and health </w:t>
      </w:r>
      <w:r>
        <w:rPr>
          <w:rFonts w:cs="Times New Roman"/>
        </w:rPr>
        <w:t xml:space="preserve">care </w:t>
      </w:r>
      <w:r w:rsidR="00A95647" w:rsidRPr="00A95647">
        <w:rPr>
          <w:rFonts w:cs="Times New Roman"/>
        </w:rPr>
        <w:t>both progressive and pro-poor?</w:t>
      </w:r>
      <w:r w:rsidR="00A95647">
        <w:rPr>
          <w:rFonts w:cs="Times New Roman"/>
        </w:rPr>
        <w:t xml:space="preserve"> </w:t>
      </w:r>
      <w:r w:rsidR="00CA5667">
        <w:rPr>
          <w:rFonts w:cs="Times New Roman"/>
        </w:rPr>
        <w:t xml:space="preserve">A number of methodological approaches are available to </w:t>
      </w:r>
      <w:r w:rsidR="00A95BF6">
        <w:rPr>
          <w:rFonts w:cs="Times New Roman"/>
        </w:rPr>
        <w:t xml:space="preserve">researchers and </w:t>
      </w:r>
      <w:r w:rsidR="00CA5667">
        <w:rPr>
          <w:rFonts w:cs="Times New Roman"/>
        </w:rPr>
        <w:t>practi</w:t>
      </w:r>
      <w:r w:rsidR="00137D01">
        <w:rPr>
          <w:rFonts w:cs="Times New Roman"/>
        </w:rPr>
        <w:t>ti</w:t>
      </w:r>
      <w:r w:rsidR="00CA5667">
        <w:rPr>
          <w:rFonts w:cs="Times New Roman"/>
        </w:rPr>
        <w:t>oners</w:t>
      </w:r>
      <w:r>
        <w:rPr>
          <w:rFonts w:cs="Times New Roman"/>
        </w:rPr>
        <w:t>,</w:t>
      </w:r>
      <w:r w:rsidR="00A95BF6">
        <w:rPr>
          <w:rFonts w:cs="Times New Roman"/>
        </w:rPr>
        <w:t xml:space="preserve"> including EUROMOD</w:t>
      </w:r>
      <w:r w:rsidR="000A25AB">
        <w:rPr>
          <w:rFonts w:cs="Times New Roman"/>
        </w:rPr>
        <w:t xml:space="preserve"> at the University of Essex</w:t>
      </w:r>
      <w:r w:rsidR="009C08ED">
        <w:rPr>
          <w:rFonts w:cs="Times New Roman"/>
        </w:rPr>
        <w:t>,</w:t>
      </w:r>
      <w:r w:rsidR="00044F98">
        <w:rPr>
          <w:rFonts w:cs="Times New Roman"/>
        </w:rPr>
        <w:t xml:space="preserve"> LATAX</w:t>
      </w:r>
      <w:r w:rsidR="000A25AB">
        <w:rPr>
          <w:rFonts w:cs="Times New Roman"/>
        </w:rPr>
        <w:t xml:space="preserve"> developed by the Institute for Fiscal Studies</w:t>
      </w:r>
      <w:r w:rsidR="00044F98">
        <w:rPr>
          <w:rFonts w:cs="Times New Roman"/>
        </w:rPr>
        <w:t>, and</w:t>
      </w:r>
      <w:r w:rsidR="009C08ED">
        <w:rPr>
          <w:rFonts w:cs="Times New Roman"/>
        </w:rPr>
        <w:t xml:space="preserve"> the </w:t>
      </w:r>
      <w:r w:rsidR="000A25AB">
        <w:rPr>
          <w:rFonts w:cs="Times New Roman"/>
        </w:rPr>
        <w:t xml:space="preserve">CEQ </w:t>
      </w:r>
      <w:r w:rsidR="00971C46">
        <w:rPr>
          <w:rFonts w:cs="Times New Roman"/>
        </w:rPr>
        <w:t xml:space="preserve">developed by the </w:t>
      </w:r>
      <w:r w:rsidR="009C08ED">
        <w:rPr>
          <w:rFonts w:cs="Times New Roman"/>
        </w:rPr>
        <w:t>Commitment to Equity Institute.</w:t>
      </w:r>
      <w:r w:rsidR="00CA5667">
        <w:rPr>
          <w:rFonts w:cs="Times New Roman"/>
        </w:rPr>
        <w:t xml:space="preserve"> </w:t>
      </w:r>
      <w:r w:rsidR="009C08ED">
        <w:rPr>
          <w:rFonts w:cs="Times New Roman"/>
        </w:rPr>
        <w:t>T</w:t>
      </w:r>
      <w:r w:rsidR="00CA5667">
        <w:rPr>
          <w:rFonts w:cs="Times New Roman"/>
        </w:rPr>
        <w:t xml:space="preserve">his </w:t>
      </w:r>
      <w:r w:rsidR="00FB2114">
        <w:rPr>
          <w:rFonts w:cs="Times New Roman"/>
        </w:rPr>
        <w:t>analysis</w:t>
      </w:r>
      <w:r w:rsidR="00CA5667">
        <w:rPr>
          <w:rFonts w:cs="Times New Roman"/>
        </w:rPr>
        <w:t xml:space="preserve"> adopts th</w:t>
      </w:r>
      <w:r>
        <w:rPr>
          <w:rFonts w:cs="Times New Roman"/>
        </w:rPr>
        <w:t>is</w:t>
      </w:r>
      <w:r w:rsidR="00CA5667">
        <w:rPr>
          <w:rFonts w:cs="Times New Roman"/>
        </w:rPr>
        <w:t xml:space="preserve"> </w:t>
      </w:r>
      <w:r w:rsidR="00971C46">
        <w:rPr>
          <w:rFonts w:cs="Times New Roman"/>
        </w:rPr>
        <w:t>la</w:t>
      </w:r>
      <w:r>
        <w:rPr>
          <w:rFonts w:cs="Times New Roman"/>
        </w:rPr>
        <w:t>s</w:t>
      </w:r>
      <w:r w:rsidR="00971C46">
        <w:rPr>
          <w:rFonts w:cs="Times New Roman"/>
        </w:rPr>
        <w:t>t</w:t>
      </w:r>
      <w:r w:rsidR="00142561">
        <w:rPr>
          <w:rFonts w:cs="Times New Roman"/>
        </w:rPr>
        <w:t xml:space="preserve"> </w:t>
      </w:r>
      <w:r>
        <w:rPr>
          <w:rFonts w:cs="Times New Roman"/>
        </w:rPr>
        <w:t xml:space="preserve">because </w:t>
      </w:r>
      <w:r w:rsidR="00142561">
        <w:rPr>
          <w:rFonts w:cs="Times New Roman"/>
        </w:rPr>
        <w:t>it is more comprehensive</w:t>
      </w:r>
      <w:r>
        <w:rPr>
          <w:rFonts w:cs="Times New Roman"/>
        </w:rPr>
        <w:t>,</w:t>
      </w:r>
      <w:r w:rsidR="00AF0FE9">
        <w:rPr>
          <w:rFonts w:cs="Times New Roman"/>
        </w:rPr>
        <w:t xml:space="preserve"> including the effect of indirect taxes and subsidies as well as in-kind expenditures and </w:t>
      </w:r>
      <w:r>
        <w:rPr>
          <w:rFonts w:cs="Times New Roman"/>
        </w:rPr>
        <w:t xml:space="preserve">because it </w:t>
      </w:r>
      <w:r w:rsidR="003C68A3">
        <w:rPr>
          <w:rFonts w:cs="Times New Roman"/>
        </w:rPr>
        <w:t>facilitates</w:t>
      </w:r>
      <w:r w:rsidR="00AF0FE9">
        <w:rPr>
          <w:rFonts w:cs="Times New Roman"/>
        </w:rPr>
        <w:t xml:space="preserve"> comparison across a large </w:t>
      </w:r>
      <w:r w:rsidR="003C68A3">
        <w:rPr>
          <w:rFonts w:cs="Times New Roman"/>
        </w:rPr>
        <w:t>number</w:t>
      </w:r>
      <w:r w:rsidR="00AF0FE9">
        <w:rPr>
          <w:rFonts w:cs="Times New Roman"/>
        </w:rPr>
        <w:t xml:space="preserve"> of developing economies.</w:t>
      </w:r>
      <w:r w:rsidR="00B43871">
        <w:rPr>
          <w:rFonts w:cs="Times New Roman"/>
        </w:rPr>
        <w:t xml:space="preserve"> </w:t>
      </w:r>
      <w:r>
        <w:rPr>
          <w:rFonts w:cs="Times New Roman"/>
        </w:rPr>
        <w:t xml:space="preserve">The </w:t>
      </w:r>
      <w:r w:rsidR="00B43871">
        <w:rPr>
          <w:rFonts w:cs="Times New Roman"/>
        </w:rPr>
        <w:t>follow</w:t>
      </w:r>
      <w:r>
        <w:rPr>
          <w:rFonts w:cs="Times New Roman"/>
        </w:rPr>
        <w:t>ing</w:t>
      </w:r>
      <w:r w:rsidR="00B43871">
        <w:rPr>
          <w:rFonts w:cs="Times New Roman"/>
        </w:rPr>
        <w:t xml:space="preserve"> provides a brief description of the </w:t>
      </w:r>
      <w:r w:rsidR="00672E52">
        <w:rPr>
          <w:rFonts w:cs="Times New Roman"/>
        </w:rPr>
        <w:t xml:space="preserve">CEQ </w:t>
      </w:r>
      <w:r w:rsidR="00B43871">
        <w:rPr>
          <w:rFonts w:cs="Times New Roman"/>
        </w:rPr>
        <w:t xml:space="preserve">approach, the main </w:t>
      </w:r>
      <w:r w:rsidR="00A40923">
        <w:rPr>
          <w:rFonts w:cs="Times New Roman"/>
        </w:rPr>
        <w:t xml:space="preserve">income </w:t>
      </w:r>
      <w:r w:rsidR="00B43871">
        <w:rPr>
          <w:rFonts w:cs="Times New Roman"/>
        </w:rPr>
        <w:t>concepts adopted in the analysis</w:t>
      </w:r>
      <w:r w:rsidR="00672E52">
        <w:rPr>
          <w:rFonts w:cs="Times New Roman"/>
        </w:rPr>
        <w:t xml:space="preserve">, </w:t>
      </w:r>
      <w:r w:rsidR="00A40923">
        <w:rPr>
          <w:rFonts w:cs="Times New Roman"/>
        </w:rPr>
        <w:t xml:space="preserve">key questions the approach is able to answer, </w:t>
      </w:r>
      <w:r w:rsidR="00E73941">
        <w:rPr>
          <w:rFonts w:cs="Times New Roman"/>
        </w:rPr>
        <w:t xml:space="preserve">its main </w:t>
      </w:r>
      <w:r w:rsidR="00672E52">
        <w:rPr>
          <w:rFonts w:cs="Times New Roman"/>
        </w:rPr>
        <w:t>advantages</w:t>
      </w:r>
      <w:r>
        <w:rPr>
          <w:rFonts w:cs="Times New Roman"/>
        </w:rPr>
        <w:t>,</w:t>
      </w:r>
      <w:r w:rsidR="00B43871">
        <w:rPr>
          <w:rFonts w:cs="Times New Roman"/>
        </w:rPr>
        <w:t xml:space="preserve"> a</w:t>
      </w:r>
      <w:r>
        <w:rPr>
          <w:rFonts w:cs="Times New Roman"/>
        </w:rPr>
        <w:t xml:space="preserve">nd </w:t>
      </w:r>
      <w:r w:rsidR="00B43871">
        <w:rPr>
          <w:rFonts w:cs="Times New Roman"/>
        </w:rPr>
        <w:t>assumption</w:t>
      </w:r>
      <w:r w:rsidR="00672E52">
        <w:rPr>
          <w:rFonts w:cs="Times New Roman"/>
        </w:rPr>
        <w:t>s</w:t>
      </w:r>
      <w:r w:rsidR="00B43871">
        <w:rPr>
          <w:rFonts w:cs="Times New Roman"/>
        </w:rPr>
        <w:t xml:space="preserve"> and limitations.</w:t>
      </w:r>
      <w:r w:rsidR="00672E52">
        <w:rPr>
          <w:rStyle w:val="FootnoteReference"/>
          <w:rFonts w:cs="Times New Roman"/>
        </w:rPr>
        <w:footnoteReference w:id="5"/>
      </w:r>
    </w:p>
    <w:p w14:paraId="5D35CB07" w14:textId="343B1FBA" w:rsidR="00CB7DB7" w:rsidRDefault="00CA3ECE" w:rsidP="00456130">
      <w:pPr>
        <w:rPr>
          <w:rFonts w:cs="Times New Roman"/>
        </w:rPr>
      </w:pPr>
      <w:r w:rsidRPr="00013273">
        <w:rPr>
          <w:rFonts w:cs="Times New Roman"/>
          <w:b/>
        </w:rPr>
        <w:t>The analysis consists of allocating taxes</w:t>
      </w:r>
      <w:r w:rsidR="00AB7818" w:rsidRPr="00013273">
        <w:rPr>
          <w:rFonts w:cs="Times New Roman"/>
          <w:b/>
        </w:rPr>
        <w:t xml:space="preserve"> and </w:t>
      </w:r>
      <w:r w:rsidR="0058186B" w:rsidRPr="00013273">
        <w:rPr>
          <w:rFonts w:cs="Times New Roman"/>
          <w:b/>
        </w:rPr>
        <w:t>transfers</w:t>
      </w:r>
      <w:r w:rsidR="00F43390" w:rsidRPr="00013273">
        <w:rPr>
          <w:rFonts w:cs="Times New Roman"/>
          <w:b/>
        </w:rPr>
        <w:t xml:space="preserve"> to households or individuals with the objective of comparing incomes before</w:t>
      </w:r>
      <w:r w:rsidR="00880F57">
        <w:rPr>
          <w:rFonts w:cs="Times New Roman"/>
          <w:b/>
        </w:rPr>
        <w:t xml:space="preserve"> and </w:t>
      </w:r>
      <w:r w:rsidR="00F43390" w:rsidRPr="00013273">
        <w:rPr>
          <w:rFonts w:cs="Times New Roman"/>
          <w:b/>
        </w:rPr>
        <w:t>after taxes and transfers</w:t>
      </w:r>
      <w:r w:rsidR="00013273">
        <w:rPr>
          <w:rFonts w:cs="Times New Roman"/>
          <w:b/>
        </w:rPr>
        <w:t>.</w:t>
      </w:r>
      <w:r w:rsidR="00AB7818">
        <w:rPr>
          <w:rFonts w:cs="Times New Roman"/>
        </w:rPr>
        <w:t xml:space="preserve"> </w:t>
      </w:r>
      <w:r w:rsidR="00950FEA">
        <w:rPr>
          <w:rFonts w:cs="Times New Roman"/>
        </w:rPr>
        <w:t>Transfers typically allocated across households and individuals include</w:t>
      </w:r>
      <w:r w:rsidR="00AB7818">
        <w:rPr>
          <w:rFonts w:cs="Times New Roman"/>
        </w:rPr>
        <w:t xml:space="preserve"> </w:t>
      </w:r>
      <w:r w:rsidR="0058186B">
        <w:rPr>
          <w:rFonts w:cs="Times New Roman"/>
        </w:rPr>
        <w:t xml:space="preserve">direct </w:t>
      </w:r>
      <w:r w:rsidR="00AB7818">
        <w:rPr>
          <w:rFonts w:cs="Times New Roman"/>
        </w:rPr>
        <w:t xml:space="preserve">cash transfers, </w:t>
      </w:r>
      <w:r w:rsidR="00525756">
        <w:rPr>
          <w:rFonts w:cs="Times New Roman"/>
        </w:rPr>
        <w:t xml:space="preserve">consumption </w:t>
      </w:r>
      <w:r w:rsidR="00A95BF6">
        <w:rPr>
          <w:rFonts w:cs="Times New Roman"/>
        </w:rPr>
        <w:t>subsidies</w:t>
      </w:r>
      <w:r w:rsidR="00525756">
        <w:rPr>
          <w:rFonts w:cs="Times New Roman"/>
        </w:rPr>
        <w:t xml:space="preserve"> </w:t>
      </w:r>
      <w:r w:rsidR="0077226A">
        <w:rPr>
          <w:rFonts w:cs="Times New Roman"/>
        </w:rPr>
        <w:t>(</w:t>
      </w:r>
      <w:r w:rsidR="00525756">
        <w:rPr>
          <w:rFonts w:cs="Times New Roman"/>
        </w:rPr>
        <w:t>such as food and fuel subsidies</w:t>
      </w:r>
      <w:r w:rsidR="0077226A">
        <w:rPr>
          <w:rFonts w:cs="Times New Roman"/>
        </w:rPr>
        <w:t>)</w:t>
      </w:r>
      <w:r w:rsidR="00525756">
        <w:rPr>
          <w:rFonts w:cs="Times New Roman"/>
        </w:rPr>
        <w:t>,</w:t>
      </w:r>
      <w:r w:rsidR="00AB7818">
        <w:rPr>
          <w:rFonts w:cs="Times New Roman"/>
        </w:rPr>
        <w:t xml:space="preserve"> and in-kind </w:t>
      </w:r>
      <w:r w:rsidR="00525756">
        <w:rPr>
          <w:rFonts w:cs="Times New Roman"/>
        </w:rPr>
        <w:t xml:space="preserve">benefits </w:t>
      </w:r>
      <w:r w:rsidR="0077226A">
        <w:rPr>
          <w:rFonts w:cs="Times New Roman"/>
        </w:rPr>
        <w:t>(</w:t>
      </w:r>
      <w:r w:rsidR="00525756">
        <w:rPr>
          <w:rFonts w:cs="Times New Roman"/>
        </w:rPr>
        <w:t xml:space="preserve">such as free </w:t>
      </w:r>
      <w:r w:rsidR="00AB7818">
        <w:rPr>
          <w:rFonts w:cs="Times New Roman"/>
        </w:rPr>
        <w:t xml:space="preserve">education and health </w:t>
      </w:r>
      <w:r w:rsidR="0077226A">
        <w:rPr>
          <w:rFonts w:cs="Times New Roman"/>
        </w:rPr>
        <w:t>care services)</w:t>
      </w:r>
      <w:r w:rsidR="00A95BF6">
        <w:rPr>
          <w:rFonts w:cs="Times New Roman"/>
        </w:rPr>
        <w:t>.</w:t>
      </w:r>
      <w:r>
        <w:rPr>
          <w:rFonts w:cs="Times New Roman"/>
        </w:rPr>
        <w:t xml:space="preserve"> </w:t>
      </w:r>
      <w:r w:rsidR="001E0CAD">
        <w:t>The approac</w:t>
      </w:r>
      <w:r w:rsidR="00DA28B6">
        <w:t>h</w:t>
      </w:r>
      <w:r w:rsidR="00456130" w:rsidRPr="008748BD">
        <w:rPr>
          <w:rFonts w:cs="Times New Roman"/>
        </w:rPr>
        <w:t xml:space="preserve"> is referred to as </w:t>
      </w:r>
      <w:r w:rsidR="00DA28B6">
        <w:rPr>
          <w:rFonts w:cs="Times New Roman"/>
        </w:rPr>
        <w:t>an</w:t>
      </w:r>
      <w:r w:rsidR="00456130" w:rsidRPr="008748BD">
        <w:rPr>
          <w:rFonts w:cs="Times New Roman"/>
        </w:rPr>
        <w:t xml:space="preserve"> accounting approach. </w:t>
      </w:r>
      <w:r w:rsidR="00A90F98">
        <w:rPr>
          <w:rFonts w:cs="Times New Roman"/>
        </w:rPr>
        <w:t>This is because</w:t>
      </w:r>
      <w:r w:rsidR="00ED714D">
        <w:rPr>
          <w:rFonts w:cs="Times New Roman"/>
        </w:rPr>
        <w:t xml:space="preserve"> i</w:t>
      </w:r>
      <w:r w:rsidR="00AC49AE">
        <w:rPr>
          <w:rFonts w:cs="Times New Roman"/>
        </w:rPr>
        <w:t>t</w:t>
      </w:r>
      <w:r w:rsidR="00ED714D">
        <w:rPr>
          <w:rFonts w:cs="Times New Roman"/>
        </w:rPr>
        <w:t xml:space="preserve"> simply </w:t>
      </w:r>
      <w:r w:rsidR="006E10B8">
        <w:rPr>
          <w:rFonts w:cs="Times New Roman"/>
        </w:rPr>
        <w:t>subtracts</w:t>
      </w:r>
      <w:r w:rsidR="00F47687">
        <w:rPr>
          <w:rFonts w:cs="Times New Roman"/>
        </w:rPr>
        <w:t xml:space="preserve"> (or adds)</w:t>
      </w:r>
      <w:r w:rsidR="00ED714D">
        <w:rPr>
          <w:rFonts w:cs="Times New Roman"/>
        </w:rPr>
        <w:t xml:space="preserve"> from the relevant income concepts</w:t>
      </w:r>
      <w:r w:rsidR="006E10B8">
        <w:rPr>
          <w:rFonts w:cs="Times New Roman"/>
        </w:rPr>
        <w:t xml:space="preserve"> the amount corresponding to the tax </w:t>
      </w:r>
      <w:r w:rsidR="00F47687">
        <w:rPr>
          <w:rFonts w:cs="Times New Roman"/>
        </w:rPr>
        <w:t>(</w:t>
      </w:r>
      <w:r w:rsidR="006E10B8">
        <w:rPr>
          <w:rFonts w:cs="Times New Roman"/>
        </w:rPr>
        <w:t>or transfer</w:t>
      </w:r>
      <w:r w:rsidR="00F47687">
        <w:rPr>
          <w:rFonts w:cs="Times New Roman"/>
        </w:rPr>
        <w:t>)</w:t>
      </w:r>
      <w:r w:rsidR="006E10B8">
        <w:rPr>
          <w:rFonts w:cs="Times New Roman"/>
        </w:rPr>
        <w:t xml:space="preserve"> object of analysis. For example, i</w:t>
      </w:r>
      <w:r w:rsidR="00456130" w:rsidRPr="008748BD">
        <w:rPr>
          <w:rFonts w:cs="Times New Roman"/>
        </w:rPr>
        <w:t>f the fiscal intervention is a direct tax</w:t>
      </w:r>
      <w:r w:rsidR="00510F73">
        <w:rPr>
          <w:rFonts w:cs="Times New Roman"/>
        </w:rPr>
        <w:t>,</w:t>
      </w:r>
      <w:r w:rsidR="00456130" w:rsidRPr="008748BD">
        <w:rPr>
          <w:rFonts w:cs="Times New Roman"/>
        </w:rPr>
        <w:t xml:space="preserve"> the post</w:t>
      </w:r>
      <w:r w:rsidR="00972577">
        <w:rPr>
          <w:rFonts w:cs="Times New Roman"/>
        </w:rPr>
        <w:t>-</w:t>
      </w:r>
      <w:r w:rsidR="00456130" w:rsidRPr="008748BD">
        <w:rPr>
          <w:rFonts w:cs="Times New Roman"/>
        </w:rPr>
        <w:t xml:space="preserve">tax income is calculated by subtracting the tax paid. </w:t>
      </w:r>
      <w:r w:rsidR="00A73631">
        <w:rPr>
          <w:rFonts w:cs="Times New Roman"/>
        </w:rPr>
        <w:t>Formally and f</w:t>
      </w:r>
      <w:r w:rsidR="00C561C9">
        <w:rPr>
          <w:rFonts w:cs="Times New Roman"/>
        </w:rPr>
        <w:t xml:space="preserve">ollowing </w:t>
      </w:r>
      <w:r w:rsidR="009A003C">
        <w:rPr>
          <w:rFonts w:cs="Times New Roman"/>
        </w:rPr>
        <w:t>Lustig (2018)</w:t>
      </w:r>
      <w:r w:rsidR="005A2AE8">
        <w:rPr>
          <w:rFonts w:cs="Times New Roman"/>
        </w:rPr>
        <w:t>, if</w:t>
      </w:r>
      <w:r w:rsidR="00456130" w:rsidRPr="008748BD">
        <w:rPr>
          <w:rFonts w:cs="Times New Roman"/>
        </w:rPr>
        <w:t xml:space="preserve"> the before tax and transfer income of household </w:t>
      </w:r>
      <w:r w:rsidR="00456130" w:rsidRPr="005A2AE8">
        <w:rPr>
          <w:rFonts w:cs="Times New Roman"/>
          <w:i/>
        </w:rPr>
        <w:t>h</w:t>
      </w:r>
      <w:r w:rsidR="00456130" w:rsidRPr="008748BD">
        <w:rPr>
          <w:rFonts w:cs="Times New Roman"/>
        </w:rPr>
        <w:t xml:space="preserve"> </w:t>
      </w:r>
      <w:r w:rsidR="005A2AE8">
        <w:rPr>
          <w:rFonts w:cs="Times New Roman"/>
        </w:rPr>
        <w:t>i</w:t>
      </w:r>
      <w:r w:rsidR="00456130" w:rsidRPr="008748BD">
        <w:rPr>
          <w:rFonts w:cs="Times New Roman"/>
        </w:rPr>
        <w:t>s</w:t>
      </w:r>
      <w:r w:rsidR="005A2AE8">
        <w:rPr>
          <w:rFonts w:cs="Times New Roman"/>
        </w:rPr>
        <w:t xml:space="preserve"> defined as</w:t>
      </w:r>
      <w:r w:rsidR="00456130" w:rsidRPr="008748BD">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h</m:t>
            </m:r>
          </m:sub>
        </m:sSub>
      </m:oMath>
      <w:r w:rsidR="00972577">
        <w:rPr>
          <w:rFonts w:cs="Times New Roman"/>
        </w:rPr>
        <w:t xml:space="preserve">, </w:t>
      </w:r>
      <w:r w:rsidR="00456130" w:rsidRPr="008748BD">
        <w:rPr>
          <w:rFonts w:cs="Times New Roman"/>
        </w:rPr>
        <w:t>tax</w:t>
      </w:r>
      <w:r w:rsidR="000C1F40">
        <w:rPr>
          <w:rFonts w:cs="Times New Roman"/>
        </w:rPr>
        <w:t>es</w:t>
      </w:r>
      <w:r w:rsidR="00456130" w:rsidRPr="008748BD">
        <w:rPr>
          <w:rFonts w:cs="Times New Roman"/>
        </w:rPr>
        <w:t xml:space="preserve"> as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oMath>
      <w:r w:rsidR="00456130" w:rsidRPr="008748BD">
        <w:rPr>
          <w:rFonts w:cs="Times New Roman"/>
        </w:rPr>
        <w:t xml:space="preserve"> (where </w:t>
      </w:r>
      <w:r w:rsidR="00456130" w:rsidRPr="00417DDA">
        <w:rPr>
          <w:rFonts w:cs="Times New Roman"/>
          <w:i/>
        </w:rPr>
        <w:t>i</w:t>
      </w:r>
      <w:r w:rsidR="00456130" w:rsidRPr="008748BD">
        <w:rPr>
          <w:rFonts w:cs="Times New Roman"/>
        </w:rPr>
        <w:t xml:space="preserve"> </w:t>
      </w:r>
      <w:r w:rsidR="00326E01">
        <w:rPr>
          <w:rFonts w:cs="Times New Roman"/>
        </w:rPr>
        <w:t xml:space="preserve">goes from </w:t>
      </w:r>
      <w:r w:rsidR="00326E01" w:rsidRPr="00727D48">
        <w:rPr>
          <w:rFonts w:cs="Times New Roman"/>
          <w:i/>
        </w:rPr>
        <w:t>1</w:t>
      </w:r>
      <w:r w:rsidR="00326E01">
        <w:rPr>
          <w:rFonts w:cs="Times New Roman"/>
        </w:rPr>
        <w:t xml:space="preserve"> to </w:t>
      </w:r>
      <w:r w:rsidR="00326E01" w:rsidRPr="00727D48">
        <w:rPr>
          <w:rFonts w:cs="Times New Roman"/>
          <w:i/>
        </w:rPr>
        <w:t>n</w:t>
      </w:r>
      <w:r w:rsidR="00326E01">
        <w:rPr>
          <w:rFonts w:cs="Times New Roman"/>
        </w:rPr>
        <w:t xml:space="preserve"> according to the</w:t>
      </w:r>
      <w:r w:rsidR="00456130" w:rsidRPr="008748BD">
        <w:rPr>
          <w:rFonts w:cs="Times New Roman"/>
        </w:rPr>
        <w:t xml:space="preserve"> range of taxes </w:t>
      </w:r>
      <w:r w:rsidR="00326E01">
        <w:rPr>
          <w:rFonts w:cs="Times New Roman"/>
        </w:rPr>
        <w:t>under investigation</w:t>
      </w:r>
      <w:r w:rsidR="00456130" w:rsidRPr="008748BD">
        <w:rPr>
          <w:rFonts w:cs="Times New Roman"/>
        </w:rPr>
        <w:t>)</w:t>
      </w:r>
      <w:r w:rsidR="00972577">
        <w:rPr>
          <w:rFonts w:cs="Times New Roman"/>
        </w:rPr>
        <w:t>,</w:t>
      </w:r>
      <w:r w:rsidR="00456130" w:rsidRPr="008748BD">
        <w:rPr>
          <w:rFonts w:cs="Times New Roman"/>
        </w:rPr>
        <w:t xml:space="preserve"> transfers or benefits </w:t>
      </w:r>
      <w:r w:rsidR="00972577">
        <w:rPr>
          <w:rFonts w:cs="Times New Roman"/>
        </w:rPr>
        <w:t xml:space="preserve">as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j</m:t>
            </m:r>
          </m:sub>
        </m:sSub>
      </m:oMath>
      <w:r w:rsidR="00456130" w:rsidRPr="008748BD">
        <w:rPr>
          <w:rFonts w:cs="Times New Roman"/>
        </w:rPr>
        <w:t xml:space="preserve"> (where </w:t>
      </w:r>
      <w:r w:rsidR="00456130" w:rsidRPr="00417DDA">
        <w:rPr>
          <w:rFonts w:cs="Times New Roman"/>
          <w:i/>
        </w:rPr>
        <w:t>j</w:t>
      </w:r>
      <w:r w:rsidR="00456130" w:rsidRPr="008748BD">
        <w:rPr>
          <w:rFonts w:cs="Times New Roman"/>
        </w:rPr>
        <w:t xml:space="preserve"> </w:t>
      </w:r>
      <w:r w:rsidR="000C1F40">
        <w:rPr>
          <w:rFonts w:cs="Times New Roman"/>
        </w:rPr>
        <w:t xml:space="preserve">goes from </w:t>
      </w:r>
      <w:r w:rsidR="000C1F40" w:rsidRPr="00727D48">
        <w:rPr>
          <w:rFonts w:cs="Times New Roman"/>
          <w:i/>
        </w:rPr>
        <w:t>1</w:t>
      </w:r>
      <w:r w:rsidR="000C1F40">
        <w:rPr>
          <w:rFonts w:cs="Times New Roman"/>
        </w:rPr>
        <w:t xml:space="preserve"> to </w:t>
      </w:r>
      <w:r w:rsidR="000C1F40" w:rsidRPr="00727D48">
        <w:rPr>
          <w:rFonts w:cs="Times New Roman"/>
          <w:i/>
        </w:rPr>
        <w:t>m</w:t>
      </w:r>
      <w:r w:rsidR="000C1F40">
        <w:rPr>
          <w:rFonts w:cs="Times New Roman"/>
        </w:rPr>
        <w:t xml:space="preserve"> according to </w:t>
      </w:r>
      <w:r w:rsidR="00972577">
        <w:rPr>
          <w:rFonts w:cs="Times New Roman"/>
        </w:rPr>
        <w:t xml:space="preserve">the </w:t>
      </w:r>
      <w:r w:rsidR="000C1F40">
        <w:rPr>
          <w:rFonts w:cs="Times New Roman"/>
        </w:rPr>
        <w:t>number</w:t>
      </w:r>
      <w:r w:rsidR="00456130" w:rsidRPr="008748BD">
        <w:rPr>
          <w:rFonts w:cs="Times New Roman"/>
        </w:rPr>
        <w:t xml:space="preserve"> of transfers </w:t>
      </w:r>
      <w:r w:rsidR="000C1F40">
        <w:rPr>
          <w:rFonts w:cs="Times New Roman"/>
        </w:rPr>
        <w:t>under investigation</w:t>
      </w:r>
      <w:r w:rsidR="00456130" w:rsidRPr="008748BD">
        <w:rPr>
          <w:rFonts w:cs="Times New Roman"/>
        </w:rPr>
        <w:t xml:space="preserve">), </w:t>
      </w:r>
      <w:r w:rsidR="00BD5E4D">
        <w:rPr>
          <w:rFonts w:cs="Times New Roman"/>
        </w:rPr>
        <w:t>and</w:t>
      </w:r>
      <w:r w:rsidR="00456130" w:rsidRPr="008748BD">
        <w:rPr>
          <w:rFonts w:cs="Times New Roman"/>
        </w:rPr>
        <w:t xml:space="preserve"> the allocator of tax </w:t>
      </w:r>
      <w:r w:rsidR="00456130" w:rsidRPr="00417DDA">
        <w:rPr>
          <w:rFonts w:cs="Times New Roman"/>
          <w:i/>
        </w:rPr>
        <w:t>i</w:t>
      </w:r>
      <w:r w:rsidR="00456130" w:rsidRPr="008748BD">
        <w:rPr>
          <w:rFonts w:cs="Times New Roman"/>
        </w:rPr>
        <w:t xml:space="preserve"> </w:t>
      </w:r>
      <w:r w:rsidR="00417DDA">
        <w:rPr>
          <w:rFonts w:cs="Times New Roman"/>
        </w:rPr>
        <w:t xml:space="preserve">(transfer </w:t>
      </w:r>
      <w:r w:rsidR="00417DDA" w:rsidRPr="00417DDA">
        <w:rPr>
          <w:rFonts w:cs="Times New Roman"/>
          <w:i/>
        </w:rPr>
        <w:t>j</w:t>
      </w:r>
      <w:r w:rsidR="00417DDA">
        <w:rPr>
          <w:rFonts w:cs="Times New Roman"/>
        </w:rPr>
        <w:t xml:space="preserve">) </w:t>
      </w:r>
      <w:r w:rsidR="00456130" w:rsidRPr="008748BD">
        <w:rPr>
          <w:rFonts w:cs="Times New Roman"/>
        </w:rPr>
        <w:t xml:space="preserve">to household </w:t>
      </w:r>
      <w:r w:rsidR="00456130" w:rsidRPr="00727D48">
        <w:rPr>
          <w:rFonts w:cs="Times New Roman"/>
          <w:i/>
        </w:rPr>
        <w:t>h</w:t>
      </w:r>
      <w:r w:rsidR="00456130" w:rsidRPr="008748BD">
        <w:rPr>
          <w:rFonts w:cs="Times New Roman"/>
        </w:rPr>
        <w:t xml:space="preserve"> as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ih</m:t>
            </m:r>
          </m:sub>
        </m:sSub>
      </m:oMath>
      <w:r w:rsidR="00456130" w:rsidRPr="008748BD">
        <w:rPr>
          <w:rFonts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jh</m:t>
            </m:r>
          </m:sub>
        </m:sSub>
        <m:r>
          <w:rPr>
            <w:rFonts w:ascii="Cambria Math" w:hAnsi="Cambria Math" w:cs="Times New Roman"/>
          </w:rPr>
          <m:t>)</m:t>
        </m:r>
      </m:oMath>
      <w:r w:rsidR="00B406C4">
        <w:rPr>
          <w:rFonts w:cs="Times New Roman"/>
        </w:rPr>
        <w:t>, which is also</w:t>
      </w:r>
      <w:r w:rsidR="00456130" w:rsidRPr="008748BD">
        <w:rPr>
          <w:rFonts w:cs="Times New Roman"/>
        </w:rPr>
        <w:t xml:space="preserve"> the share of net tax </w:t>
      </w:r>
      <w:r w:rsidR="00C561C9">
        <w:rPr>
          <w:rFonts w:cs="Times New Roman"/>
        </w:rPr>
        <w:t xml:space="preserve">(transfer) </w:t>
      </w:r>
      <w:r w:rsidR="00456130" w:rsidRPr="00C561C9">
        <w:rPr>
          <w:rFonts w:cs="Times New Roman"/>
          <w:i/>
        </w:rPr>
        <w:t>i</w:t>
      </w:r>
      <w:r w:rsidR="00456130" w:rsidRPr="008748BD">
        <w:rPr>
          <w:rFonts w:cs="Times New Roman"/>
        </w:rPr>
        <w:t xml:space="preserve"> </w:t>
      </w:r>
      <w:r w:rsidR="00C561C9">
        <w:rPr>
          <w:rFonts w:cs="Times New Roman"/>
        </w:rPr>
        <w:t>(</w:t>
      </w:r>
      <w:r w:rsidR="00C561C9" w:rsidRPr="00C561C9">
        <w:rPr>
          <w:rFonts w:cs="Times New Roman"/>
          <w:i/>
        </w:rPr>
        <w:t>j</w:t>
      </w:r>
      <w:r w:rsidR="00C561C9">
        <w:rPr>
          <w:rFonts w:cs="Times New Roman"/>
        </w:rPr>
        <w:t xml:space="preserve">) </w:t>
      </w:r>
      <w:r w:rsidR="00456130" w:rsidRPr="008748BD">
        <w:rPr>
          <w:rFonts w:cs="Times New Roman"/>
        </w:rPr>
        <w:t xml:space="preserve">borne by </w:t>
      </w:r>
      <w:r w:rsidR="00C561C9">
        <w:rPr>
          <w:rFonts w:cs="Times New Roman"/>
        </w:rPr>
        <w:t>household</w:t>
      </w:r>
      <w:r w:rsidR="00456130" w:rsidRPr="008748BD">
        <w:rPr>
          <w:rFonts w:cs="Times New Roman"/>
        </w:rPr>
        <w:t xml:space="preserve"> </w:t>
      </w:r>
      <w:r w:rsidR="00456130" w:rsidRPr="00C561C9">
        <w:rPr>
          <w:rFonts w:cs="Times New Roman"/>
          <w:i/>
        </w:rPr>
        <w:t>h</w:t>
      </w:r>
      <w:r w:rsidR="00BD5E4D">
        <w:rPr>
          <w:rFonts w:cs="Times New Roman"/>
        </w:rPr>
        <w:t>,</w:t>
      </w:r>
      <w:r w:rsidR="00456130" w:rsidRPr="008748BD">
        <w:rPr>
          <w:rFonts w:cs="Times New Roman"/>
        </w:rPr>
        <w:t xml:space="preserve"> </w:t>
      </w:r>
      <w:r w:rsidR="00BD5E4D">
        <w:rPr>
          <w:rFonts w:cs="Times New Roman"/>
        </w:rPr>
        <w:t>t</w:t>
      </w:r>
      <w:r w:rsidR="00456130" w:rsidRPr="008748BD">
        <w:rPr>
          <w:rFonts w:cs="Times New Roman"/>
        </w:rPr>
        <w:t xml:space="preserve">hen </w:t>
      </w:r>
      <w:r w:rsidR="00972577">
        <w:rPr>
          <w:rFonts w:cs="Times New Roman"/>
        </w:rPr>
        <w:t xml:space="preserve">the </w:t>
      </w:r>
      <w:r w:rsidR="00456130" w:rsidRPr="008748BD">
        <w:rPr>
          <w:rFonts w:cs="Times New Roman"/>
        </w:rPr>
        <w:t xml:space="preserve">post-tax income of household </w:t>
      </w:r>
      <w:r w:rsidR="00456130" w:rsidRPr="00BD5E4D">
        <w:rPr>
          <w:rFonts w:cs="Times New Roman"/>
          <w:i/>
        </w:rPr>
        <w:t>h</w:t>
      </w:r>
      <w:r w:rsidR="00417DDA">
        <w:rPr>
          <w:rFonts w:cs="Times New Roman"/>
          <w:i/>
        </w:rPr>
        <w:t>,</w:t>
      </w:r>
      <w:r w:rsidR="00456130" w:rsidRPr="008748BD">
        <w:rPr>
          <w:rFonts w:cs="Times New Roman"/>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h</m:t>
            </m:r>
          </m:sub>
        </m:sSub>
        <m:r>
          <w:rPr>
            <w:rFonts w:ascii="Cambria Math" w:hAnsi="Cambria Math" w:cs="Times New Roman"/>
          </w:rPr>
          <m:t>,</m:t>
        </m:r>
      </m:oMath>
      <w:r w:rsidR="002B27F3">
        <w:rPr>
          <w:rFonts w:cs="Times New Roman"/>
        </w:rPr>
        <w:t xml:space="preserve"> </w:t>
      </w:r>
      <w:r w:rsidR="00456130" w:rsidRPr="008748BD">
        <w:rPr>
          <w:rFonts w:cs="Times New Roman"/>
        </w:rPr>
        <w:t>can be defined as</w:t>
      </w:r>
      <w:r w:rsidR="002B27F3">
        <w:rPr>
          <w:rFonts w:cs="Times New Roman"/>
        </w:rPr>
        <w:t xml:space="preserve"> follows</w:t>
      </w:r>
      <w:r w:rsidR="00456130" w:rsidRPr="008748BD">
        <w:rPr>
          <w:rFonts w:cs="Times New Roman"/>
        </w:rPr>
        <w:t>:</w:t>
      </w:r>
    </w:p>
    <w:p w14:paraId="1679DFE4" w14:textId="77777777" w:rsidR="009A003C" w:rsidRPr="005A2AE8" w:rsidRDefault="009A003C" w:rsidP="00456130"/>
    <w:p w14:paraId="5BD481D9" w14:textId="5B3CE0D6" w:rsidR="00CB7DB7" w:rsidRPr="003571DD" w:rsidRDefault="00B0774B" w:rsidP="003571DD">
      <w:pPr>
        <w:pStyle w:val="Caption"/>
        <w:jc w:val="center"/>
        <w:rPr>
          <w:rFonts w:asciiTheme="majorHAnsi" w:hAnsiTheme="majorHAnsi" w:cstheme="majorHAnsi"/>
          <w:sz w:val="22"/>
          <w:szCs w:val="22"/>
        </w:rPr>
      </w:pPr>
      <m:oMath>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Y</m:t>
            </m:r>
          </m:e>
          <m:sub>
            <m:r>
              <m:rPr>
                <m:sty m:val="bi"/>
              </m:rPr>
              <w:rPr>
                <w:rFonts w:ascii="Cambria Math" w:hAnsi="Cambria Math" w:cstheme="majorHAnsi"/>
                <w:sz w:val="22"/>
                <w:szCs w:val="22"/>
              </w:rPr>
              <m:t>h</m:t>
            </m:r>
          </m:sub>
        </m:sSub>
        <m:r>
          <m:rPr>
            <m:sty m:val="bi"/>
          </m:rPr>
          <w:rPr>
            <w:rFonts w:ascii="Cambria Math" w:hAnsi="Cambria Math" w:cstheme="majorHAnsi"/>
            <w:sz w:val="22"/>
            <w:szCs w:val="22"/>
          </w:rPr>
          <m:t>=</m:t>
        </m:r>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I</m:t>
            </m:r>
          </m:e>
          <m:sub>
            <m:r>
              <m:rPr>
                <m:sty m:val="bi"/>
              </m:rPr>
              <w:rPr>
                <w:rFonts w:ascii="Cambria Math" w:hAnsi="Cambria Math" w:cstheme="majorHAnsi"/>
                <w:sz w:val="22"/>
                <w:szCs w:val="22"/>
              </w:rPr>
              <m:t>h</m:t>
            </m:r>
          </m:sub>
        </m:sSub>
        <m:r>
          <m:rPr>
            <m:sty m:val="bi"/>
          </m:rPr>
          <w:rPr>
            <w:rFonts w:ascii="Cambria Math" w:hAnsi="Cambria Math" w:cstheme="majorHAnsi"/>
            <w:sz w:val="22"/>
            <w:szCs w:val="22"/>
          </w:rPr>
          <m:t>-</m:t>
        </m:r>
        <m:nary>
          <m:naryPr>
            <m:chr m:val="∑"/>
            <m:limLoc m:val="undOvr"/>
            <m:supHide m:val="1"/>
            <m:ctrlPr>
              <w:rPr>
                <w:rFonts w:ascii="Cambria Math" w:hAnsi="Cambria Math" w:cstheme="majorHAnsi"/>
                <w:b w:val="0"/>
                <w:bCs w:val="0"/>
                <w:i/>
                <w:color w:val="auto"/>
                <w:sz w:val="22"/>
                <w:szCs w:val="22"/>
              </w:rPr>
            </m:ctrlPr>
          </m:naryPr>
          <m:sub>
            <m:r>
              <m:rPr>
                <m:sty m:val="bi"/>
              </m:rPr>
              <w:rPr>
                <w:rFonts w:ascii="Cambria Math" w:hAnsi="Cambria Math" w:cstheme="majorHAnsi"/>
                <w:sz w:val="22"/>
                <w:szCs w:val="22"/>
              </w:rPr>
              <m:t>i</m:t>
            </m:r>
          </m:sub>
          <m:sup/>
          <m:e>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T</m:t>
                </m:r>
              </m:e>
              <m:sub>
                <m:r>
                  <m:rPr>
                    <m:sty m:val="bi"/>
                  </m:rPr>
                  <w:rPr>
                    <w:rFonts w:ascii="Cambria Math" w:hAnsi="Cambria Math" w:cstheme="majorHAnsi"/>
                    <w:sz w:val="22"/>
                    <w:szCs w:val="22"/>
                  </w:rPr>
                  <m:t>i</m:t>
                </m:r>
              </m:sub>
            </m:sSub>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S</m:t>
                </m:r>
              </m:e>
              <m:sub>
                <m:r>
                  <m:rPr>
                    <m:sty m:val="bi"/>
                  </m:rPr>
                  <w:rPr>
                    <w:rFonts w:ascii="Cambria Math" w:hAnsi="Cambria Math" w:cstheme="majorHAnsi"/>
                    <w:sz w:val="22"/>
                    <w:szCs w:val="22"/>
                  </w:rPr>
                  <m:t>ih</m:t>
                </m:r>
              </m:sub>
            </m:sSub>
          </m:e>
        </m:nary>
        <m:r>
          <m:rPr>
            <m:sty m:val="bi"/>
          </m:rPr>
          <w:rPr>
            <w:rFonts w:ascii="Cambria Math" w:hAnsi="Cambria Math" w:cstheme="majorHAnsi"/>
            <w:sz w:val="22"/>
            <w:szCs w:val="22"/>
          </w:rPr>
          <m:t>+</m:t>
        </m:r>
        <m:nary>
          <m:naryPr>
            <m:chr m:val="∑"/>
            <m:limLoc m:val="undOvr"/>
            <m:supHide m:val="1"/>
            <m:ctrlPr>
              <w:rPr>
                <w:rFonts w:ascii="Cambria Math" w:hAnsi="Cambria Math" w:cstheme="majorHAnsi"/>
                <w:b w:val="0"/>
                <w:bCs w:val="0"/>
                <w:i/>
                <w:color w:val="auto"/>
                <w:sz w:val="22"/>
                <w:szCs w:val="22"/>
              </w:rPr>
            </m:ctrlPr>
          </m:naryPr>
          <m:sub>
            <m:r>
              <m:rPr>
                <m:sty m:val="bi"/>
              </m:rPr>
              <w:rPr>
                <w:rFonts w:ascii="Cambria Math" w:hAnsi="Cambria Math" w:cstheme="majorHAnsi"/>
                <w:sz w:val="22"/>
                <w:szCs w:val="22"/>
              </w:rPr>
              <m:t>j</m:t>
            </m:r>
          </m:sub>
          <m:sup/>
          <m:e>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B</m:t>
                </m:r>
              </m:e>
              <m:sub>
                <m:r>
                  <m:rPr>
                    <m:sty m:val="bi"/>
                  </m:rPr>
                  <w:rPr>
                    <w:rFonts w:ascii="Cambria Math" w:hAnsi="Cambria Math" w:cstheme="majorHAnsi"/>
                    <w:sz w:val="22"/>
                    <w:szCs w:val="22"/>
                  </w:rPr>
                  <m:t>j</m:t>
                </m:r>
              </m:sub>
            </m:sSub>
            <m:sSub>
              <m:sSubPr>
                <m:ctrlPr>
                  <w:rPr>
                    <w:rFonts w:ascii="Cambria Math" w:hAnsi="Cambria Math" w:cstheme="majorHAnsi"/>
                    <w:b w:val="0"/>
                    <w:bCs w:val="0"/>
                    <w:i/>
                    <w:color w:val="auto"/>
                    <w:sz w:val="22"/>
                    <w:szCs w:val="22"/>
                  </w:rPr>
                </m:ctrlPr>
              </m:sSubPr>
              <m:e>
                <m:r>
                  <m:rPr>
                    <m:sty m:val="bi"/>
                  </m:rPr>
                  <w:rPr>
                    <w:rFonts w:ascii="Cambria Math" w:hAnsi="Cambria Math" w:cstheme="majorHAnsi"/>
                    <w:sz w:val="22"/>
                    <w:szCs w:val="22"/>
                  </w:rPr>
                  <m:t>S</m:t>
                </m:r>
              </m:e>
              <m:sub>
                <m:r>
                  <m:rPr>
                    <m:sty m:val="bi"/>
                  </m:rPr>
                  <w:rPr>
                    <w:rFonts w:ascii="Cambria Math" w:hAnsi="Cambria Math" w:cstheme="majorHAnsi"/>
                    <w:sz w:val="22"/>
                    <w:szCs w:val="22"/>
                  </w:rPr>
                  <m:t>jh</m:t>
                </m:r>
              </m:sub>
            </m:sSub>
          </m:e>
        </m:nary>
      </m:oMath>
      <w:r w:rsidR="006D1DB1">
        <w:rPr>
          <w:rFonts w:asciiTheme="majorHAnsi" w:hAnsiTheme="majorHAnsi" w:cstheme="majorHAnsi"/>
          <w:sz w:val="22"/>
          <w:szCs w:val="22"/>
        </w:rPr>
        <w:tab/>
      </w:r>
      <w:r w:rsidR="006D1DB1">
        <w:rPr>
          <w:rFonts w:asciiTheme="majorHAnsi" w:hAnsiTheme="majorHAnsi" w:cstheme="majorHAnsi"/>
          <w:sz w:val="22"/>
          <w:szCs w:val="22"/>
        </w:rPr>
        <w:tab/>
      </w:r>
      <w:r w:rsidR="003571DD" w:rsidRPr="003571DD">
        <w:rPr>
          <w:rFonts w:asciiTheme="majorHAnsi" w:hAnsiTheme="majorHAnsi" w:cstheme="majorHAnsi"/>
          <w:b w:val="0"/>
          <w:sz w:val="22"/>
          <w:szCs w:val="22"/>
        </w:rPr>
        <w:t>(</w:t>
      </w:r>
      <w:r w:rsidR="00032B6F">
        <w:rPr>
          <w:rFonts w:asciiTheme="majorHAnsi" w:hAnsiTheme="majorHAnsi" w:cstheme="majorHAnsi"/>
          <w:b w:val="0"/>
          <w:sz w:val="22"/>
          <w:szCs w:val="22"/>
        </w:rPr>
        <w:t>2.</w:t>
      </w:r>
      <w:r w:rsidR="003571DD" w:rsidRPr="003571DD">
        <w:rPr>
          <w:rFonts w:asciiTheme="majorHAnsi" w:hAnsiTheme="majorHAnsi" w:cstheme="majorHAnsi"/>
          <w:b w:val="0"/>
          <w:sz w:val="22"/>
          <w:szCs w:val="22"/>
        </w:rPr>
        <w:fldChar w:fldCharType="begin"/>
      </w:r>
      <w:r w:rsidR="003571DD" w:rsidRPr="003571DD">
        <w:rPr>
          <w:rFonts w:asciiTheme="majorHAnsi" w:hAnsiTheme="majorHAnsi" w:cstheme="majorHAnsi"/>
          <w:b w:val="0"/>
          <w:sz w:val="22"/>
          <w:szCs w:val="22"/>
        </w:rPr>
        <w:instrText xml:space="preserve"> SEQ Equation \* ARABIC </w:instrText>
      </w:r>
      <w:r w:rsidR="003571DD" w:rsidRPr="003571DD">
        <w:rPr>
          <w:rFonts w:asciiTheme="majorHAnsi" w:hAnsiTheme="majorHAnsi" w:cstheme="majorHAnsi"/>
          <w:b w:val="0"/>
          <w:sz w:val="22"/>
          <w:szCs w:val="22"/>
        </w:rPr>
        <w:fldChar w:fldCharType="separate"/>
      </w:r>
      <w:r w:rsidR="00C37C80">
        <w:rPr>
          <w:rFonts w:asciiTheme="majorHAnsi" w:hAnsiTheme="majorHAnsi" w:cstheme="majorHAnsi"/>
          <w:b w:val="0"/>
          <w:noProof/>
          <w:sz w:val="22"/>
          <w:szCs w:val="22"/>
        </w:rPr>
        <w:t>1</w:t>
      </w:r>
      <w:r w:rsidR="003571DD" w:rsidRPr="003571DD">
        <w:rPr>
          <w:rFonts w:asciiTheme="majorHAnsi" w:hAnsiTheme="majorHAnsi" w:cstheme="majorHAnsi"/>
          <w:b w:val="0"/>
          <w:sz w:val="22"/>
          <w:szCs w:val="22"/>
        </w:rPr>
        <w:fldChar w:fldCharType="end"/>
      </w:r>
      <w:r w:rsidR="003571DD" w:rsidRPr="003571DD">
        <w:rPr>
          <w:rFonts w:asciiTheme="majorHAnsi" w:hAnsiTheme="majorHAnsi" w:cstheme="majorHAnsi"/>
          <w:b w:val="0"/>
          <w:sz w:val="22"/>
          <w:szCs w:val="22"/>
        </w:rPr>
        <w:t>)</w:t>
      </w:r>
    </w:p>
    <w:p w14:paraId="50111892" w14:textId="77777777" w:rsidR="003571DD" w:rsidRDefault="003571DD" w:rsidP="00A77782">
      <w:pPr>
        <w:rPr>
          <w:rFonts w:cs="Times New Roman"/>
        </w:rPr>
      </w:pPr>
    </w:p>
    <w:p w14:paraId="4A59950E" w14:textId="32B4FCA3" w:rsidR="006F6B42" w:rsidRDefault="006F6B42" w:rsidP="006F6B42">
      <w:pPr>
        <w:rPr>
          <w:rFonts w:cs="Times New Roman"/>
        </w:rPr>
      </w:pPr>
      <w:r w:rsidRPr="009F215F">
        <w:rPr>
          <w:rFonts w:cs="Times New Roman"/>
          <w:b/>
        </w:rPr>
        <w:t>The starting point of any fiscal incidence analysis is the definition of income concepts.</w:t>
      </w:r>
      <w:r>
        <w:rPr>
          <w:rFonts w:cs="Times New Roman"/>
        </w:rPr>
        <w:t xml:space="preserve"> The CEQ framework adopts the following four basic concepts (</w:t>
      </w:r>
      <w:r>
        <w:rPr>
          <w:rFonts w:cs="Times New Roman"/>
        </w:rPr>
        <w:fldChar w:fldCharType="begin"/>
      </w:r>
      <w:r>
        <w:rPr>
          <w:rFonts w:cs="Times New Roman"/>
        </w:rPr>
        <w:instrText xml:space="preserve"> REF _Ref4495620 \h </w:instrText>
      </w:r>
      <w:r>
        <w:rPr>
          <w:rFonts w:cs="Times New Roman"/>
        </w:rPr>
      </w:r>
      <w:r>
        <w:rPr>
          <w:rFonts w:cs="Times New Roman"/>
        </w:rPr>
        <w:fldChar w:fldCharType="separate"/>
      </w:r>
      <w:r w:rsidR="00C37C80" w:rsidRPr="002B0033">
        <w:t xml:space="preserve">Figure </w:t>
      </w:r>
      <w:r w:rsidR="00C37C80">
        <w:rPr>
          <w:noProof/>
        </w:rPr>
        <w:t>2</w:t>
      </w:r>
      <w:r w:rsidR="00C37C80">
        <w:t>.</w:t>
      </w:r>
      <w:r w:rsidR="00C37C80">
        <w:rPr>
          <w:noProof/>
        </w:rPr>
        <w:t>1</w:t>
      </w:r>
      <w:r>
        <w:rPr>
          <w:rFonts w:cs="Times New Roman"/>
        </w:rPr>
        <w:fldChar w:fldCharType="end"/>
      </w:r>
      <w:r>
        <w:rPr>
          <w:rFonts w:cs="Times New Roman"/>
        </w:rPr>
        <w:t>):</w:t>
      </w:r>
    </w:p>
    <w:p w14:paraId="69B82621" w14:textId="7C67E708" w:rsidR="006F6B42" w:rsidRDefault="006F6B42" w:rsidP="00727D48">
      <w:pPr>
        <w:pStyle w:val="ListParagraph"/>
        <w:numPr>
          <w:ilvl w:val="0"/>
          <w:numId w:val="22"/>
        </w:numPr>
        <w:rPr>
          <w:rFonts w:cs="Times New Roman"/>
        </w:rPr>
      </w:pPr>
      <w:r w:rsidRPr="00727D48">
        <w:rPr>
          <w:rFonts w:cs="Times New Roman"/>
          <w:i/>
        </w:rPr>
        <w:t>Market income</w:t>
      </w:r>
      <w:r>
        <w:rPr>
          <w:rFonts w:cs="Times New Roman"/>
        </w:rPr>
        <w:t xml:space="preserve"> is total income before taxes and includes all gross income from labor (wages and salaries), income from capital (dividends, interest, profits, rents, </w:t>
      </w:r>
      <w:r w:rsidR="00944E58">
        <w:rPr>
          <w:rFonts w:cs="Times New Roman"/>
        </w:rPr>
        <w:t>and so on</w:t>
      </w:r>
      <w:r>
        <w:rPr>
          <w:rFonts w:cs="Times New Roman"/>
        </w:rPr>
        <w:t xml:space="preserve">), consumption of own production, imputed rent for owner-occupied dwellings, and private transfers (remittances, donations received, alimony, pensions from private schemes, </w:t>
      </w:r>
      <w:r w:rsidR="00944E58">
        <w:rPr>
          <w:rFonts w:cs="Times New Roman"/>
        </w:rPr>
        <w:t>and so on</w:t>
      </w:r>
      <w:r>
        <w:rPr>
          <w:rFonts w:cs="Times New Roman"/>
        </w:rPr>
        <w:t>).</w:t>
      </w:r>
    </w:p>
    <w:p w14:paraId="589BBD58" w14:textId="438C90B7" w:rsidR="006F6B42" w:rsidRDefault="006F6B42" w:rsidP="00727D48">
      <w:pPr>
        <w:pStyle w:val="ListParagraph"/>
        <w:numPr>
          <w:ilvl w:val="0"/>
          <w:numId w:val="22"/>
        </w:numPr>
        <w:rPr>
          <w:rFonts w:cs="Times New Roman"/>
        </w:rPr>
      </w:pPr>
      <w:r w:rsidRPr="00727D48">
        <w:rPr>
          <w:rFonts w:cs="Times New Roman"/>
          <w:i/>
        </w:rPr>
        <w:t>Disposable income</w:t>
      </w:r>
      <w:r>
        <w:rPr>
          <w:rFonts w:cs="Times New Roman"/>
        </w:rPr>
        <w:t xml:space="preserve"> is market income</w:t>
      </w:r>
      <w:r w:rsidR="00972577">
        <w:rPr>
          <w:rFonts w:cs="Times New Roman"/>
        </w:rPr>
        <w:t>,</w:t>
      </w:r>
      <w:r>
        <w:rPr>
          <w:rFonts w:cs="Times New Roman"/>
        </w:rPr>
        <w:t xml:space="preserve"> minus direct personal income taxes </w:t>
      </w:r>
      <w:r w:rsidR="00805D33">
        <w:rPr>
          <w:rFonts w:cs="Times New Roman"/>
        </w:rPr>
        <w:t xml:space="preserve">(PITs) </w:t>
      </w:r>
      <w:r>
        <w:rPr>
          <w:rFonts w:cs="Times New Roman"/>
        </w:rPr>
        <w:t>on all income sources that are subject to taxation</w:t>
      </w:r>
      <w:r w:rsidR="00542BFA">
        <w:rPr>
          <w:rFonts w:cs="Times New Roman"/>
        </w:rPr>
        <w:t>,</w:t>
      </w:r>
      <w:r>
        <w:rPr>
          <w:rFonts w:cs="Times New Roman"/>
        </w:rPr>
        <w:t xml:space="preserve"> plus direct transfers, such as direct cash and near-cash transfers (</w:t>
      </w:r>
      <w:r w:rsidR="00944E58">
        <w:rPr>
          <w:rFonts w:cs="Times New Roman"/>
        </w:rPr>
        <w:t xml:space="preserve">for instance, </w:t>
      </w:r>
      <w:r>
        <w:rPr>
          <w:rFonts w:cs="Times New Roman"/>
        </w:rPr>
        <w:t xml:space="preserve">food transfers, free textbooks, school uniforms, </w:t>
      </w:r>
      <w:r w:rsidR="00944E58">
        <w:rPr>
          <w:rFonts w:cs="Times New Roman"/>
        </w:rPr>
        <w:t>and so on</w:t>
      </w:r>
      <w:r>
        <w:rPr>
          <w:rFonts w:cs="Times New Roman"/>
        </w:rPr>
        <w:t>)</w:t>
      </w:r>
      <w:r w:rsidR="00542BFA">
        <w:rPr>
          <w:rFonts w:cs="Times New Roman"/>
        </w:rPr>
        <w:t>.</w:t>
      </w:r>
    </w:p>
    <w:p w14:paraId="69BBAE63" w14:textId="01E1A159" w:rsidR="006F6B42" w:rsidRDefault="006F6B42" w:rsidP="00727D48">
      <w:pPr>
        <w:pStyle w:val="ListParagraph"/>
        <w:numPr>
          <w:ilvl w:val="0"/>
          <w:numId w:val="22"/>
        </w:numPr>
        <w:rPr>
          <w:rFonts w:cs="Times New Roman"/>
        </w:rPr>
      </w:pPr>
      <w:r w:rsidRPr="00727D48">
        <w:rPr>
          <w:rFonts w:cs="Times New Roman"/>
          <w:i/>
        </w:rPr>
        <w:t>Consumable income</w:t>
      </w:r>
      <w:r>
        <w:rPr>
          <w:rFonts w:cs="Times New Roman"/>
        </w:rPr>
        <w:t xml:space="preserve"> is derived from disposable income by adding indirect subsidies</w:t>
      </w:r>
      <w:r w:rsidR="00542BFA">
        <w:rPr>
          <w:rFonts w:cs="Times New Roman"/>
        </w:rPr>
        <w:t>,</w:t>
      </w:r>
      <w:r>
        <w:rPr>
          <w:rFonts w:cs="Times New Roman"/>
        </w:rPr>
        <w:t xml:space="preserve"> such as food and fuel subsidies</w:t>
      </w:r>
      <w:r w:rsidR="00542BFA">
        <w:rPr>
          <w:rFonts w:cs="Times New Roman"/>
        </w:rPr>
        <w:t>,</w:t>
      </w:r>
      <w:r>
        <w:rPr>
          <w:rFonts w:cs="Times New Roman"/>
        </w:rPr>
        <w:t xml:space="preserve"> and subtracting indirect taxes, including </w:t>
      </w:r>
      <w:r w:rsidR="00E07F88">
        <w:rPr>
          <w:rFonts w:cs="Times New Roman"/>
        </w:rPr>
        <w:t>the value added tax (</w:t>
      </w:r>
      <w:r>
        <w:rPr>
          <w:rFonts w:cs="Times New Roman"/>
        </w:rPr>
        <w:t>VAT</w:t>
      </w:r>
      <w:r w:rsidR="00E07F88">
        <w:rPr>
          <w:rFonts w:cs="Times New Roman"/>
        </w:rPr>
        <w:t>)</w:t>
      </w:r>
      <w:r>
        <w:rPr>
          <w:rFonts w:cs="Times New Roman"/>
        </w:rPr>
        <w:t>, excise taxes, and sales taxes.</w:t>
      </w:r>
    </w:p>
    <w:p w14:paraId="5C8FF5AE" w14:textId="35131F35" w:rsidR="006F6B42" w:rsidRDefault="006F6B42" w:rsidP="00727D48">
      <w:pPr>
        <w:pStyle w:val="ListParagraph"/>
        <w:numPr>
          <w:ilvl w:val="0"/>
          <w:numId w:val="22"/>
        </w:numPr>
        <w:rPr>
          <w:rFonts w:cs="Times New Roman"/>
        </w:rPr>
      </w:pPr>
      <w:r w:rsidRPr="00727D48">
        <w:rPr>
          <w:rFonts w:cs="Times New Roman"/>
          <w:i/>
        </w:rPr>
        <w:t>Final income</w:t>
      </w:r>
      <w:r>
        <w:rPr>
          <w:rFonts w:cs="Times New Roman"/>
        </w:rPr>
        <w:t xml:space="preserve"> is consumable income</w:t>
      </w:r>
      <w:r w:rsidR="00542BFA">
        <w:rPr>
          <w:rFonts w:cs="Times New Roman"/>
        </w:rPr>
        <w:t>,</w:t>
      </w:r>
      <w:r>
        <w:rPr>
          <w:rFonts w:cs="Times New Roman"/>
        </w:rPr>
        <w:t xml:space="preserve"> plus in-kind benefits</w:t>
      </w:r>
      <w:r w:rsidR="00542BFA">
        <w:rPr>
          <w:rFonts w:cs="Times New Roman"/>
        </w:rPr>
        <w:t>,</w:t>
      </w:r>
      <w:r>
        <w:rPr>
          <w:rFonts w:cs="Times New Roman"/>
        </w:rPr>
        <w:t xml:space="preserve"> such as free education and health </w:t>
      </w:r>
      <w:r w:rsidR="00542BFA">
        <w:rPr>
          <w:rFonts w:cs="Times New Roman"/>
        </w:rPr>
        <w:t xml:space="preserve">care </w:t>
      </w:r>
      <w:r>
        <w:rPr>
          <w:rFonts w:cs="Times New Roman"/>
        </w:rPr>
        <w:t xml:space="preserve">services, valued at the average cost of provision for the government (if </w:t>
      </w:r>
      <w:r w:rsidR="00542BFA">
        <w:rPr>
          <w:rFonts w:cs="Times New Roman"/>
        </w:rPr>
        <w:t>implemented</w:t>
      </w:r>
      <w:r>
        <w:rPr>
          <w:rFonts w:cs="Times New Roman"/>
        </w:rPr>
        <w:t>, copayments and user fees are subtracted from the value of in-kind transfers).</w:t>
      </w:r>
    </w:p>
    <w:tbl>
      <w:tblPr>
        <w:tblW w:w="9360" w:type="dxa"/>
        <w:tblLayout w:type="fixed"/>
        <w:tblCellMar>
          <w:left w:w="0" w:type="dxa"/>
          <w:right w:w="0" w:type="dxa"/>
        </w:tblCellMar>
        <w:tblLook w:val="04A0" w:firstRow="1" w:lastRow="0" w:firstColumn="1" w:lastColumn="0" w:noHBand="0" w:noVBand="1"/>
      </w:tblPr>
      <w:tblGrid>
        <w:gridCol w:w="9360"/>
      </w:tblGrid>
      <w:tr w:rsidR="006F6B42" w:rsidRPr="002B0033" w14:paraId="7F93F707" w14:textId="77777777" w:rsidTr="009379E6">
        <w:tc>
          <w:tcPr>
            <w:tcW w:w="9360" w:type="dxa"/>
          </w:tcPr>
          <w:p w14:paraId="19D0F000" w14:textId="211C336A" w:rsidR="006F6B42" w:rsidRPr="002B0033" w:rsidRDefault="006F6B42" w:rsidP="009379E6">
            <w:pPr>
              <w:pStyle w:val="FigureandTable"/>
            </w:pPr>
            <w:bookmarkStart w:id="25" w:name="_Ref4495620"/>
            <w:bookmarkStart w:id="26" w:name="_Ref4495575"/>
            <w:bookmarkStart w:id="27" w:name="_Toc4496471"/>
            <w:bookmarkStart w:id="28" w:name="_Toc11255062"/>
            <w:r w:rsidRPr="002B0033">
              <w:t xml:space="preserve">Figure </w:t>
            </w:r>
            <w:r w:rsidR="00760E9E">
              <w:rPr>
                <w:noProof/>
              </w:rPr>
              <w:fldChar w:fldCharType="begin"/>
            </w:r>
            <w:r w:rsidR="00760E9E">
              <w:rPr>
                <w:noProof/>
              </w:rPr>
              <w:instrText xml:space="preserve"> STYLEREF 1 \s </w:instrText>
            </w:r>
            <w:r w:rsidR="00760E9E">
              <w:rPr>
                <w:noProof/>
              </w:rPr>
              <w:fldChar w:fldCharType="separate"/>
            </w:r>
            <w:r w:rsidR="00C37C80">
              <w:rPr>
                <w:noProof/>
              </w:rPr>
              <w:t>2</w:t>
            </w:r>
            <w:r w:rsidR="00760E9E">
              <w:rPr>
                <w:noProof/>
              </w:rPr>
              <w:fldChar w:fldCharType="end"/>
            </w:r>
            <w:r w:rsidR="00275542">
              <w:t>.</w:t>
            </w:r>
            <w:r w:rsidR="00760E9E">
              <w:rPr>
                <w:noProof/>
              </w:rPr>
              <w:fldChar w:fldCharType="begin"/>
            </w:r>
            <w:r w:rsidR="00760E9E">
              <w:rPr>
                <w:noProof/>
              </w:rPr>
              <w:instrText xml:space="preserve"> SEQ Figure \* ARABIC \s 1 </w:instrText>
            </w:r>
            <w:r w:rsidR="00760E9E">
              <w:rPr>
                <w:noProof/>
              </w:rPr>
              <w:fldChar w:fldCharType="separate"/>
            </w:r>
            <w:r w:rsidR="00C37C80">
              <w:rPr>
                <w:noProof/>
              </w:rPr>
              <w:t>1</w:t>
            </w:r>
            <w:r w:rsidR="00760E9E">
              <w:rPr>
                <w:noProof/>
              </w:rPr>
              <w:fldChar w:fldCharType="end"/>
            </w:r>
            <w:bookmarkEnd w:id="25"/>
            <w:r w:rsidRPr="002B0033">
              <w:t xml:space="preserve">. </w:t>
            </w:r>
            <w:r>
              <w:t xml:space="preserve">Definitions of </w:t>
            </w:r>
            <w:r w:rsidR="00032B6F">
              <w:t>Income Concepts</w:t>
            </w:r>
            <w:bookmarkEnd w:id="26"/>
            <w:bookmarkEnd w:id="27"/>
            <w:bookmarkEnd w:id="28"/>
          </w:p>
        </w:tc>
      </w:tr>
      <w:tr w:rsidR="006F6B42" w:rsidRPr="002B0033" w14:paraId="37B32F34" w14:textId="77777777" w:rsidTr="009379E6">
        <w:tblPrEx>
          <w:tblCellMar>
            <w:left w:w="108" w:type="dxa"/>
            <w:right w:w="108" w:type="dxa"/>
          </w:tblCellMar>
        </w:tblPrEx>
        <w:tc>
          <w:tcPr>
            <w:tcW w:w="9360" w:type="dxa"/>
          </w:tcPr>
          <w:p w14:paraId="6A78CF3C" w14:textId="77777777" w:rsidR="006F6B42" w:rsidRPr="002B0033" w:rsidRDefault="006F6B42" w:rsidP="009379E6">
            <w:pPr>
              <w:spacing w:after="120"/>
              <w:rPr>
                <w:rFonts w:cs="Times New Roman"/>
                <w:sz w:val="16"/>
                <w:szCs w:val="16"/>
              </w:rPr>
            </w:pPr>
            <w:r>
              <w:rPr>
                <w:noProof/>
              </w:rPr>
              <w:drawing>
                <wp:inline distT="0" distB="0" distL="0" distR="0" wp14:anchorId="7ECDABCE" wp14:editId="3344FEB7">
                  <wp:extent cx="5394960" cy="36027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4960" cy="3602736"/>
                          </a:xfrm>
                          <a:prstGeom prst="rect">
                            <a:avLst/>
                          </a:prstGeom>
                        </pic:spPr>
                      </pic:pic>
                    </a:graphicData>
                  </a:graphic>
                </wp:inline>
              </w:drawing>
            </w:r>
          </w:p>
        </w:tc>
      </w:tr>
      <w:tr w:rsidR="006F6B42" w:rsidRPr="002B0033" w14:paraId="15191880" w14:textId="77777777" w:rsidTr="009379E6">
        <w:trPr>
          <w:trHeight w:val="189"/>
        </w:trPr>
        <w:tc>
          <w:tcPr>
            <w:tcW w:w="9360" w:type="dxa"/>
          </w:tcPr>
          <w:p w14:paraId="7026A1C6" w14:textId="45D9B180" w:rsidR="006F6B42" w:rsidRPr="002B0033" w:rsidRDefault="006F6B42" w:rsidP="009379E6">
            <w:pPr>
              <w:widowControl w:val="0"/>
              <w:contextualSpacing/>
              <w:rPr>
                <w:rFonts w:cs="Times New Roman"/>
                <w:sz w:val="18"/>
                <w:szCs w:val="18"/>
              </w:rPr>
            </w:pPr>
            <w:r w:rsidRPr="002B0033">
              <w:rPr>
                <w:rFonts w:cs="Times New Roman"/>
                <w:i/>
                <w:sz w:val="18"/>
                <w:szCs w:val="18"/>
              </w:rPr>
              <w:t>Source:</w:t>
            </w:r>
            <w:r w:rsidRPr="002B0033">
              <w:rPr>
                <w:rFonts w:cs="Times New Roman"/>
                <w:sz w:val="18"/>
                <w:szCs w:val="18"/>
              </w:rPr>
              <w:t xml:space="preserve"> </w:t>
            </w:r>
            <w:r>
              <w:rPr>
                <w:rFonts w:cs="Times New Roman"/>
                <w:sz w:val="18"/>
                <w:szCs w:val="18"/>
              </w:rPr>
              <w:t>Inchauste and Lustig 2017.</w:t>
            </w:r>
          </w:p>
        </w:tc>
      </w:tr>
    </w:tbl>
    <w:p w14:paraId="227D1DBE" w14:textId="77777777" w:rsidR="006F6B42" w:rsidRDefault="006F6B42" w:rsidP="00A77782">
      <w:pPr>
        <w:rPr>
          <w:rFonts w:cs="Times New Roman"/>
        </w:rPr>
      </w:pPr>
    </w:p>
    <w:p w14:paraId="45637219" w14:textId="3F1A03C6" w:rsidR="002152DF" w:rsidRDefault="00D25212" w:rsidP="002152DF">
      <w:pPr>
        <w:rPr>
          <w:rFonts w:cs="Times New Roman"/>
        </w:rPr>
      </w:pPr>
      <w:r w:rsidRPr="009F215F">
        <w:rPr>
          <w:rFonts w:cs="Times New Roman"/>
          <w:b/>
        </w:rPr>
        <w:t xml:space="preserve">One of the main </w:t>
      </w:r>
      <w:r w:rsidR="005C7DA9" w:rsidRPr="009F215F">
        <w:rPr>
          <w:rFonts w:cs="Times New Roman"/>
          <w:b/>
        </w:rPr>
        <w:t>advantages</w:t>
      </w:r>
      <w:r w:rsidR="009A60FD" w:rsidRPr="009F215F">
        <w:rPr>
          <w:rFonts w:cs="Times New Roman"/>
          <w:b/>
        </w:rPr>
        <w:t xml:space="preserve"> of including </w:t>
      </w:r>
      <w:r w:rsidR="005C7DA9" w:rsidRPr="009F215F">
        <w:rPr>
          <w:rFonts w:cs="Times New Roman"/>
          <w:b/>
        </w:rPr>
        <w:t xml:space="preserve">both taxes and public spending is the possibility of </w:t>
      </w:r>
      <w:r w:rsidR="00CE7C67" w:rsidRPr="009F215F">
        <w:rPr>
          <w:rFonts w:cs="Times New Roman"/>
          <w:b/>
        </w:rPr>
        <w:t xml:space="preserve">assessing the </w:t>
      </w:r>
      <w:r w:rsidR="00727362" w:rsidRPr="009F215F">
        <w:rPr>
          <w:rFonts w:cs="Times New Roman"/>
          <w:b/>
        </w:rPr>
        <w:t>effect</w:t>
      </w:r>
      <w:r w:rsidR="00CE7C67" w:rsidRPr="009F215F">
        <w:rPr>
          <w:rFonts w:cs="Times New Roman"/>
          <w:b/>
        </w:rPr>
        <w:t xml:space="preserve"> of single taxes and transfers </w:t>
      </w:r>
      <w:r w:rsidR="00727362" w:rsidRPr="009F215F">
        <w:rPr>
          <w:rFonts w:cs="Times New Roman"/>
          <w:b/>
        </w:rPr>
        <w:t>on</w:t>
      </w:r>
      <w:r w:rsidR="00CE7C67" w:rsidRPr="009F215F">
        <w:rPr>
          <w:rFonts w:cs="Times New Roman"/>
          <w:b/>
        </w:rPr>
        <w:t xml:space="preserve"> the </w:t>
      </w:r>
      <w:r w:rsidR="00727362" w:rsidRPr="009F215F">
        <w:rPr>
          <w:rFonts w:cs="Times New Roman"/>
          <w:b/>
        </w:rPr>
        <w:t>distribution</w:t>
      </w:r>
      <w:r w:rsidR="00CE7C67" w:rsidRPr="009F215F">
        <w:rPr>
          <w:rFonts w:cs="Times New Roman"/>
          <w:b/>
        </w:rPr>
        <w:t xml:space="preserve"> of </w:t>
      </w:r>
      <w:r w:rsidR="00727362" w:rsidRPr="009F215F">
        <w:rPr>
          <w:rFonts w:cs="Times New Roman"/>
          <w:b/>
        </w:rPr>
        <w:t>income</w:t>
      </w:r>
      <w:r w:rsidR="00727362">
        <w:rPr>
          <w:rFonts w:cs="Times New Roman"/>
        </w:rPr>
        <w:t>,</w:t>
      </w:r>
      <w:r w:rsidR="00CE7C67">
        <w:rPr>
          <w:rFonts w:cs="Times New Roman"/>
        </w:rPr>
        <w:t xml:space="preserve"> but also</w:t>
      </w:r>
      <w:r w:rsidR="00396CF9">
        <w:rPr>
          <w:rFonts w:cs="Times New Roman"/>
        </w:rPr>
        <w:t xml:space="preserve"> </w:t>
      </w:r>
      <w:r w:rsidR="000F5C0F">
        <w:rPr>
          <w:rFonts w:cs="Times New Roman"/>
        </w:rPr>
        <w:t>ascertaining whether or not the net fiscal system as a whole is</w:t>
      </w:r>
      <w:r w:rsidR="00C2490D">
        <w:rPr>
          <w:rFonts w:cs="Times New Roman"/>
        </w:rPr>
        <w:t xml:space="preserve"> equalizing or unequalizing, pro</w:t>
      </w:r>
      <w:r w:rsidR="00A829C4">
        <w:rPr>
          <w:rFonts w:cs="Times New Roman"/>
        </w:rPr>
        <w:t>-</w:t>
      </w:r>
      <w:r w:rsidR="00C2490D">
        <w:rPr>
          <w:rFonts w:cs="Times New Roman"/>
        </w:rPr>
        <w:t>poor or pro</w:t>
      </w:r>
      <w:r w:rsidR="00A829C4">
        <w:rPr>
          <w:rFonts w:cs="Times New Roman"/>
        </w:rPr>
        <w:t>-</w:t>
      </w:r>
      <w:r w:rsidR="00C2490D">
        <w:rPr>
          <w:rFonts w:cs="Times New Roman"/>
        </w:rPr>
        <w:t xml:space="preserve">rich. </w:t>
      </w:r>
      <w:r w:rsidR="00D94C80">
        <w:rPr>
          <w:rFonts w:cs="Times New Roman"/>
        </w:rPr>
        <w:t>F</w:t>
      </w:r>
      <w:r w:rsidR="00C2490D">
        <w:rPr>
          <w:rFonts w:cs="Times New Roman"/>
        </w:rPr>
        <w:t>or example</w:t>
      </w:r>
      <w:r w:rsidR="00D94C80">
        <w:rPr>
          <w:rFonts w:cs="Times New Roman"/>
        </w:rPr>
        <w:t>,</w:t>
      </w:r>
      <w:r w:rsidR="00C2490D">
        <w:rPr>
          <w:rFonts w:cs="Times New Roman"/>
        </w:rPr>
        <w:t xml:space="preserve"> while </w:t>
      </w:r>
      <w:r w:rsidR="00CA6A30">
        <w:rPr>
          <w:rFonts w:cs="Times New Roman"/>
        </w:rPr>
        <w:t xml:space="preserve">certain taxes might be </w:t>
      </w:r>
      <w:r w:rsidR="00D94C80">
        <w:rPr>
          <w:rFonts w:cs="Times New Roman"/>
        </w:rPr>
        <w:t>u</w:t>
      </w:r>
      <w:r w:rsidR="00CA6A30">
        <w:rPr>
          <w:rFonts w:cs="Times New Roman"/>
        </w:rPr>
        <w:t>nequalizing, revenues collected through th</w:t>
      </w:r>
      <w:r w:rsidR="008B73DF">
        <w:rPr>
          <w:rFonts w:cs="Times New Roman"/>
        </w:rPr>
        <w:t>e</w:t>
      </w:r>
      <w:r w:rsidR="00CA6A30">
        <w:rPr>
          <w:rFonts w:cs="Times New Roman"/>
        </w:rPr>
        <w:t xml:space="preserve">se taxes might be used to finance </w:t>
      </w:r>
      <w:r w:rsidR="00D94C80">
        <w:rPr>
          <w:rFonts w:cs="Times New Roman"/>
        </w:rPr>
        <w:t xml:space="preserve">social </w:t>
      </w:r>
      <w:r w:rsidR="00CA6A30">
        <w:rPr>
          <w:rFonts w:cs="Times New Roman"/>
        </w:rPr>
        <w:t xml:space="preserve">spending </w:t>
      </w:r>
      <w:r w:rsidR="00D94C80">
        <w:rPr>
          <w:rFonts w:cs="Times New Roman"/>
        </w:rPr>
        <w:t xml:space="preserve">and cash transfers </w:t>
      </w:r>
      <w:r w:rsidR="00CA6A30">
        <w:rPr>
          <w:rFonts w:cs="Times New Roman"/>
        </w:rPr>
        <w:t xml:space="preserve">that </w:t>
      </w:r>
      <w:r w:rsidR="00D94C80">
        <w:rPr>
          <w:rFonts w:cs="Times New Roman"/>
        </w:rPr>
        <w:t>are</w:t>
      </w:r>
      <w:r w:rsidR="00A829C4">
        <w:rPr>
          <w:rFonts w:cs="Times New Roman"/>
        </w:rPr>
        <w:t xml:space="preserve"> s</w:t>
      </w:r>
      <w:r w:rsidR="008B73DF">
        <w:rPr>
          <w:rFonts w:cs="Times New Roman"/>
        </w:rPr>
        <w:t xml:space="preserve">ufficiently </w:t>
      </w:r>
      <w:r w:rsidR="00A829C4">
        <w:rPr>
          <w:rFonts w:cs="Times New Roman"/>
        </w:rPr>
        <w:t xml:space="preserve">equalizing </w:t>
      </w:r>
      <w:r w:rsidR="00D94C80">
        <w:rPr>
          <w:rFonts w:cs="Times New Roman"/>
        </w:rPr>
        <w:t>to</w:t>
      </w:r>
      <w:r w:rsidR="00A829C4">
        <w:rPr>
          <w:rFonts w:cs="Times New Roman"/>
        </w:rPr>
        <w:t xml:space="preserve"> </w:t>
      </w:r>
      <w:r w:rsidR="00EA1B2D">
        <w:rPr>
          <w:rFonts w:cs="Times New Roman"/>
        </w:rPr>
        <w:t xml:space="preserve">make the system more equalizing than </w:t>
      </w:r>
      <w:r w:rsidR="008B73DF">
        <w:rPr>
          <w:rFonts w:cs="Times New Roman"/>
        </w:rPr>
        <w:t xml:space="preserve">it would be </w:t>
      </w:r>
      <w:r w:rsidR="00EA1B2D">
        <w:rPr>
          <w:rFonts w:cs="Times New Roman"/>
        </w:rPr>
        <w:t>without the</w:t>
      </w:r>
      <w:r w:rsidR="008B73DF">
        <w:rPr>
          <w:rFonts w:cs="Times New Roman"/>
        </w:rPr>
        <w:t xml:space="preserve"> taxes</w:t>
      </w:r>
      <w:r w:rsidR="00EA1B2D">
        <w:rPr>
          <w:rFonts w:cs="Times New Roman"/>
        </w:rPr>
        <w:t>.</w:t>
      </w:r>
      <w:r w:rsidR="00112664">
        <w:rPr>
          <w:rFonts w:cs="Times New Roman"/>
        </w:rPr>
        <w:t xml:space="preserve"> Lambert</w:t>
      </w:r>
      <w:r w:rsidR="008B73DF">
        <w:rPr>
          <w:rFonts w:cs="Times New Roman"/>
        </w:rPr>
        <w:t>’</w:t>
      </w:r>
      <w:r w:rsidR="00112664">
        <w:rPr>
          <w:rFonts w:cs="Times New Roman"/>
        </w:rPr>
        <w:t xml:space="preserve">s </w:t>
      </w:r>
      <w:r w:rsidR="005822EA">
        <w:rPr>
          <w:rFonts w:cs="Times New Roman"/>
        </w:rPr>
        <w:t>conundrum (2001)</w:t>
      </w:r>
      <w:r w:rsidR="002924CF">
        <w:rPr>
          <w:rFonts w:cs="Times New Roman"/>
        </w:rPr>
        <w:t xml:space="preserve">, whereby a fiscal system with a regressive tax is more equalizing than one </w:t>
      </w:r>
      <w:r w:rsidR="005822EA">
        <w:rPr>
          <w:rFonts w:cs="Times New Roman"/>
        </w:rPr>
        <w:t>without</w:t>
      </w:r>
      <w:r w:rsidR="002924CF">
        <w:rPr>
          <w:rFonts w:cs="Times New Roman"/>
        </w:rPr>
        <w:t xml:space="preserve"> it,</w:t>
      </w:r>
      <w:r w:rsidR="00112664">
        <w:rPr>
          <w:rFonts w:cs="Times New Roman"/>
        </w:rPr>
        <w:t xml:space="preserve"> </w:t>
      </w:r>
      <w:r w:rsidR="002924CF">
        <w:rPr>
          <w:rFonts w:cs="Times New Roman"/>
        </w:rPr>
        <w:t>implies that</w:t>
      </w:r>
      <w:r w:rsidR="005C7DA9">
        <w:rPr>
          <w:rFonts w:cs="Times New Roman"/>
        </w:rPr>
        <w:t xml:space="preserve"> </w:t>
      </w:r>
      <w:r w:rsidR="005A2026">
        <w:rPr>
          <w:rFonts w:cs="Times New Roman"/>
        </w:rPr>
        <w:t xml:space="preserve">the </w:t>
      </w:r>
      <w:r w:rsidR="000A571D">
        <w:rPr>
          <w:rFonts w:cs="Times New Roman"/>
        </w:rPr>
        <w:t xml:space="preserve">key </w:t>
      </w:r>
      <w:r w:rsidR="005A2026">
        <w:rPr>
          <w:rFonts w:cs="Times New Roman"/>
        </w:rPr>
        <w:t xml:space="preserve">is </w:t>
      </w:r>
      <w:r w:rsidR="000A571D">
        <w:rPr>
          <w:rFonts w:cs="Times New Roman"/>
        </w:rPr>
        <w:t>to account for the whole fiscal system</w:t>
      </w:r>
      <w:r>
        <w:rPr>
          <w:rFonts w:cs="Times New Roman"/>
        </w:rPr>
        <w:t xml:space="preserve"> </w:t>
      </w:r>
      <w:r w:rsidR="00944E58">
        <w:rPr>
          <w:rFonts w:cs="Times New Roman"/>
        </w:rPr>
        <w:t>to</w:t>
      </w:r>
      <w:r w:rsidR="00631B40">
        <w:rPr>
          <w:rFonts w:cs="Times New Roman"/>
        </w:rPr>
        <w:t xml:space="preserve"> determine whether or not a specific intervention increases or decreases inequality</w:t>
      </w:r>
      <w:r w:rsidR="00603AD5">
        <w:rPr>
          <w:rFonts w:cs="Times New Roman"/>
        </w:rPr>
        <w:t>.</w:t>
      </w:r>
      <w:r w:rsidR="00F7751D">
        <w:rPr>
          <w:rStyle w:val="FootnoteReference"/>
          <w:rFonts w:cs="Times New Roman"/>
        </w:rPr>
        <w:footnoteReference w:id="6"/>
      </w:r>
      <w:r w:rsidR="00603AD5">
        <w:rPr>
          <w:rFonts w:cs="Times New Roman"/>
        </w:rPr>
        <w:t xml:space="preserve"> </w:t>
      </w:r>
      <w:r w:rsidR="00886571">
        <w:rPr>
          <w:rFonts w:cs="Times New Roman"/>
        </w:rPr>
        <w:t>I</w:t>
      </w:r>
      <w:r w:rsidR="00AC2D2A">
        <w:rPr>
          <w:rFonts w:cs="Times New Roman"/>
        </w:rPr>
        <w:t xml:space="preserve">n addition, </w:t>
      </w:r>
      <w:r w:rsidR="00886571">
        <w:rPr>
          <w:rFonts w:cs="Times New Roman"/>
        </w:rPr>
        <w:t>after one estimates</w:t>
      </w:r>
      <w:r w:rsidR="004D318B" w:rsidRPr="00B8733A">
        <w:rPr>
          <w:rFonts w:cs="Times New Roman"/>
        </w:rPr>
        <w:t xml:space="preserve"> the distributional impact of a system of taxes</w:t>
      </w:r>
      <w:r w:rsidR="00886571" w:rsidRPr="00B8733A">
        <w:rPr>
          <w:rFonts w:cs="Times New Roman"/>
        </w:rPr>
        <w:t xml:space="preserve"> and </w:t>
      </w:r>
      <w:r w:rsidR="004D318B" w:rsidRPr="00B8733A">
        <w:rPr>
          <w:rFonts w:cs="Times New Roman"/>
        </w:rPr>
        <w:t>transfers using microdata</w:t>
      </w:r>
      <w:r w:rsidR="00886571" w:rsidRPr="00B8733A">
        <w:rPr>
          <w:rFonts w:cs="Times New Roman"/>
        </w:rPr>
        <w:t>, it is possible to</w:t>
      </w:r>
      <w:r w:rsidR="00805F46" w:rsidRPr="00B8733A">
        <w:rPr>
          <w:rFonts w:cs="Times New Roman"/>
        </w:rPr>
        <w:t xml:space="preserve"> go beyond the status quo and explore the</w:t>
      </w:r>
      <w:r w:rsidR="004D318B" w:rsidRPr="00B8733A">
        <w:rPr>
          <w:rFonts w:cs="Times New Roman"/>
        </w:rPr>
        <w:t xml:space="preserve"> impacts of </w:t>
      </w:r>
      <w:r w:rsidR="00D27849" w:rsidRPr="00B8733A">
        <w:rPr>
          <w:rFonts w:cs="Times New Roman"/>
        </w:rPr>
        <w:t>specific</w:t>
      </w:r>
      <w:r w:rsidR="0074509B" w:rsidRPr="00B8733A">
        <w:rPr>
          <w:rFonts w:cs="Times New Roman"/>
        </w:rPr>
        <w:t xml:space="preserve"> set</w:t>
      </w:r>
      <w:r w:rsidR="00D27849" w:rsidRPr="00B8733A">
        <w:rPr>
          <w:rFonts w:cs="Times New Roman"/>
        </w:rPr>
        <w:t>s</w:t>
      </w:r>
      <w:r w:rsidR="0074509B" w:rsidRPr="00B8733A">
        <w:rPr>
          <w:rFonts w:cs="Times New Roman"/>
        </w:rPr>
        <w:t xml:space="preserve"> of reforms to the system on the </w:t>
      </w:r>
      <w:r w:rsidR="00F50E1B" w:rsidRPr="00B8733A">
        <w:rPr>
          <w:rFonts w:cs="Times New Roman"/>
        </w:rPr>
        <w:t xml:space="preserve">distribution of different household </w:t>
      </w:r>
      <w:r w:rsidR="0074509B" w:rsidRPr="00B8733A">
        <w:rPr>
          <w:rFonts w:cs="Times New Roman"/>
        </w:rPr>
        <w:t>income</w:t>
      </w:r>
      <w:r w:rsidR="00F50E1B" w:rsidRPr="00B8733A">
        <w:rPr>
          <w:rFonts w:cs="Times New Roman"/>
        </w:rPr>
        <w:t xml:space="preserve"> concepts</w:t>
      </w:r>
      <w:r w:rsidR="00A44645" w:rsidRPr="00B8733A">
        <w:rPr>
          <w:rFonts w:cs="Times New Roman"/>
        </w:rPr>
        <w:t xml:space="preserve"> </w:t>
      </w:r>
      <w:r w:rsidR="00F50E1B" w:rsidRPr="00B8733A">
        <w:rPr>
          <w:rFonts w:cs="Times New Roman"/>
        </w:rPr>
        <w:t>through</w:t>
      </w:r>
      <w:r w:rsidR="0074509B" w:rsidRPr="00B8733A">
        <w:rPr>
          <w:rFonts w:cs="Times New Roman"/>
        </w:rPr>
        <w:t xml:space="preserve"> microsimulation models</w:t>
      </w:r>
      <w:r w:rsidR="004D318B" w:rsidRPr="00B8733A">
        <w:rPr>
          <w:rFonts w:cs="Times New Roman"/>
        </w:rPr>
        <w:t xml:space="preserve">. </w:t>
      </w:r>
      <w:r w:rsidR="00E73941">
        <w:rPr>
          <w:rFonts w:cs="Times New Roman"/>
        </w:rPr>
        <w:t xml:space="preserve">The CEQ approach is </w:t>
      </w:r>
      <w:r w:rsidR="003C1BE5">
        <w:rPr>
          <w:rFonts w:cs="Times New Roman"/>
        </w:rPr>
        <w:t>designed to provide answer</w:t>
      </w:r>
      <w:r w:rsidR="005A2026">
        <w:rPr>
          <w:rFonts w:cs="Times New Roman"/>
        </w:rPr>
        <w:t>s</w:t>
      </w:r>
      <w:r w:rsidR="003C1BE5">
        <w:rPr>
          <w:rFonts w:cs="Times New Roman"/>
        </w:rPr>
        <w:t xml:space="preserve"> to questions such as </w:t>
      </w:r>
      <w:r w:rsidR="002152DF" w:rsidRPr="0026385B">
        <w:rPr>
          <w:rFonts w:cs="Times New Roman"/>
        </w:rPr>
        <w:t>How much income redistribution and poverty reduction is being accomplished through fiscal policy? How equalizing and pro-poor are specific taxes and government spending? How effective are taxes and government spending in reducing inequality and poverty? What is the impact of fiscal reforms that change the size or progressivity of a particular tax or benefit?</w:t>
      </w:r>
      <w:r w:rsidR="00AC1ABE">
        <w:rPr>
          <w:rFonts w:cs="Times New Roman"/>
        </w:rPr>
        <w:t xml:space="preserve"> (Lustig 201</w:t>
      </w:r>
      <w:r w:rsidR="005A2026">
        <w:rPr>
          <w:rFonts w:cs="Times New Roman"/>
        </w:rPr>
        <w:t>8</w:t>
      </w:r>
      <w:r w:rsidR="00AC1ABE">
        <w:rPr>
          <w:rFonts w:cs="Times New Roman"/>
        </w:rPr>
        <w:t>).</w:t>
      </w:r>
    </w:p>
    <w:p w14:paraId="588F5EEC" w14:textId="62F1B0D0" w:rsidR="00F24646" w:rsidRPr="00B8733A" w:rsidRDefault="00F24646" w:rsidP="00A77782">
      <w:pPr>
        <w:rPr>
          <w:rFonts w:cs="Times New Roman"/>
        </w:rPr>
      </w:pPr>
      <w:r w:rsidRPr="009F215F">
        <w:rPr>
          <w:rFonts w:cs="Times New Roman"/>
          <w:b/>
        </w:rPr>
        <w:t xml:space="preserve">First, </w:t>
      </w:r>
      <w:r w:rsidR="00E603AA" w:rsidRPr="009F215F">
        <w:rPr>
          <w:rFonts w:cs="Times New Roman"/>
          <w:b/>
        </w:rPr>
        <w:t>to assess whether the fiscal system reduces or increase inequality, the approach</w:t>
      </w:r>
      <w:r w:rsidRPr="009F215F">
        <w:rPr>
          <w:rFonts w:cs="Times New Roman"/>
          <w:b/>
        </w:rPr>
        <w:t xml:space="preserve"> compare</w:t>
      </w:r>
      <w:r w:rsidR="00E603AA" w:rsidRPr="009F215F">
        <w:rPr>
          <w:rFonts w:cs="Times New Roman"/>
          <w:b/>
        </w:rPr>
        <w:t>s</w:t>
      </w:r>
      <w:r w:rsidRPr="009F215F">
        <w:rPr>
          <w:rFonts w:cs="Times New Roman"/>
          <w:b/>
        </w:rPr>
        <w:t xml:space="preserve"> inequality </w:t>
      </w:r>
      <w:r w:rsidR="00E603AA" w:rsidRPr="009F215F">
        <w:rPr>
          <w:rFonts w:cs="Times New Roman"/>
          <w:b/>
        </w:rPr>
        <w:t xml:space="preserve">calculated using the </w:t>
      </w:r>
      <w:r w:rsidRPr="009F215F">
        <w:rPr>
          <w:rFonts w:cs="Times New Roman"/>
          <w:b/>
        </w:rPr>
        <w:t xml:space="preserve">different income concepts described </w:t>
      </w:r>
      <w:r w:rsidR="00E603AA" w:rsidRPr="009F215F">
        <w:rPr>
          <w:rFonts w:cs="Times New Roman"/>
          <w:b/>
        </w:rPr>
        <w:t>a</w:t>
      </w:r>
      <w:r w:rsidR="00722B40" w:rsidRPr="009F215F">
        <w:rPr>
          <w:rFonts w:cs="Times New Roman"/>
          <w:b/>
        </w:rPr>
        <w:t>bove.</w:t>
      </w:r>
      <w:r w:rsidRPr="00B8733A">
        <w:rPr>
          <w:rFonts w:cs="Times New Roman"/>
        </w:rPr>
        <w:t xml:space="preserve"> For example, </w:t>
      </w:r>
      <w:r w:rsidR="00722B40">
        <w:rPr>
          <w:rFonts w:cs="Times New Roman"/>
        </w:rPr>
        <w:t xml:space="preserve">redistribution obtained through </w:t>
      </w:r>
      <w:r w:rsidRPr="00B8733A">
        <w:rPr>
          <w:rFonts w:cs="Times New Roman"/>
        </w:rPr>
        <w:t xml:space="preserve">direct </w:t>
      </w:r>
      <w:r w:rsidR="00722B40">
        <w:rPr>
          <w:rFonts w:cs="Times New Roman"/>
        </w:rPr>
        <w:t xml:space="preserve">taxes and </w:t>
      </w:r>
      <w:r w:rsidRPr="00B8733A">
        <w:rPr>
          <w:rFonts w:cs="Times New Roman"/>
        </w:rPr>
        <w:t>transfers</w:t>
      </w:r>
      <w:r w:rsidR="00722B40">
        <w:rPr>
          <w:rFonts w:cs="Times New Roman"/>
        </w:rPr>
        <w:t xml:space="preserve"> can be measured by </w:t>
      </w:r>
      <w:r w:rsidR="00722B40" w:rsidRPr="00B8733A">
        <w:rPr>
          <w:rFonts w:cs="Times New Roman"/>
        </w:rPr>
        <w:t xml:space="preserve">comparing </w:t>
      </w:r>
      <w:r w:rsidR="00722B40">
        <w:rPr>
          <w:rFonts w:cs="Times New Roman"/>
        </w:rPr>
        <w:t xml:space="preserve">inequality </w:t>
      </w:r>
      <w:r w:rsidR="00B52D28">
        <w:rPr>
          <w:rFonts w:cs="Times New Roman"/>
        </w:rPr>
        <w:t xml:space="preserve">indicators using </w:t>
      </w:r>
      <w:r w:rsidR="00722B40" w:rsidRPr="00B8733A">
        <w:rPr>
          <w:rFonts w:cs="Times New Roman"/>
        </w:rPr>
        <w:t>market and disposable income</w:t>
      </w:r>
      <w:r w:rsidR="00B52D28">
        <w:rPr>
          <w:rFonts w:cs="Times New Roman"/>
        </w:rPr>
        <w:t>.</w:t>
      </w:r>
      <w:r w:rsidRPr="00B8733A">
        <w:rPr>
          <w:rFonts w:cs="Times New Roman"/>
        </w:rPr>
        <w:t xml:space="preserve"> </w:t>
      </w:r>
      <w:r w:rsidR="00B52D28">
        <w:rPr>
          <w:rFonts w:cs="Times New Roman"/>
        </w:rPr>
        <w:t>C</w:t>
      </w:r>
      <w:r w:rsidRPr="00B8733A">
        <w:rPr>
          <w:rFonts w:cs="Times New Roman"/>
        </w:rPr>
        <w:t xml:space="preserve">omparing disposable and consumable income inequality </w:t>
      </w:r>
      <w:r w:rsidR="00B52D28">
        <w:rPr>
          <w:rFonts w:cs="Times New Roman"/>
        </w:rPr>
        <w:t xml:space="preserve">allows </w:t>
      </w:r>
      <w:r w:rsidR="00BE382E">
        <w:rPr>
          <w:rFonts w:cs="Times New Roman"/>
        </w:rPr>
        <w:t>the extent of r</w:t>
      </w:r>
      <w:r w:rsidRPr="00B8733A">
        <w:rPr>
          <w:rFonts w:cs="Times New Roman"/>
        </w:rPr>
        <w:t xml:space="preserve">edistribution achieved </w:t>
      </w:r>
      <w:r w:rsidR="00BE382E">
        <w:rPr>
          <w:rFonts w:cs="Times New Roman"/>
        </w:rPr>
        <w:t>with</w:t>
      </w:r>
      <w:r w:rsidRPr="00B8733A">
        <w:rPr>
          <w:rFonts w:cs="Times New Roman"/>
        </w:rPr>
        <w:t xml:space="preserve"> indirect </w:t>
      </w:r>
      <w:r w:rsidR="00BE382E">
        <w:rPr>
          <w:rFonts w:cs="Times New Roman"/>
        </w:rPr>
        <w:t xml:space="preserve">taxes and </w:t>
      </w:r>
      <w:r w:rsidRPr="00B8733A">
        <w:rPr>
          <w:rFonts w:cs="Times New Roman"/>
        </w:rPr>
        <w:t>subsidies</w:t>
      </w:r>
      <w:r w:rsidR="005A2026" w:rsidRPr="005A2026">
        <w:rPr>
          <w:rFonts w:cs="Times New Roman"/>
        </w:rPr>
        <w:t xml:space="preserve"> </w:t>
      </w:r>
      <w:r w:rsidR="005A2026">
        <w:rPr>
          <w:rFonts w:cs="Times New Roman"/>
        </w:rPr>
        <w:t>to be understood</w:t>
      </w:r>
      <w:r w:rsidR="00BE382E">
        <w:rPr>
          <w:rFonts w:cs="Times New Roman"/>
        </w:rPr>
        <w:t xml:space="preserve">. Finally, </w:t>
      </w:r>
      <w:r w:rsidR="00BE382E" w:rsidRPr="00B8733A">
        <w:rPr>
          <w:rFonts w:cs="Times New Roman"/>
        </w:rPr>
        <w:t>in-kind transfers</w:t>
      </w:r>
      <w:r w:rsidR="000C3DBF">
        <w:rPr>
          <w:rFonts w:cs="Times New Roman"/>
        </w:rPr>
        <w:t>,</w:t>
      </w:r>
      <w:r w:rsidR="00BE382E">
        <w:rPr>
          <w:rFonts w:cs="Times New Roman"/>
        </w:rPr>
        <w:t xml:space="preserve"> such as</w:t>
      </w:r>
      <w:r w:rsidR="00C40FAB">
        <w:rPr>
          <w:rFonts w:cs="Times New Roman"/>
        </w:rPr>
        <w:t xml:space="preserve"> free</w:t>
      </w:r>
      <w:r w:rsidR="00BE382E" w:rsidRPr="00B8733A">
        <w:rPr>
          <w:rFonts w:cs="Times New Roman"/>
        </w:rPr>
        <w:t xml:space="preserve"> health</w:t>
      </w:r>
      <w:r w:rsidR="00C40FAB">
        <w:rPr>
          <w:rFonts w:cs="Times New Roman"/>
        </w:rPr>
        <w:t xml:space="preserve"> </w:t>
      </w:r>
      <w:r w:rsidR="000C3DBF">
        <w:rPr>
          <w:rFonts w:cs="Times New Roman"/>
        </w:rPr>
        <w:t xml:space="preserve">care </w:t>
      </w:r>
      <w:r w:rsidR="00C40FAB">
        <w:rPr>
          <w:rFonts w:cs="Times New Roman"/>
        </w:rPr>
        <w:t>and</w:t>
      </w:r>
      <w:r w:rsidR="00BE382E" w:rsidRPr="00B8733A">
        <w:rPr>
          <w:rFonts w:cs="Times New Roman"/>
        </w:rPr>
        <w:t xml:space="preserve"> education</w:t>
      </w:r>
      <w:r w:rsidR="00C40FAB">
        <w:rPr>
          <w:rFonts w:cs="Times New Roman"/>
        </w:rPr>
        <w:t xml:space="preserve"> services delivered by the government</w:t>
      </w:r>
      <w:r w:rsidR="000C3DBF">
        <w:rPr>
          <w:rFonts w:cs="Times New Roman"/>
        </w:rPr>
        <w:t>,</w:t>
      </w:r>
      <w:r w:rsidR="00C40FAB">
        <w:rPr>
          <w:rFonts w:cs="Times New Roman"/>
        </w:rPr>
        <w:t xml:space="preserve"> can have an effect on inequality that can be </w:t>
      </w:r>
      <w:r w:rsidR="00D351E3">
        <w:rPr>
          <w:rFonts w:cs="Times New Roman"/>
        </w:rPr>
        <w:t>ascertained</w:t>
      </w:r>
      <w:r w:rsidR="00C40FAB">
        <w:rPr>
          <w:rFonts w:cs="Times New Roman"/>
        </w:rPr>
        <w:t xml:space="preserve"> by</w:t>
      </w:r>
      <w:r w:rsidR="00D351E3">
        <w:rPr>
          <w:rFonts w:cs="Times New Roman"/>
        </w:rPr>
        <w:t xml:space="preserve"> comparing</w:t>
      </w:r>
      <w:r w:rsidR="00BE382E" w:rsidRPr="00B8733A">
        <w:rPr>
          <w:rFonts w:cs="Times New Roman"/>
        </w:rPr>
        <w:t xml:space="preserve"> </w:t>
      </w:r>
      <w:r w:rsidRPr="00B8733A">
        <w:rPr>
          <w:rFonts w:cs="Times New Roman"/>
        </w:rPr>
        <w:t xml:space="preserve">consumable and final income </w:t>
      </w:r>
      <w:r w:rsidR="00D351E3" w:rsidRPr="00B8733A">
        <w:rPr>
          <w:rFonts w:cs="Times New Roman"/>
        </w:rPr>
        <w:t>inequality</w:t>
      </w:r>
      <w:r w:rsidR="00D351E3">
        <w:rPr>
          <w:rFonts w:cs="Times New Roman"/>
        </w:rPr>
        <w:t>.</w:t>
      </w:r>
      <w:r w:rsidR="00D351E3" w:rsidRPr="00B8733A">
        <w:rPr>
          <w:rFonts w:cs="Times New Roman"/>
        </w:rPr>
        <w:t xml:space="preserve"> </w:t>
      </w:r>
      <w:r w:rsidR="00944E58">
        <w:rPr>
          <w:rFonts w:cs="Times New Roman"/>
        </w:rPr>
        <w:t>T</w:t>
      </w:r>
      <w:r w:rsidR="00AB1433">
        <w:rPr>
          <w:rFonts w:cs="Times New Roman"/>
        </w:rPr>
        <w:t xml:space="preserve">o assess the </w:t>
      </w:r>
      <w:r w:rsidR="00AB1433" w:rsidRPr="00B8733A">
        <w:rPr>
          <w:rFonts w:cs="Times New Roman"/>
        </w:rPr>
        <w:t>redistributive</w:t>
      </w:r>
      <w:r w:rsidR="00AB1433">
        <w:rPr>
          <w:rFonts w:cs="Times New Roman"/>
        </w:rPr>
        <w:t xml:space="preserve"> effect of</w:t>
      </w:r>
      <w:r w:rsidR="00AB1433" w:rsidRPr="00B8733A">
        <w:rPr>
          <w:rFonts w:cs="Times New Roman"/>
        </w:rPr>
        <w:t xml:space="preserve"> the </w:t>
      </w:r>
      <w:r w:rsidR="00AB1433">
        <w:rPr>
          <w:rFonts w:cs="Times New Roman"/>
        </w:rPr>
        <w:t xml:space="preserve">entire </w:t>
      </w:r>
      <w:r w:rsidR="00AB1433" w:rsidRPr="00B8733A">
        <w:rPr>
          <w:rFonts w:cs="Times New Roman"/>
        </w:rPr>
        <w:t>fiscal system</w:t>
      </w:r>
      <w:r w:rsidR="00AB1433">
        <w:rPr>
          <w:rFonts w:cs="Times New Roman"/>
        </w:rPr>
        <w:t>, one sh</w:t>
      </w:r>
      <w:r w:rsidR="000C3DBF">
        <w:rPr>
          <w:rFonts w:cs="Times New Roman"/>
        </w:rPr>
        <w:t xml:space="preserve">ould </w:t>
      </w:r>
      <w:r w:rsidR="00AB1433">
        <w:rPr>
          <w:rFonts w:cs="Times New Roman"/>
        </w:rPr>
        <w:t>compare</w:t>
      </w:r>
      <w:r w:rsidRPr="00B8733A">
        <w:rPr>
          <w:rFonts w:cs="Times New Roman"/>
        </w:rPr>
        <w:t xml:space="preserve"> market and final income inequality.</w:t>
      </w:r>
    </w:p>
    <w:p w14:paraId="127776F2" w14:textId="67FF88C3" w:rsidR="002F5363" w:rsidRDefault="00C33E95" w:rsidP="00703D47">
      <w:pPr>
        <w:rPr>
          <w:rFonts w:cs="Times New Roman"/>
        </w:rPr>
      </w:pPr>
      <w:r w:rsidRPr="009F215F">
        <w:rPr>
          <w:rFonts w:cs="Times New Roman"/>
          <w:b/>
        </w:rPr>
        <w:t>Second, it is interesting to</w:t>
      </w:r>
      <w:r w:rsidR="00B83B73" w:rsidRPr="009F215F">
        <w:rPr>
          <w:rFonts w:cs="Times New Roman"/>
          <w:b/>
        </w:rPr>
        <w:t xml:space="preserve"> assess the </w:t>
      </w:r>
      <w:r w:rsidR="0011555B" w:rsidRPr="009F215F">
        <w:rPr>
          <w:rFonts w:cs="Times New Roman"/>
          <w:b/>
        </w:rPr>
        <w:t>effect</w:t>
      </w:r>
      <w:r w:rsidR="00B83B73" w:rsidRPr="009F215F">
        <w:rPr>
          <w:rFonts w:cs="Times New Roman"/>
          <w:b/>
        </w:rPr>
        <w:t xml:space="preserve"> of the fiscal system </w:t>
      </w:r>
      <w:r w:rsidR="0011555B" w:rsidRPr="009F215F">
        <w:rPr>
          <w:rFonts w:cs="Times New Roman"/>
          <w:b/>
        </w:rPr>
        <w:t>on poverty.</w:t>
      </w:r>
      <w:r w:rsidR="0011555B">
        <w:rPr>
          <w:rFonts w:cs="Times New Roman"/>
        </w:rPr>
        <w:t xml:space="preserve"> Similar to the </w:t>
      </w:r>
      <w:r w:rsidR="000C3DBF">
        <w:rPr>
          <w:rFonts w:cs="Times New Roman"/>
        </w:rPr>
        <w:t xml:space="preserve">case of the </w:t>
      </w:r>
      <w:r w:rsidR="0011555B">
        <w:rPr>
          <w:rFonts w:cs="Times New Roman"/>
        </w:rPr>
        <w:t>method used to measure the effect on inequality</w:t>
      </w:r>
      <w:r w:rsidR="00864074">
        <w:rPr>
          <w:rFonts w:cs="Times New Roman"/>
        </w:rPr>
        <w:t>, poverty indicators can be calculated and compared for the four income concepts described above. Poverty measures typically include</w:t>
      </w:r>
      <w:r w:rsidR="00B83B73" w:rsidRPr="00B8733A">
        <w:rPr>
          <w:rFonts w:cs="Times New Roman"/>
        </w:rPr>
        <w:t xml:space="preserve"> the </w:t>
      </w:r>
      <w:r w:rsidR="00864074">
        <w:rPr>
          <w:rFonts w:cs="Times New Roman"/>
        </w:rPr>
        <w:t xml:space="preserve">poverty </w:t>
      </w:r>
      <w:r w:rsidR="00B83B73" w:rsidRPr="00B8733A">
        <w:rPr>
          <w:rFonts w:cs="Times New Roman"/>
        </w:rPr>
        <w:t xml:space="preserve">headcount, which measures the </w:t>
      </w:r>
      <w:r w:rsidR="00864074">
        <w:rPr>
          <w:rFonts w:cs="Times New Roman"/>
        </w:rPr>
        <w:t>share</w:t>
      </w:r>
      <w:r w:rsidR="00B83B73" w:rsidRPr="00B8733A">
        <w:rPr>
          <w:rFonts w:cs="Times New Roman"/>
        </w:rPr>
        <w:t xml:space="preserve"> of the population </w:t>
      </w:r>
      <w:r w:rsidR="00864074">
        <w:rPr>
          <w:rFonts w:cs="Times New Roman"/>
        </w:rPr>
        <w:t>with a consumption</w:t>
      </w:r>
      <w:r w:rsidR="000C3DBF">
        <w:rPr>
          <w:rFonts w:cs="Times New Roman"/>
        </w:rPr>
        <w:t xml:space="preserve"> or </w:t>
      </w:r>
      <w:r w:rsidR="00864074">
        <w:rPr>
          <w:rFonts w:cs="Times New Roman"/>
        </w:rPr>
        <w:t>income level below the poverty line</w:t>
      </w:r>
      <w:r w:rsidR="000C3DBF">
        <w:rPr>
          <w:rFonts w:cs="Times New Roman"/>
        </w:rPr>
        <w:t>,</w:t>
      </w:r>
      <w:r w:rsidR="00B83B73" w:rsidRPr="00B8733A">
        <w:rPr>
          <w:rFonts w:cs="Times New Roman"/>
        </w:rPr>
        <w:t xml:space="preserve"> the poverty gap ratio, which measures the depth of poverty</w:t>
      </w:r>
      <w:r w:rsidR="000C3DBF">
        <w:rPr>
          <w:rFonts w:cs="Times New Roman"/>
        </w:rPr>
        <w:t>,</w:t>
      </w:r>
      <w:r w:rsidR="00B83B73" w:rsidRPr="00B8733A">
        <w:rPr>
          <w:rFonts w:cs="Times New Roman"/>
        </w:rPr>
        <w:t xml:space="preserve"> and the squared poverty gap ratio, which measures the severity of poverty.</w:t>
      </w:r>
      <w:r w:rsidR="00BD58A0">
        <w:rPr>
          <w:rFonts w:cs="Times New Roman"/>
        </w:rPr>
        <w:t xml:space="preserve"> </w:t>
      </w:r>
      <w:r w:rsidR="00B83B73" w:rsidRPr="00B8733A">
        <w:rPr>
          <w:rFonts w:cs="Times New Roman"/>
        </w:rPr>
        <w:t>In addition</w:t>
      </w:r>
      <w:r w:rsidR="00BD58A0">
        <w:rPr>
          <w:rFonts w:cs="Times New Roman"/>
        </w:rPr>
        <w:t>, it is possible to investigate which</w:t>
      </w:r>
      <w:r w:rsidR="00532E00">
        <w:rPr>
          <w:rFonts w:cs="Times New Roman"/>
        </w:rPr>
        <w:t xml:space="preserve"> </w:t>
      </w:r>
      <w:r w:rsidR="0036647A">
        <w:rPr>
          <w:rFonts w:cs="Times New Roman"/>
        </w:rPr>
        <w:t>groups</w:t>
      </w:r>
      <w:r w:rsidR="00532E00">
        <w:rPr>
          <w:rFonts w:cs="Times New Roman"/>
        </w:rPr>
        <w:t xml:space="preserve"> of the income distribution</w:t>
      </w:r>
      <w:r w:rsidR="00B83B73" w:rsidRPr="00B8733A">
        <w:rPr>
          <w:rFonts w:cs="Times New Roman"/>
        </w:rPr>
        <w:t xml:space="preserve"> are</w:t>
      </w:r>
      <w:r w:rsidR="0036647A" w:rsidRPr="0036647A">
        <w:rPr>
          <w:rFonts w:cs="Times New Roman"/>
        </w:rPr>
        <w:t xml:space="preserve"> </w:t>
      </w:r>
      <w:r w:rsidR="0036647A" w:rsidRPr="00B8733A">
        <w:rPr>
          <w:rFonts w:cs="Times New Roman"/>
        </w:rPr>
        <w:t>average</w:t>
      </w:r>
      <w:r w:rsidR="00B83B73" w:rsidRPr="00B8733A">
        <w:rPr>
          <w:rFonts w:cs="Times New Roman"/>
        </w:rPr>
        <w:t xml:space="preserve"> net payers to the fiscal system or net receivers of transfers.</w:t>
      </w:r>
      <w:r w:rsidR="007871B3">
        <w:rPr>
          <w:rFonts w:cs="Times New Roman"/>
        </w:rPr>
        <w:t xml:space="preserve"> However, even i</w:t>
      </w:r>
      <w:r w:rsidR="000C3DBF">
        <w:rPr>
          <w:rFonts w:cs="Times New Roman"/>
        </w:rPr>
        <w:t>f</w:t>
      </w:r>
      <w:r w:rsidR="007871B3">
        <w:rPr>
          <w:rFonts w:cs="Times New Roman"/>
        </w:rPr>
        <w:t xml:space="preserve"> a tax</w:t>
      </w:r>
      <w:r w:rsidR="00585CA3" w:rsidRPr="00B8733A">
        <w:rPr>
          <w:rFonts w:cs="Times New Roman"/>
        </w:rPr>
        <w:t xml:space="preserve"> reduces poverty and inequality</w:t>
      </w:r>
      <w:r w:rsidR="000C3DBF">
        <w:rPr>
          <w:rFonts w:cs="Times New Roman"/>
        </w:rPr>
        <w:t xml:space="preserve"> </w:t>
      </w:r>
      <w:r w:rsidR="00585CA3" w:rsidRPr="00B8733A">
        <w:rPr>
          <w:rFonts w:cs="Times New Roman"/>
        </w:rPr>
        <w:t xml:space="preserve">and is progressive, it can </w:t>
      </w:r>
      <w:r w:rsidR="0009724A">
        <w:rPr>
          <w:rFonts w:cs="Times New Roman"/>
        </w:rPr>
        <w:t xml:space="preserve">push a considerable number of households below the poverty line or make some households </w:t>
      </w:r>
      <w:r w:rsidR="00E64B16">
        <w:rPr>
          <w:rFonts w:cs="Times New Roman"/>
        </w:rPr>
        <w:t>poorer</w:t>
      </w:r>
      <w:r w:rsidR="0009724A">
        <w:rPr>
          <w:rFonts w:cs="Times New Roman"/>
        </w:rPr>
        <w:t xml:space="preserve"> than</w:t>
      </w:r>
      <w:r w:rsidR="00E64B16">
        <w:rPr>
          <w:rFonts w:cs="Times New Roman"/>
        </w:rPr>
        <w:t xml:space="preserve"> without </w:t>
      </w:r>
      <w:r w:rsidR="000C3DBF">
        <w:rPr>
          <w:rFonts w:cs="Times New Roman"/>
        </w:rPr>
        <w:t>the tax</w:t>
      </w:r>
      <w:r w:rsidR="00E64B16">
        <w:rPr>
          <w:rFonts w:cs="Times New Roman"/>
        </w:rPr>
        <w:t xml:space="preserve">. This is </w:t>
      </w:r>
      <w:r w:rsidR="000C3DBF">
        <w:rPr>
          <w:rFonts w:cs="Times New Roman"/>
        </w:rPr>
        <w:t xml:space="preserve">because </w:t>
      </w:r>
      <w:r w:rsidR="00585CA3" w:rsidRPr="00B8733A">
        <w:rPr>
          <w:rFonts w:cs="Times New Roman"/>
        </w:rPr>
        <w:t xml:space="preserve">poverty </w:t>
      </w:r>
      <w:r w:rsidR="00E64B16">
        <w:rPr>
          <w:rFonts w:cs="Times New Roman"/>
        </w:rPr>
        <w:t>measures</w:t>
      </w:r>
      <w:r w:rsidR="00585CA3" w:rsidRPr="00B8733A">
        <w:rPr>
          <w:rFonts w:cs="Times New Roman"/>
        </w:rPr>
        <w:t xml:space="preserve"> are anonymous</w:t>
      </w:r>
      <w:r w:rsidR="00E64B16">
        <w:rPr>
          <w:rFonts w:cs="Times New Roman"/>
        </w:rPr>
        <w:t xml:space="preserve">, </w:t>
      </w:r>
      <w:r w:rsidR="000C3DBF">
        <w:rPr>
          <w:rFonts w:cs="Times New Roman"/>
        </w:rPr>
        <w:t xml:space="preserve">that is, </w:t>
      </w:r>
      <w:r w:rsidR="00E64B16">
        <w:rPr>
          <w:rFonts w:cs="Times New Roman"/>
        </w:rPr>
        <w:t>they are not able to</w:t>
      </w:r>
      <w:r w:rsidR="007667A0">
        <w:rPr>
          <w:rFonts w:cs="Times New Roman"/>
        </w:rPr>
        <w:t xml:space="preserve"> compare </w:t>
      </w:r>
      <w:r w:rsidR="000C3DBF">
        <w:rPr>
          <w:rFonts w:cs="Times New Roman"/>
        </w:rPr>
        <w:t xml:space="preserve">the </w:t>
      </w:r>
      <w:r w:rsidR="007667A0" w:rsidRPr="00B8733A">
        <w:rPr>
          <w:rFonts w:cs="Times New Roman"/>
        </w:rPr>
        <w:t>postfiscal</w:t>
      </w:r>
      <w:r w:rsidR="007667A0">
        <w:rPr>
          <w:rFonts w:cs="Times New Roman"/>
        </w:rPr>
        <w:t xml:space="preserve"> and </w:t>
      </w:r>
      <w:r w:rsidR="00C11058">
        <w:rPr>
          <w:rFonts w:cs="Times New Roman"/>
        </w:rPr>
        <w:t>pre</w:t>
      </w:r>
      <w:r w:rsidR="007667A0">
        <w:rPr>
          <w:rFonts w:cs="Times New Roman"/>
        </w:rPr>
        <w:t>fiscal</w:t>
      </w:r>
      <w:r w:rsidR="007667A0" w:rsidRPr="00B8733A">
        <w:rPr>
          <w:rFonts w:cs="Times New Roman"/>
        </w:rPr>
        <w:t xml:space="preserve"> income</w:t>
      </w:r>
      <w:r w:rsidR="000C3DBF">
        <w:rPr>
          <w:rFonts w:cs="Times New Roman"/>
        </w:rPr>
        <w:t>s</w:t>
      </w:r>
      <w:r w:rsidR="007667A0">
        <w:rPr>
          <w:rFonts w:cs="Times New Roman"/>
        </w:rPr>
        <w:t xml:space="preserve"> of single individuals.</w:t>
      </w:r>
      <w:r w:rsidR="002E5A55">
        <w:rPr>
          <w:rFonts w:cs="Times New Roman"/>
        </w:rPr>
        <w:t xml:space="preserve"> </w:t>
      </w:r>
      <w:r w:rsidR="00B42E41">
        <w:rPr>
          <w:rFonts w:cs="Times New Roman"/>
        </w:rPr>
        <w:t>Therefore, the CEQ approach proposes t</w:t>
      </w:r>
      <w:r w:rsidR="00672B0D">
        <w:rPr>
          <w:rFonts w:cs="Times New Roman"/>
        </w:rPr>
        <w:t xml:space="preserve">he </w:t>
      </w:r>
      <w:r w:rsidR="009E525A" w:rsidRPr="00B8733A">
        <w:rPr>
          <w:rFonts w:cs="Times New Roman"/>
        </w:rPr>
        <w:t xml:space="preserve">use </w:t>
      </w:r>
      <w:r w:rsidR="00672B0D">
        <w:rPr>
          <w:rFonts w:cs="Times New Roman"/>
        </w:rPr>
        <w:t xml:space="preserve">of </w:t>
      </w:r>
      <w:r w:rsidR="009E525A" w:rsidRPr="00B8733A">
        <w:rPr>
          <w:rFonts w:cs="Times New Roman"/>
        </w:rPr>
        <w:t>the marginal contribution of tax</w:t>
      </w:r>
      <w:r w:rsidR="00132D50">
        <w:rPr>
          <w:rFonts w:cs="Times New Roman"/>
        </w:rPr>
        <w:t>es</w:t>
      </w:r>
      <w:r w:rsidR="009E525A" w:rsidRPr="00B8733A">
        <w:rPr>
          <w:rFonts w:cs="Times New Roman"/>
        </w:rPr>
        <w:t xml:space="preserve"> or transfer</w:t>
      </w:r>
      <w:r w:rsidR="00132D50">
        <w:rPr>
          <w:rFonts w:cs="Times New Roman"/>
        </w:rPr>
        <w:t xml:space="preserve">s </w:t>
      </w:r>
      <w:r w:rsidR="00944E58">
        <w:rPr>
          <w:rFonts w:cs="Times New Roman"/>
        </w:rPr>
        <w:t>to</w:t>
      </w:r>
      <w:r w:rsidR="00132D50" w:rsidRPr="00B8733A">
        <w:rPr>
          <w:rFonts w:cs="Times New Roman"/>
        </w:rPr>
        <w:t xml:space="preserve"> </w:t>
      </w:r>
      <w:r w:rsidR="00132D50">
        <w:rPr>
          <w:rFonts w:cs="Times New Roman"/>
        </w:rPr>
        <w:t>assess</w:t>
      </w:r>
      <w:r w:rsidR="00132D50" w:rsidRPr="00B8733A">
        <w:rPr>
          <w:rFonts w:cs="Times New Roman"/>
        </w:rPr>
        <w:t xml:space="preserve"> whether </w:t>
      </w:r>
      <w:r w:rsidR="00132D50">
        <w:rPr>
          <w:rFonts w:cs="Times New Roman"/>
        </w:rPr>
        <w:t>that</w:t>
      </w:r>
      <w:r w:rsidR="00132D50" w:rsidRPr="00B8733A">
        <w:rPr>
          <w:rFonts w:cs="Times New Roman"/>
        </w:rPr>
        <w:t xml:space="preserve"> tax or transfer is equalizing or unequalizing</w:t>
      </w:r>
      <w:r w:rsidR="00132D50">
        <w:rPr>
          <w:rFonts w:cs="Times New Roman"/>
        </w:rPr>
        <w:t>.</w:t>
      </w:r>
      <w:r w:rsidR="009E525A" w:rsidRPr="00B8733A">
        <w:rPr>
          <w:rFonts w:cs="Times New Roman"/>
        </w:rPr>
        <w:t xml:space="preserve"> </w:t>
      </w:r>
      <w:r w:rsidR="004D3170">
        <w:rPr>
          <w:rFonts w:cs="Times New Roman"/>
        </w:rPr>
        <w:t>The marginal contribution is the difference between the selected inequality indicator (</w:t>
      </w:r>
      <w:r w:rsidR="00944E58">
        <w:rPr>
          <w:rFonts w:cs="Times New Roman"/>
        </w:rPr>
        <w:t xml:space="preserve">such as </w:t>
      </w:r>
      <w:r w:rsidR="004D3170">
        <w:rPr>
          <w:rFonts w:cs="Times New Roman"/>
        </w:rPr>
        <w:t xml:space="preserve">the Gini coefficient) without and with the tax or transfers. The marginal contribution answers the following question: </w:t>
      </w:r>
      <w:r w:rsidR="00672B0D">
        <w:rPr>
          <w:rFonts w:cs="Times New Roman"/>
        </w:rPr>
        <w:t>w</w:t>
      </w:r>
      <w:r w:rsidR="004D3170">
        <w:rPr>
          <w:rFonts w:cs="Times New Roman"/>
        </w:rPr>
        <w:t xml:space="preserve">hat would the </w:t>
      </w:r>
      <w:r w:rsidR="00672B0D">
        <w:rPr>
          <w:rFonts w:cs="Times New Roman"/>
        </w:rPr>
        <w:t xml:space="preserve">level of </w:t>
      </w:r>
      <w:r w:rsidR="004D3170">
        <w:rPr>
          <w:rFonts w:cs="Times New Roman"/>
        </w:rPr>
        <w:t>inequality be if the system did not have a particular tax or transfer?</w:t>
      </w:r>
    </w:p>
    <w:p w14:paraId="2B3D00F1" w14:textId="530BA45D" w:rsidR="00D47C64" w:rsidRPr="00D31CE7" w:rsidRDefault="007B0DBE">
      <w:pPr>
        <w:rPr>
          <w:rFonts w:cs="Times New Roman"/>
        </w:rPr>
      </w:pPr>
      <w:r w:rsidRPr="00CF405C">
        <w:rPr>
          <w:rFonts w:cs="Times New Roman"/>
          <w:b/>
        </w:rPr>
        <w:t>The</w:t>
      </w:r>
      <w:r w:rsidR="00B127E9" w:rsidRPr="00CF405C">
        <w:rPr>
          <w:rFonts w:cs="Times New Roman"/>
          <w:b/>
        </w:rPr>
        <w:t xml:space="preserve"> CEQ </w:t>
      </w:r>
      <w:r w:rsidRPr="00CF405C">
        <w:rPr>
          <w:rFonts w:cs="Times New Roman"/>
          <w:b/>
        </w:rPr>
        <w:t xml:space="preserve">approach </w:t>
      </w:r>
      <w:r w:rsidR="00672B0D">
        <w:rPr>
          <w:rFonts w:cs="Times New Roman"/>
          <w:b/>
        </w:rPr>
        <w:t xml:space="preserve">is associated </w:t>
      </w:r>
      <w:r w:rsidRPr="00CF405C">
        <w:rPr>
          <w:rFonts w:cs="Times New Roman"/>
          <w:b/>
        </w:rPr>
        <w:t xml:space="preserve">with </w:t>
      </w:r>
      <w:r w:rsidR="00DA48E7" w:rsidRPr="00CF405C">
        <w:rPr>
          <w:rFonts w:cs="Times New Roman"/>
          <w:b/>
        </w:rPr>
        <w:t>specific</w:t>
      </w:r>
      <w:r w:rsidRPr="00CF405C">
        <w:rPr>
          <w:rFonts w:cs="Times New Roman"/>
          <w:b/>
        </w:rPr>
        <w:t xml:space="preserve"> assumptions</w:t>
      </w:r>
      <w:r w:rsidR="002B1B2E">
        <w:rPr>
          <w:rFonts w:cs="Times New Roman"/>
        </w:rPr>
        <w:t>, which are typically country</w:t>
      </w:r>
      <w:r w:rsidR="00672B0D">
        <w:rPr>
          <w:rFonts w:cs="Times New Roman"/>
        </w:rPr>
        <w:t xml:space="preserve"> </w:t>
      </w:r>
      <w:r w:rsidR="002B1B2E">
        <w:rPr>
          <w:rFonts w:cs="Times New Roman"/>
        </w:rPr>
        <w:t>specific and mainly driven by data availability</w:t>
      </w:r>
      <w:r w:rsidR="00672B0D">
        <w:rPr>
          <w:rFonts w:cs="Times New Roman"/>
        </w:rPr>
        <w:t xml:space="preserve">. There are also </w:t>
      </w:r>
      <w:r w:rsidR="00C34DFA">
        <w:rPr>
          <w:rFonts w:cs="Times New Roman"/>
        </w:rPr>
        <w:t xml:space="preserve">certain </w:t>
      </w:r>
      <w:r>
        <w:rPr>
          <w:rFonts w:cs="Times New Roman"/>
        </w:rPr>
        <w:t>limitations</w:t>
      </w:r>
      <w:r w:rsidR="00E756CC">
        <w:rPr>
          <w:rFonts w:cs="Times New Roman"/>
        </w:rPr>
        <w:t xml:space="preserve"> that are common in this type of analysis</w:t>
      </w:r>
      <w:r>
        <w:rPr>
          <w:rFonts w:cs="Times New Roman"/>
        </w:rPr>
        <w:t>. However, the appro</w:t>
      </w:r>
      <w:r w:rsidR="008E5A4C">
        <w:rPr>
          <w:rFonts w:cs="Times New Roman"/>
        </w:rPr>
        <w:t xml:space="preserve">ach remains a valid baseline analysis to build </w:t>
      </w:r>
      <w:r w:rsidR="00972DE3">
        <w:rPr>
          <w:rFonts w:cs="Times New Roman"/>
        </w:rPr>
        <w:t xml:space="preserve">on </w:t>
      </w:r>
      <w:r w:rsidR="008E5A4C">
        <w:rPr>
          <w:rFonts w:cs="Times New Roman"/>
        </w:rPr>
        <w:t>according to a country’s preference and interest</w:t>
      </w:r>
      <w:r w:rsidR="00672B0D">
        <w:rPr>
          <w:rFonts w:cs="Times New Roman"/>
        </w:rPr>
        <w:t>s</w:t>
      </w:r>
      <w:r w:rsidR="008E5A4C">
        <w:rPr>
          <w:rFonts w:cs="Times New Roman"/>
        </w:rPr>
        <w:t>.</w:t>
      </w:r>
      <w:r w:rsidR="002B1B2E">
        <w:rPr>
          <w:rFonts w:cs="Times New Roman"/>
        </w:rPr>
        <w:t xml:space="preserve"> </w:t>
      </w:r>
      <w:r w:rsidR="00944E58">
        <w:rPr>
          <w:rFonts w:cs="Times New Roman"/>
        </w:rPr>
        <w:t xml:space="preserve">To </w:t>
      </w:r>
      <w:r w:rsidR="00856121">
        <w:rPr>
          <w:rFonts w:cs="Times New Roman"/>
        </w:rPr>
        <w:t>equip</w:t>
      </w:r>
      <w:r w:rsidR="003069CF">
        <w:rPr>
          <w:rFonts w:cs="Times New Roman"/>
        </w:rPr>
        <w:t xml:space="preserve"> the reader</w:t>
      </w:r>
      <w:r w:rsidR="004734D3">
        <w:rPr>
          <w:rFonts w:cs="Times New Roman"/>
        </w:rPr>
        <w:t xml:space="preserve"> with </w:t>
      </w:r>
      <w:r w:rsidR="00504380">
        <w:rPr>
          <w:rFonts w:cs="Times New Roman"/>
        </w:rPr>
        <w:t>the</w:t>
      </w:r>
      <w:r w:rsidR="00AE26B6">
        <w:rPr>
          <w:rFonts w:cs="Times New Roman"/>
        </w:rPr>
        <w:t xml:space="preserve"> information</w:t>
      </w:r>
      <w:r w:rsidR="00F721E2">
        <w:rPr>
          <w:rFonts w:cs="Times New Roman"/>
        </w:rPr>
        <w:t xml:space="preserve"> </w:t>
      </w:r>
      <w:r w:rsidR="00504380">
        <w:rPr>
          <w:rFonts w:cs="Times New Roman"/>
        </w:rPr>
        <w:t>required to interpret</w:t>
      </w:r>
      <w:r w:rsidR="00F721E2">
        <w:rPr>
          <w:rFonts w:cs="Times New Roman"/>
        </w:rPr>
        <w:t xml:space="preserve"> the findings of the analysis</w:t>
      </w:r>
      <w:r w:rsidR="00672B0D" w:rsidRPr="00672B0D">
        <w:rPr>
          <w:rFonts w:cs="Times New Roman"/>
        </w:rPr>
        <w:t xml:space="preserve"> </w:t>
      </w:r>
      <w:r w:rsidR="00672B0D">
        <w:rPr>
          <w:rFonts w:cs="Times New Roman"/>
        </w:rPr>
        <w:t>correctly</w:t>
      </w:r>
      <w:r w:rsidR="00F721E2">
        <w:rPr>
          <w:rFonts w:cs="Times New Roman"/>
        </w:rPr>
        <w:t xml:space="preserve">, the main limitations are </w:t>
      </w:r>
      <w:r w:rsidR="00672B0D">
        <w:rPr>
          <w:rFonts w:cs="Times New Roman"/>
        </w:rPr>
        <w:t xml:space="preserve">now </w:t>
      </w:r>
      <w:r w:rsidR="00F721E2">
        <w:rPr>
          <w:rFonts w:cs="Times New Roman"/>
        </w:rPr>
        <w:t>listed</w:t>
      </w:r>
      <w:r w:rsidR="00AE26B6">
        <w:rPr>
          <w:rFonts w:cs="Times New Roman"/>
        </w:rPr>
        <w:t xml:space="preserve">. First, </w:t>
      </w:r>
      <w:r w:rsidR="007E6DB1" w:rsidRPr="00703D47">
        <w:rPr>
          <w:rFonts w:cs="Times New Roman"/>
        </w:rPr>
        <w:t xml:space="preserve">the </w:t>
      </w:r>
      <w:r w:rsidR="00E756CC">
        <w:rPr>
          <w:rFonts w:cs="Times New Roman"/>
        </w:rPr>
        <w:t>CEQ approach does not account for</w:t>
      </w:r>
      <w:r w:rsidR="007E6DB1" w:rsidRPr="00703D47">
        <w:rPr>
          <w:rFonts w:cs="Times New Roman"/>
        </w:rPr>
        <w:t xml:space="preserve"> behavioral, life-cycle, or general equilibrium effects. </w:t>
      </w:r>
      <w:r w:rsidR="00106B8B">
        <w:rPr>
          <w:rFonts w:cs="Times New Roman"/>
        </w:rPr>
        <w:t>However</w:t>
      </w:r>
      <w:r w:rsidR="00254F6E">
        <w:rPr>
          <w:rFonts w:cs="Times New Roman"/>
        </w:rPr>
        <w:t>,</w:t>
      </w:r>
      <w:r w:rsidR="00213D2F">
        <w:rPr>
          <w:rFonts w:cs="Times New Roman"/>
        </w:rPr>
        <w:t xml:space="preserve"> market income is not claimed to be the true counterfactual income under a scenario with no taxes</w:t>
      </w:r>
      <w:r w:rsidR="00706525">
        <w:rPr>
          <w:rFonts w:cs="Times New Roman"/>
        </w:rPr>
        <w:t xml:space="preserve"> and transfers</w:t>
      </w:r>
      <w:r w:rsidR="00672B0D">
        <w:rPr>
          <w:rFonts w:cs="Times New Roman"/>
        </w:rPr>
        <w:t>;</w:t>
      </w:r>
      <w:r w:rsidR="00706525">
        <w:rPr>
          <w:rFonts w:cs="Times New Roman"/>
        </w:rPr>
        <w:t xml:space="preserve"> it is simply a first-order approximation of the average incidence of fiscal policies. </w:t>
      </w:r>
      <w:r w:rsidR="00CA6C2B">
        <w:rPr>
          <w:rFonts w:cs="Times New Roman"/>
        </w:rPr>
        <w:t xml:space="preserve">Second, </w:t>
      </w:r>
      <w:r w:rsidR="00CA6C2B" w:rsidRPr="00703D47">
        <w:rPr>
          <w:rFonts w:cs="Times New Roman"/>
        </w:rPr>
        <w:t xml:space="preserve">consumer demand and labor supply are </w:t>
      </w:r>
      <w:r w:rsidR="00CA6C2B">
        <w:rPr>
          <w:rFonts w:cs="Times New Roman"/>
        </w:rPr>
        <w:t xml:space="preserve">assumed to be </w:t>
      </w:r>
      <w:r w:rsidR="00CA6C2B" w:rsidRPr="00703D47">
        <w:rPr>
          <w:rFonts w:cs="Times New Roman"/>
        </w:rPr>
        <w:t>perfectly inelastic</w:t>
      </w:r>
      <w:r w:rsidR="00993BE5">
        <w:rPr>
          <w:rFonts w:cs="Times New Roman"/>
        </w:rPr>
        <w:t>,</w:t>
      </w:r>
      <w:r w:rsidR="00CA6C2B">
        <w:rPr>
          <w:rFonts w:cs="Times New Roman"/>
        </w:rPr>
        <w:t xml:space="preserve"> </w:t>
      </w:r>
      <w:r w:rsidR="00672B0D">
        <w:rPr>
          <w:rFonts w:cs="Times New Roman"/>
        </w:rPr>
        <w:t xml:space="preserve">that is, </w:t>
      </w:r>
      <w:r w:rsidR="009A43A8">
        <w:rPr>
          <w:rFonts w:cs="Times New Roman"/>
        </w:rPr>
        <w:t xml:space="preserve">the entire tax burden is </w:t>
      </w:r>
      <w:r w:rsidR="00672B0D">
        <w:rPr>
          <w:rFonts w:cs="Times New Roman"/>
        </w:rPr>
        <w:t xml:space="preserve">borne </w:t>
      </w:r>
      <w:r w:rsidR="009A43A8">
        <w:rPr>
          <w:rFonts w:cs="Times New Roman"/>
        </w:rPr>
        <w:t>by consumers and workers</w:t>
      </w:r>
      <w:r w:rsidR="002C61A0">
        <w:rPr>
          <w:rFonts w:cs="Times New Roman"/>
        </w:rPr>
        <w:t xml:space="preserve">. </w:t>
      </w:r>
      <w:r w:rsidR="009978FE">
        <w:rPr>
          <w:rFonts w:cs="Times New Roman"/>
        </w:rPr>
        <w:t xml:space="preserve">This is </w:t>
      </w:r>
      <w:r w:rsidR="002C0480">
        <w:rPr>
          <w:rFonts w:cs="Times New Roman"/>
        </w:rPr>
        <w:t>typically a reasonable assumption</w:t>
      </w:r>
      <w:r w:rsidR="00A37448">
        <w:rPr>
          <w:rFonts w:cs="Times New Roman"/>
        </w:rPr>
        <w:t xml:space="preserve"> (Martinez-Vazquez 2008).</w:t>
      </w:r>
      <w:r w:rsidR="002C0480">
        <w:rPr>
          <w:rFonts w:cs="Times New Roman"/>
        </w:rPr>
        <w:t xml:space="preserve"> </w:t>
      </w:r>
      <w:r w:rsidR="00993BE5">
        <w:rPr>
          <w:rFonts w:cs="Times New Roman"/>
        </w:rPr>
        <w:t>Third</w:t>
      </w:r>
      <w:r w:rsidR="00043C85">
        <w:rPr>
          <w:rFonts w:cs="Times New Roman"/>
        </w:rPr>
        <w:t>, t</w:t>
      </w:r>
      <w:r w:rsidR="007E6DB1" w:rsidRPr="00703D47">
        <w:rPr>
          <w:rFonts w:cs="Times New Roman"/>
        </w:rPr>
        <w:t xml:space="preserve">he analysis </w:t>
      </w:r>
      <w:r w:rsidR="00936A8F">
        <w:rPr>
          <w:rFonts w:cs="Times New Roman"/>
        </w:rPr>
        <w:t>does not account for</w:t>
      </w:r>
      <w:r w:rsidR="007E6DB1" w:rsidRPr="00703D47">
        <w:rPr>
          <w:rFonts w:cs="Times New Roman"/>
        </w:rPr>
        <w:t xml:space="preserve"> </w:t>
      </w:r>
      <w:r w:rsidR="00E962AA">
        <w:rPr>
          <w:rFonts w:cs="Times New Roman"/>
        </w:rPr>
        <w:t xml:space="preserve">the </w:t>
      </w:r>
      <w:r w:rsidR="007E6DB1" w:rsidRPr="00703D47">
        <w:rPr>
          <w:rFonts w:cs="Times New Roman"/>
        </w:rPr>
        <w:t xml:space="preserve">intrahousehold distribution of consumption. </w:t>
      </w:r>
      <w:r w:rsidR="00993BE5">
        <w:rPr>
          <w:rFonts w:cs="Times New Roman"/>
        </w:rPr>
        <w:t>Fourth</w:t>
      </w:r>
      <w:r w:rsidR="007E6DB1" w:rsidRPr="00703D47">
        <w:rPr>
          <w:rFonts w:cs="Times New Roman"/>
        </w:rPr>
        <w:t xml:space="preserve">, the analysis does not </w:t>
      </w:r>
      <w:r w:rsidR="002523C9">
        <w:rPr>
          <w:rFonts w:cs="Times New Roman"/>
        </w:rPr>
        <w:t>control for</w:t>
      </w:r>
      <w:r w:rsidR="007E6DB1" w:rsidRPr="00703D47">
        <w:rPr>
          <w:rFonts w:cs="Times New Roman"/>
        </w:rPr>
        <w:t xml:space="preserve"> differences in the quality of </w:t>
      </w:r>
      <w:r w:rsidR="002523C9">
        <w:rPr>
          <w:rFonts w:cs="Times New Roman"/>
        </w:rPr>
        <w:t xml:space="preserve">free </w:t>
      </w:r>
      <w:r w:rsidR="007E6DB1" w:rsidRPr="00703D47">
        <w:rPr>
          <w:rFonts w:cs="Times New Roman"/>
        </w:rPr>
        <w:t xml:space="preserve">education </w:t>
      </w:r>
      <w:r w:rsidR="002523C9">
        <w:rPr>
          <w:rFonts w:cs="Times New Roman"/>
        </w:rPr>
        <w:t>and</w:t>
      </w:r>
      <w:r w:rsidR="007E6DB1" w:rsidRPr="00703D47">
        <w:rPr>
          <w:rFonts w:cs="Times New Roman"/>
        </w:rPr>
        <w:t xml:space="preserve"> health care services </w:t>
      </w:r>
      <w:r w:rsidR="002523C9">
        <w:rPr>
          <w:rFonts w:cs="Times New Roman"/>
        </w:rPr>
        <w:t>provided b</w:t>
      </w:r>
      <w:r w:rsidR="007E6DB1" w:rsidRPr="00703D47">
        <w:rPr>
          <w:rFonts w:cs="Times New Roman"/>
        </w:rPr>
        <w:t xml:space="preserve">y the government. </w:t>
      </w:r>
      <w:r w:rsidR="00993BE5">
        <w:rPr>
          <w:rFonts w:cs="Times New Roman"/>
        </w:rPr>
        <w:t>Fifth</w:t>
      </w:r>
      <w:r w:rsidR="007E6DB1" w:rsidRPr="00703D47">
        <w:rPr>
          <w:rFonts w:cs="Times New Roman"/>
        </w:rPr>
        <w:t xml:space="preserve">, </w:t>
      </w:r>
      <w:r w:rsidR="00E962AA">
        <w:rPr>
          <w:rFonts w:cs="Times New Roman"/>
        </w:rPr>
        <w:t xml:space="preserve">the </w:t>
      </w:r>
      <w:r w:rsidR="007E6DB1" w:rsidRPr="00703D47">
        <w:rPr>
          <w:rFonts w:cs="Times New Roman"/>
        </w:rPr>
        <w:t>taxation of corporate income and international trade, property taxes, and infrastructure spending</w:t>
      </w:r>
      <w:r w:rsidR="006E0930">
        <w:rPr>
          <w:rFonts w:cs="Times New Roman"/>
        </w:rPr>
        <w:t>, which are</w:t>
      </w:r>
      <w:r w:rsidR="00EE016F">
        <w:rPr>
          <w:rFonts w:cs="Times New Roman"/>
        </w:rPr>
        <w:t xml:space="preserve"> </w:t>
      </w:r>
      <w:r w:rsidR="00E962AA">
        <w:rPr>
          <w:rFonts w:cs="Times New Roman"/>
        </w:rPr>
        <w:t xml:space="preserve">a </w:t>
      </w:r>
      <w:r w:rsidR="006E0930">
        <w:rPr>
          <w:rFonts w:cs="Times New Roman"/>
        </w:rPr>
        <w:t>substantial</w:t>
      </w:r>
      <w:r w:rsidR="00B751BA">
        <w:rPr>
          <w:rFonts w:cs="Times New Roman"/>
        </w:rPr>
        <w:t xml:space="preserve"> part of</w:t>
      </w:r>
      <w:r w:rsidR="00EE016F" w:rsidRPr="00703D47">
        <w:rPr>
          <w:rFonts w:cs="Times New Roman"/>
        </w:rPr>
        <w:t xml:space="preserve"> </w:t>
      </w:r>
      <w:r w:rsidR="00E962AA">
        <w:rPr>
          <w:rFonts w:cs="Times New Roman"/>
        </w:rPr>
        <w:t xml:space="preserve">a </w:t>
      </w:r>
      <w:r w:rsidR="00EE016F" w:rsidRPr="00703D47">
        <w:rPr>
          <w:rFonts w:cs="Times New Roman"/>
        </w:rPr>
        <w:t>government budget</w:t>
      </w:r>
      <w:r w:rsidR="00B751BA">
        <w:rPr>
          <w:rFonts w:cs="Times New Roman"/>
        </w:rPr>
        <w:t>,</w:t>
      </w:r>
      <w:r w:rsidR="00EE016F" w:rsidRPr="00703D47">
        <w:rPr>
          <w:rFonts w:cs="Times New Roman"/>
        </w:rPr>
        <w:t xml:space="preserve"> are </w:t>
      </w:r>
      <w:r w:rsidR="003069CF">
        <w:rPr>
          <w:rFonts w:cs="Times New Roman"/>
        </w:rPr>
        <w:t>excluded from the</w:t>
      </w:r>
      <w:r w:rsidR="00EE016F" w:rsidRPr="00703D47">
        <w:rPr>
          <w:rFonts w:cs="Times New Roman"/>
        </w:rPr>
        <w:t xml:space="preserve"> analysis. </w:t>
      </w:r>
      <w:r w:rsidR="00993BE5">
        <w:rPr>
          <w:rFonts w:cs="Times New Roman"/>
        </w:rPr>
        <w:t>Sixth</w:t>
      </w:r>
      <w:r w:rsidR="00AC48E0">
        <w:rPr>
          <w:rFonts w:cs="Times New Roman"/>
        </w:rPr>
        <w:t>, the analysis is static and does not capture dynamic trade-offs</w:t>
      </w:r>
      <w:r w:rsidR="007E3417">
        <w:rPr>
          <w:rFonts w:cs="Times New Roman"/>
        </w:rPr>
        <w:t xml:space="preserve"> such as between consumption today and consumption in the future. This might </w:t>
      </w:r>
      <w:r w:rsidR="00210F17">
        <w:rPr>
          <w:rFonts w:cs="Times New Roman"/>
        </w:rPr>
        <w:t>represent</w:t>
      </w:r>
      <w:r w:rsidR="007E3417">
        <w:rPr>
          <w:rFonts w:cs="Times New Roman"/>
        </w:rPr>
        <w:t xml:space="preserve"> an important </w:t>
      </w:r>
      <w:r w:rsidR="00C4286D">
        <w:rPr>
          <w:rFonts w:cs="Times New Roman"/>
        </w:rPr>
        <w:t>limitation whenever policy</w:t>
      </w:r>
      <w:r w:rsidR="00E962AA">
        <w:rPr>
          <w:rFonts w:cs="Times New Roman"/>
        </w:rPr>
        <w:t xml:space="preserve"> </w:t>
      </w:r>
      <w:r w:rsidR="00C4286D">
        <w:rPr>
          <w:rFonts w:cs="Times New Roman"/>
        </w:rPr>
        <w:t xml:space="preserve">makers </w:t>
      </w:r>
      <w:r w:rsidR="00210F17">
        <w:rPr>
          <w:rFonts w:cs="Times New Roman"/>
        </w:rPr>
        <w:t xml:space="preserve">face a choice </w:t>
      </w:r>
      <w:r w:rsidR="00210F17" w:rsidRPr="00703D47">
        <w:rPr>
          <w:rFonts w:cs="Times New Roman"/>
        </w:rPr>
        <w:t xml:space="preserve">between </w:t>
      </w:r>
      <w:r w:rsidR="00210F17">
        <w:rPr>
          <w:rFonts w:cs="Times New Roman"/>
        </w:rPr>
        <w:t>certain types of social</w:t>
      </w:r>
      <w:r w:rsidR="00210F17" w:rsidRPr="00703D47">
        <w:rPr>
          <w:rFonts w:cs="Times New Roman"/>
        </w:rPr>
        <w:t xml:space="preserve"> spending </w:t>
      </w:r>
      <w:r w:rsidR="00AE5D65">
        <w:rPr>
          <w:rFonts w:cs="Times New Roman"/>
        </w:rPr>
        <w:t xml:space="preserve">that are able to </w:t>
      </w:r>
      <w:r w:rsidR="00DB1F8D">
        <w:rPr>
          <w:rFonts w:cs="Times New Roman"/>
        </w:rPr>
        <w:t>increase household</w:t>
      </w:r>
      <w:r w:rsidR="00851A0A">
        <w:rPr>
          <w:rFonts w:cs="Times New Roman"/>
        </w:rPr>
        <w:t xml:space="preserve"> welfare</w:t>
      </w:r>
      <w:r w:rsidR="00E962AA" w:rsidRPr="00E962AA">
        <w:rPr>
          <w:rFonts w:cs="Times New Roman"/>
        </w:rPr>
        <w:t xml:space="preserve"> </w:t>
      </w:r>
      <w:r w:rsidR="00E962AA">
        <w:rPr>
          <w:rFonts w:cs="Times New Roman"/>
        </w:rPr>
        <w:t>directly and immediately</w:t>
      </w:r>
      <w:r w:rsidR="00AE5D65">
        <w:rPr>
          <w:rFonts w:cs="Times New Roman"/>
        </w:rPr>
        <w:t>, such as direct cash transfers,</w:t>
      </w:r>
      <w:r w:rsidR="00851A0A">
        <w:rPr>
          <w:rFonts w:cs="Times New Roman"/>
        </w:rPr>
        <w:t xml:space="preserve"> and other</w:t>
      </w:r>
      <w:r w:rsidR="00AE5D65">
        <w:rPr>
          <w:rFonts w:cs="Times New Roman"/>
        </w:rPr>
        <w:t xml:space="preserve"> types of spending</w:t>
      </w:r>
      <w:r w:rsidR="00851A0A">
        <w:rPr>
          <w:rFonts w:cs="Times New Roman"/>
        </w:rPr>
        <w:t xml:space="preserve"> that require time </w:t>
      </w:r>
      <w:r w:rsidR="0001712E">
        <w:rPr>
          <w:rFonts w:cs="Times New Roman"/>
        </w:rPr>
        <w:t xml:space="preserve">before the benefits trickle down </w:t>
      </w:r>
      <w:r w:rsidR="00821FE6">
        <w:rPr>
          <w:rFonts w:cs="Times New Roman"/>
        </w:rPr>
        <w:t xml:space="preserve">to </w:t>
      </w:r>
      <w:r w:rsidR="0001712E">
        <w:rPr>
          <w:rFonts w:cs="Times New Roman"/>
        </w:rPr>
        <w:t>household</w:t>
      </w:r>
      <w:r w:rsidR="00821FE6">
        <w:rPr>
          <w:rFonts w:cs="Times New Roman"/>
        </w:rPr>
        <w:t>s,</w:t>
      </w:r>
      <w:r w:rsidR="0001712E">
        <w:rPr>
          <w:rFonts w:cs="Times New Roman"/>
        </w:rPr>
        <w:t xml:space="preserve"> </w:t>
      </w:r>
      <w:r w:rsidR="00851A0A">
        <w:rPr>
          <w:rFonts w:cs="Times New Roman"/>
        </w:rPr>
        <w:t>such as investments in public education.</w:t>
      </w:r>
    </w:p>
    <w:tbl>
      <w:tblPr>
        <w:tblStyle w:val="ColorfulList-Accent1"/>
        <w:tblW w:w="966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666"/>
      </w:tblGrid>
      <w:tr w:rsidR="002F5363" w14:paraId="6ED04CD8" w14:textId="77777777" w:rsidTr="00855877">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9666" w:type="dxa"/>
            <w:tcBorders>
              <w:top w:val="single" w:sz="12" w:space="0" w:color="FFFFFF" w:themeColor="background1"/>
              <w:left w:val="single" w:sz="12" w:space="0" w:color="FFFFFF" w:themeColor="background1"/>
              <w:right w:val="single" w:sz="12" w:space="0" w:color="FFFFFF" w:themeColor="background1"/>
            </w:tcBorders>
            <w:shd w:val="clear" w:color="auto" w:fill="00B050"/>
            <w:vAlign w:val="center"/>
            <w:hideMark/>
          </w:tcPr>
          <w:p w14:paraId="060E549A" w14:textId="00AD6426" w:rsidR="002F5363" w:rsidRPr="00D772D9" w:rsidRDefault="002F5363" w:rsidP="00855877">
            <w:pPr>
              <w:pStyle w:val="Caption"/>
              <w:keepNext/>
              <w:rPr>
                <w:b/>
              </w:rPr>
            </w:pPr>
            <w:bookmarkStart w:id="29" w:name="_Ref8234596"/>
            <w:bookmarkStart w:id="30" w:name="_Toc10824852"/>
            <w:r w:rsidRPr="00D772D9">
              <w:rPr>
                <w:b/>
                <w:color w:val="000000" w:themeColor="text1"/>
                <w:sz w:val="24"/>
                <w:szCs w:val="24"/>
              </w:rPr>
              <w:t xml:space="preserve">Box </w:t>
            </w:r>
            <w:r w:rsidR="00821FE6">
              <w:rPr>
                <w:b/>
                <w:color w:val="000000" w:themeColor="text1"/>
                <w:sz w:val="24"/>
                <w:szCs w:val="24"/>
              </w:rPr>
              <w:t>2.</w:t>
            </w:r>
            <w:r>
              <w:rPr>
                <w:color w:val="000000" w:themeColor="text1"/>
                <w:sz w:val="24"/>
                <w:szCs w:val="24"/>
              </w:rPr>
              <w:fldChar w:fldCharType="begin"/>
            </w:r>
            <w:r>
              <w:rPr>
                <w:b/>
                <w:color w:val="000000" w:themeColor="text1"/>
                <w:sz w:val="24"/>
                <w:szCs w:val="24"/>
              </w:rPr>
              <w:instrText xml:space="preserve"> SEQ Box \* ARABIC </w:instrText>
            </w:r>
            <w:r>
              <w:rPr>
                <w:color w:val="000000" w:themeColor="text1"/>
                <w:sz w:val="24"/>
                <w:szCs w:val="24"/>
              </w:rPr>
              <w:fldChar w:fldCharType="separate"/>
            </w:r>
            <w:r w:rsidR="00C37C80">
              <w:rPr>
                <w:b/>
                <w:noProof/>
                <w:color w:val="000000" w:themeColor="text1"/>
                <w:sz w:val="24"/>
                <w:szCs w:val="24"/>
              </w:rPr>
              <w:t>1</w:t>
            </w:r>
            <w:r>
              <w:rPr>
                <w:color w:val="000000" w:themeColor="text1"/>
                <w:sz w:val="24"/>
                <w:szCs w:val="24"/>
              </w:rPr>
              <w:fldChar w:fldCharType="end"/>
            </w:r>
            <w:bookmarkEnd w:id="29"/>
            <w:r>
              <w:rPr>
                <w:b/>
                <w:color w:val="000000" w:themeColor="text1"/>
                <w:sz w:val="24"/>
                <w:szCs w:val="24"/>
              </w:rPr>
              <w:t>.</w:t>
            </w:r>
            <w:r w:rsidRPr="00D772D9">
              <w:rPr>
                <w:b/>
                <w:color w:val="000000" w:themeColor="text1"/>
                <w:sz w:val="24"/>
                <w:szCs w:val="24"/>
              </w:rPr>
              <w:t xml:space="preserve"> Measuring </w:t>
            </w:r>
            <w:r w:rsidR="00032B6F" w:rsidRPr="00D772D9">
              <w:rPr>
                <w:b/>
                <w:color w:val="000000" w:themeColor="text1"/>
                <w:sz w:val="24"/>
                <w:szCs w:val="24"/>
              </w:rPr>
              <w:t>Progressivity</w:t>
            </w:r>
            <w:r w:rsidR="00032B6F">
              <w:rPr>
                <w:b/>
                <w:color w:val="000000" w:themeColor="text1"/>
                <w:sz w:val="24"/>
                <w:szCs w:val="24"/>
              </w:rPr>
              <w:t xml:space="preserve"> </w:t>
            </w:r>
            <w:r w:rsidR="00821FE6">
              <w:rPr>
                <w:b/>
                <w:color w:val="000000" w:themeColor="text1"/>
                <w:sz w:val="24"/>
                <w:szCs w:val="24"/>
              </w:rPr>
              <w:t xml:space="preserve">and </w:t>
            </w:r>
            <w:r w:rsidR="00032B6F" w:rsidRPr="00D772D9">
              <w:rPr>
                <w:b/>
                <w:color w:val="000000" w:themeColor="text1"/>
                <w:sz w:val="24"/>
                <w:szCs w:val="24"/>
              </w:rPr>
              <w:t xml:space="preserve">Redistributive </w:t>
            </w:r>
            <w:r w:rsidR="000A7E80">
              <w:rPr>
                <w:b/>
                <w:color w:val="000000" w:themeColor="text1"/>
                <w:sz w:val="24"/>
                <w:szCs w:val="24"/>
              </w:rPr>
              <w:t xml:space="preserve">and </w:t>
            </w:r>
            <w:r w:rsidR="00032B6F">
              <w:rPr>
                <w:b/>
                <w:color w:val="000000" w:themeColor="text1"/>
                <w:sz w:val="24"/>
                <w:szCs w:val="24"/>
              </w:rPr>
              <w:t xml:space="preserve">Poverty Reduction </w:t>
            </w:r>
            <w:r w:rsidR="00032B6F" w:rsidRPr="00D772D9">
              <w:rPr>
                <w:b/>
                <w:color w:val="000000" w:themeColor="text1"/>
                <w:sz w:val="24"/>
                <w:szCs w:val="24"/>
              </w:rPr>
              <w:t>Effect</w:t>
            </w:r>
            <w:bookmarkEnd w:id="30"/>
            <w:r w:rsidR="00032B6F">
              <w:rPr>
                <w:b/>
                <w:color w:val="000000" w:themeColor="text1"/>
                <w:sz w:val="24"/>
                <w:szCs w:val="24"/>
              </w:rPr>
              <w:t>s</w:t>
            </w:r>
          </w:p>
        </w:tc>
      </w:tr>
      <w:tr w:rsidR="002F5363" w14:paraId="40D6183C" w14:textId="77777777" w:rsidTr="00855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4B083" w:themeFill="accent2" w:themeFillTint="99"/>
            <w:hideMark/>
          </w:tcPr>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hemeFill="accent2" w:themeFillTint="99"/>
              <w:tblCellMar>
                <w:left w:w="0" w:type="dxa"/>
                <w:right w:w="0" w:type="dxa"/>
              </w:tblCellMar>
              <w:tblLook w:val="04A0" w:firstRow="1" w:lastRow="0" w:firstColumn="1" w:lastColumn="0" w:noHBand="0" w:noVBand="1"/>
            </w:tblPr>
            <w:tblGrid>
              <w:gridCol w:w="9360"/>
            </w:tblGrid>
            <w:tr w:rsidR="002F5363" w14:paraId="4544118A" w14:textId="77777777" w:rsidTr="00855877">
              <w:tc>
                <w:tcPr>
                  <w:tcW w:w="9360" w:type="dxa"/>
                  <w:shd w:val="clear" w:color="auto" w:fill="F4B083" w:themeFill="accent2" w:themeFillTint="99"/>
                </w:tcPr>
                <w:p w14:paraId="37635CD5" w14:textId="4C8433B4" w:rsidR="00D32D33" w:rsidRDefault="006851A9" w:rsidP="00257E3C">
                  <w:pPr>
                    <w:rPr>
                      <w:sz w:val="18"/>
                      <w:szCs w:val="18"/>
                    </w:rPr>
                  </w:pPr>
                  <w:r>
                    <w:rPr>
                      <w:b/>
                      <w:sz w:val="18"/>
                      <w:szCs w:val="18"/>
                    </w:rPr>
                    <w:t xml:space="preserve">Progressivity: </w:t>
                  </w:r>
                  <w:r w:rsidR="00257E3C" w:rsidRPr="00257E3C">
                    <w:rPr>
                      <w:sz w:val="18"/>
                      <w:szCs w:val="18"/>
                    </w:rPr>
                    <w:t xml:space="preserve">A tax is everywhere progressive (regressive) if the </w:t>
                  </w:r>
                  <w:r w:rsidR="00DB7041">
                    <w:rPr>
                      <w:sz w:val="18"/>
                      <w:szCs w:val="18"/>
                    </w:rPr>
                    <w:t>share</w:t>
                  </w:r>
                  <w:r w:rsidR="00257E3C" w:rsidRPr="00257E3C">
                    <w:rPr>
                      <w:sz w:val="18"/>
                      <w:szCs w:val="18"/>
                    </w:rPr>
                    <w:t xml:space="preserve"> paid</w:t>
                  </w:r>
                  <w:r w:rsidR="00DB7041">
                    <w:rPr>
                      <w:sz w:val="18"/>
                      <w:szCs w:val="18"/>
                    </w:rPr>
                    <w:t xml:space="preserve"> by individuals relative to</w:t>
                  </w:r>
                  <w:r w:rsidR="00257E3C" w:rsidRPr="00257E3C">
                    <w:rPr>
                      <w:sz w:val="18"/>
                      <w:szCs w:val="18"/>
                    </w:rPr>
                    <w:t xml:space="preserve"> </w:t>
                  </w:r>
                  <w:r w:rsidR="00C11058">
                    <w:rPr>
                      <w:sz w:val="18"/>
                      <w:szCs w:val="18"/>
                    </w:rPr>
                    <w:t>pre</w:t>
                  </w:r>
                  <w:r w:rsidR="00257E3C" w:rsidRPr="00257E3C">
                    <w:rPr>
                      <w:sz w:val="18"/>
                      <w:szCs w:val="18"/>
                    </w:rPr>
                    <w:t xml:space="preserve">fiscal income increases (decreases) as income rises. </w:t>
                  </w:r>
                  <w:r w:rsidR="003D062E">
                    <w:rPr>
                      <w:sz w:val="18"/>
                      <w:szCs w:val="18"/>
                    </w:rPr>
                    <w:t>A common way to measure the progressivity of a tax (transfer) is by comparing the cumulative distribution</w:t>
                  </w:r>
                  <w:r w:rsidR="00042FA0">
                    <w:rPr>
                      <w:sz w:val="18"/>
                      <w:szCs w:val="18"/>
                    </w:rPr>
                    <w:t>, or</w:t>
                  </w:r>
                  <w:r w:rsidR="003D062E">
                    <w:rPr>
                      <w:sz w:val="18"/>
                      <w:szCs w:val="18"/>
                    </w:rPr>
                    <w:t xml:space="preserve"> cumulative concentration shares of the </w:t>
                  </w:r>
                  <w:r w:rsidR="00821FE6">
                    <w:rPr>
                      <w:sz w:val="18"/>
                      <w:szCs w:val="18"/>
                    </w:rPr>
                    <w:t xml:space="preserve">tax </w:t>
                  </w:r>
                  <w:r w:rsidR="003D062E">
                    <w:rPr>
                      <w:sz w:val="18"/>
                      <w:szCs w:val="18"/>
                    </w:rPr>
                    <w:t>burden (benefit)</w:t>
                  </w:r>
                  <w:r w:rsidR="00042FA0">
                    <w:rPr>
                      <w:sz w:val="18"/>
                      <w:szCs w:val="18"/>
                    </w:rPr>
                    <w:t>,</w:t>
                  </w:r>
                  <w:r w:rsidR="003D062E">
                    <w:rPr>
                      <w:sz w:val="18"/>
                      <w:szCs w:val="18"/>
                    </w:rPr>
                    <w:t xml:space="preserve"> with the cumulative distribution of market income. </w:t>
                  </w:r>
                  <w:r w:rsidR="003D062E">
                    <w:rPr>
                      <w:sz w:val="18"/>
                      <w:szCs w:val="18"/>
                    </w:rPr>
                    <w:fldChar w:fldCharType="begin"/>
                  </w:r>
                  <w:r w:rsidR="003D062E">
                    <w:rPr>
                      <w:sz w:val="18"/>
                      <w:szCs w:val="18"/>
                    </w:rPr>
                    <w:instrText xml:space="preserve"> REF _Ref8040914 \h  \* MERGEFORMAT </w:instrText>
                  </w:r>
                  <w:r w:rsidR="003D062E">
                    <w:rPr>
                      <w:sz w:val="18"/>
                      <w:szCs w:val="18"/>
                    </w:rPr>
                  </w:r>
                  <w:r w:rsidR="003D062E">
                    <w:rPr>
                      <w:sz w:val="18"/>
                      <w:szCs w:val="18"/>
                    </w:rPr>
                    <w:fldChar w:fldCharType="separate"/>
                  </w:r>
                  <w:r w:rsidR="00C37C80" w:rsidRPr="00C37C80">
                    <w:rPr>
                      <w:sz w:val="18"/>
                      <w:szCs w:val="18"/>
                    </w:rPr>
                    <w:t xml:space="preserve">Figure </w:t>
                  </w:r>
                  <w:r w:rsidR="00821FE6">
                    <w:rPr>
                      <w:sz w:val="18"/>
                      <w:szCs w:val="18"/>
                    </w:rPr>
                    <w:t>B1.1</w:t>
                  </w:r>
                  <w:r w:rsidR="003D062E">
                    <w:rPr>
                      <w:sz w:val="18"/>
                      <w:szCs w:val="18"/>
                    </w:rPr>
                    <w:fldChar w:fldCharType="end"/>
                  </w:r>
                  <w:r w:rsidR="003D062E">
                    <w:rPr>
                      <w:sz w:val="18"/>
                      <w:szCs w:val="18"/>
                    </w:rPr>
                    <w:t xml:space="preserve"> </w:t>
                  </w:r>
                  <w:r w:rsidR="009163D2">
                    <w:rPr>
                      <w:sz w:val="18"/>
                      <w:szCs w:val="18"/>
                    </w:rPr>
                    <w:t>depicts</w:t>
                  </w:r>
                  <w:r w:rsidR="003D062E">
                    <w:rPr>
                      <w:sz w:val="18"/>
                      <w:szCs w:val="18"/>
                    </w:rPr>
                    <w:t xml:space="preserve"> a Lorenz curve where the population is ranked along the horizontal axis using market (or </w:t>
                  </w:r>
                  <w:r w:rsidR="00C11058">
                    <w:rPr>
                      <w:sz w:val="18"/>
                      <w:szCs w:val="18"/>
                    </w:rPr>
                    <w:t>pre</w:t>
                  </w:r>
                  <w:r w:rsidR="003D062E">
                    <w:rPr>
                      <w:sz w:val="18"/>
                      <w:szCs w:val="18"/>
                    </w:rPr>
                    <w:t>fiscal) income, and the cumulative shares of taxes paid or transfers received is plotted along the vertical axis. The latter are concentration curves.</w:t>
                  </w:r>
                  <w:r w:rsidR="009163D2">
                    <w:rPr>
                      <w:sz w:val="18"/>
                      <w:szCs w:val="18"/>
                    </w:rPr>
                    <w:t xml:space="preserve"> </w:t>
                  </w:r>
                </w:p>
                <w:p w14:paraId="4820DD73" w14:textId="62DD28C4" w:rsidR="002F5363" w:rsidRDefault="00257E3C" w:rsidP="00257E3C">
                  <w:pPr>
                    <w:rPr>
                      <w:sz w:val="18"/>
                      <w:szCs w:val="18"/>
                    </w:rPr>
                  </w:pPr>
                  <w:r w:rsidRPr="00257E3C">
                    <w:rPr>
                      <w:sz w:val="18"/>
                      <w:szCs w:val="18"/>
                    </w:rPr>
                    <w:t xml:space="preserve">A tax is </w:t>
                  </w:r>
                  <w:r w:rsidRPr="00727D48">
                    <w:rPr>
                      <w:sz w:val="18"/>
                      <w:szCs w:val="18"/>
                    </w:rPr>
                    <w:t>globally progressive (regressive)</w:t>
                  </w:r>
                  <w:r w:rsidRPr="00257E3C">
                    <w:rPr>
                      <w:sz w:val="18"/>
                      <w:szCs w:val="18"/>
                    </w:rPr>
                    <w:t xml:space="preserve"> if </w:t>
                  </w:r>
                  <w:r w:rsidR="00821FE6">
                    <w:rPr>
                      <w:sz w:val="18"/>
                      <w:szCs w:val="18"/>
                    </w:rPr>
                    <w:t xml:space="preserve">the corresponding </w:t>
                  </w:r>
                  <w:r w:rsidRPr="00257E3C">
                    <w:rPr>
                      <w:sz w:val="18"/>
                      <w:szCs w:val="18"/>
                    </w:rPr>
                    <w:t xml:space="preserve">concentration curve lies everywhere below (above) the </w:t>
                  </w:r>
                  <w:r w:rsidR="00C11058">
                    <w:rPr>
                      <w:sz w:val="18"/>
                      <w:szCs w:val="18"/>
                    </w:rPr>
                    <w:t>pre</w:t>
                  </w:r>
                  <w:r w:rsidRPr="00257E3C">
                    <w:rPr>
                      <w:sz w:val="18"/>
                      <w:szCs w:val="18"/>
                    </w:rPr>
                    <w:t xml:space="preserve">fiscal income Lorenz curve. Note that the concentration curve of the tax may cross the </w:t>
                  </w:r>
                  <w:r w:rsidR="00C11058">
                    <w:rPr>
                      <w:sz w:val="18"/>
                      <w:szCs w:val="18"/>
                    </w:rPr>
                    <w:t>pre</w:t>
                  </w:r>
                  <w:r w:rsidRPr="00257E3C">
                    <w:rPr>
                      <w:sz w:val="18"/>
                      <w:szCs w:val="18"/>
                    </w:rPr>
                    <w:t xml:space="preserve">fiscal income Lorenz curve, in which case </w:t>
                  </w:r>
                  <w:r w:rsidR="00821FE6">
                    <w:rPr>
                      <w:sz w:val="18"/>
                      <w:szCs w:val="18"/>
                    </w:rPr>
                    <w:t xml:space="preserve">the </w:t>
                  </w:r>
                  <w:r w:rsidR="00661AB7">
                    <w:rPr>
                      <w:sz w:val="18"/>
                      <w:szCs w:val="18"/>
                    </w:rPr>
                    <w:t>effect</w:t>
                  </w:r>
                  <w:r w:rsidRPr="00257E3C">
                    <w:rPr>
                      <w:sz w:val="18"/>
                      <w:szCs w:val="18"/>
                    </w:rPr>
                    <w:t xml:space="preserve"> is ambiguous</w:t>
                  </w:r>
                  <w:r w:rsidR="00F23575">
                    <w:rPr>
                      <w:sz w:val="18"/>
                      <w:szCs w:val="18"/>
                    </w:rPr>
                    <w:t>.</w:t>
                  </w:r>
                </w:p>
                <w:p w14:paraId="2FDC5CAB" w14:textId="77777777" w:rsidR="002F5363" w:rsidRDefault="002F5363" w:rsidP="00855877">
                  <w:pPr>
                    <w:autoSpaceDE w:val="0"/>
                    <w:autoSpaceDN w:val="0"/>
                    <w:adjustRightInd w:val="0"/>
                    <w:rPr>
                      <w:sz w:val="18"/>
                      <w:szCs w:val="18"/>
                    </w:rPr>
                  </w:pPr>
                </w:p>
                <w:tbl>
                  <w:tblPr>
                    <w:tblW w:w="9360" w:type="dxa"/>
                    <w:tblCellMar>
                      <w:left w:w="0" w:type="dxa"/>
                      <w:right w:w="0" w:type="dxa"/>
                    </w:tblCellMar>
                    <w:tblLook w:val="04A0" w:firstRow="1" w:lastRow="0" w:firstColumn="1" w:lastColumn="0" w:noHBand="0" w:noVBand="1"/>
                  </w:tblPr>
                  <w:tblGrid>
                    <w:gridCol w:w="9360"/>
                  </w:tblGrid>
                  <w:tr w:rsidR="002F5363" w:rsidRPr="002B0033" w14:paraId="1670BBC6" w14:textId="77777777" w:rsidTr="00855877">
                    <w:trPr>
                      <w:cantSplit/>
                    </w:trPr>
                    <w:tc>
                      <w:tcPr>
                        <w:tcW w:w="9360" w:type="dxa"/>
                      </w:tcPr>
                      <w:p w14:paraId="33DBE86F" w14:textId="12D387E0" w:rsidR="002F5363" w:rsidRPr="002B0033" w:rsidRDefault="002F5363" w:rsidP="00855877">
                        <w:pPr>
                          <w:pStyle w:val="FigureandTable"/>
                          <w:rPr>
                            <w:lang w:eastAsia="en-GB"/>
                          </w:rPr>
                        </w:pPr>
                        <w:bookmarkStart w:id="31" w:name="_Ref8040914"/>
                        <w:bookmarkStart w:id="32" w:name="_Toc11255063"/>
                        <w:r w:rsidRPr="002B0033">
                          <w:rPr>
                            <w:lang w:eastAsia="en-GB"/>
                          </w:rPr>
                          <w:t xml:space="preserve">Figure </w:t>
                        </w:r>
                        <w:r w:rsidR="00821FE6">
                          <w:rPr>
                            <w:lang w:eastAsia="en-GB"/>
                          </w:rPr>
                          <w:t>B2.1.</w:t>
                        </w:r>
                        <w:bookmarkEnd w:id="31"/>
                        <w:r w:rsidR="00821FE6">
                          <w:rPr>
                            <w:lang w:eastAsia="en-GB"/>
                          </w:rPr>
                          <w:t>1</w:t>
                        </w:r>
                        <w:r w:rsidRPr="002B0033">
                          <w:rPr>
                            <w:lang w:eastAsia="en-GB"/>
                          </w:rPr>
                          <w:t xml:space="preserve">. </w:t>
                        </w:r>
                        <w:r>
                          <w:t xml:space="preserve">Progressivity </w:t>
                        </w:r>
                        <w:r w:rsidR="0070632D">
                          <w:t>of</w:t>
                        </w:r>
                        <w:r>
                          <w:t xml:space="preserve"> </w:t>
                        </w:r>
                        <w:r w:rsidR="008C5020">
                          <w:t>T</w:t>
                        </w:r>
                        <w:r>
                          <w:t xml:space="preserve">axes and </w:t>
                        </w:r>
                        <w:r w:rsidR="008C5020">
                          <w:t>T</w:t>
                        </w:r>
                        <w:r>
                          <w:t>ransfers</w:t>
                        </w:r>
                        <w:bookmarkEnd w:id="32"/>
                      </w:p>
                    </w:tc>
                  </w:tr>
                  <w:tr w:rsidR="002F5363" w:rsidRPr="002B0033" w14:paraId="23B94019" w14:textId="77777777" w:rsidTr="00855877">
                    <w:tblPrEx>
                      <w:tblCellMar>
                        <w:left w:w="108" w:type="dxa"/>
                        <w:right w:w="108" w:type="dxa"/>
                      </w:tblCellMar>
                    </w:tblPrEx>
                    <w:trPr>
                      <w:cantSplit/>
                    </w:trPr>
                    <w:tc>
                      <w:tcPr>
                        <w:tcW w:w="9360" w:type="dxa"/>
                      </w:tcPr>
                      <w:p w14:paraId="7DE05F69" w14:textId="77777777" w:rsidR="002F5363" w:rsidRPr="002B0033" w:rsidRDefault="002F5363" w:rsidP="00855877">
                        <w:pPr>
                          <w:spacing w:after="120"/>
                          <w:rPr>
                            <w:rFonts w:cs="Times New Roman"/>
                            <w:sz w:val="16"/>
                            <w:szCs w:val="16"/>
                          </w:rPr>
                        </w:pPr>
                        <w:r>
                          <w:rPr>
                            <w:noProof/>
                          </w:rPr>
                          <w:drawing>
                            <wp:inline distT="0" distB="0" distL="0" distR="0" wp14:anchorId="706C90AF" wp14:editId="0FF77014">
                              <wp:extent cx="4782312" cy="31455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stretch>
                                        <a:fillRect/>
                                      </a:stretch>
                                    </pic:blipFill>
                                    <pic:spPr>
                                      <a:xfrm>
                                        <a:off x="0" y="0"/>
                                        <a:ext cx="4782312" cy="3145536"/>
                                      </a:xfrm>
                                      <a:prstGeom prst="rect">
                                        <a:avLst/>
                                      </a:prstGeom>
                                    </pic:spPr>
                                  </pic:pic>
                                </a:graphicData>
                              </a:graphic>
                            </wp:inline>
                          </w:drawing>
                        </w:r>
                      </w:p>
                    </w:tc>
                  </w:tr>
                  <w:tr w:rsidR="002F5363" w:rsidRPr="002B0033" w14:paraId="75360187" w14:textId="77777777" w:rsidTr="00855877">
                    <w:tblPrEx>
                      <w:tblCellMar>
                        <w:left w:w="108" w:type="dxa"/>
                        <w:right w:w="108" w:type="dxa"/>
                      </w:tblCellMar>
                    </w:tblPrEx>
                    <w:trPr>
                      <w:cantSplit/>
                    </w:trPr>
                    <w:tc>
                      <w:tcPr>
                        <w:tcW w:w="9360" w:type="dxa"/>
                        <w:tcBorders>
                          <w:top w:val="nil"/>
                          <w:left w:val="nil"/>
                          <w:bottom w:val="nil"/>
                          <w:right w:val="nil"/>
                        </w:tcBorders>
                      </w:tcPr>
                      <w:p w14:paraId="14DCC9CA" w14:textId="0F4607F4" w:rsidR="002F5363" w:rsidRPr="005C35CD" w:rsidRDefault="002F5363" w:rsidP="00855877">
                        <w:pPr>
                          <w:widowControl w:val="0"/>
                          <w:spacing w:after="0"/>
                          <w:rPr>
                            <w:rFonts w:cs="Times New Roman"/>
                            <w:sz w:val="18"/>
                            <w:szCs w:val="18"/>
                          </w:rPr>
                        </w:pPr>
                        <w:r w:rsidRPr="002B0033">
                          <w:rPr>
                            <w:rFonts w:cs="Times New Roman"/>
                            <w:i/>
                            <w:sz w:val="18"/>
                            <w:szCs w:val="18"/>
                          </w:rPr>
                          <w:t>Source:</w:t>
                        </w:r>
                        <w:r w:rsidRPr="002B0033">
                          <w:rPr>
                            <w:rFonts w:cs="Times New Roman"/>
                            <w:sz w:val="18"/>
                            <w:szCs w:val="18"/>
                          </w:rPr>
                          <w:t xml:space="preserve"> </w:t>
                        </w:r>
                        <w:r w:rsidRPr="00783311">
                          <w:rPr>
                            <w:rFonts w:cs="Times New Roman"/>
                            <w:sz w:val="18"/>
                            <w:szCs w:val="18"/>
                          </w:rPr>
                          <w:t>Lustig and Higgins</w:t>
                        </w:r>
                        <w:r w:rsidR="006844B7">
                          <w:rPr>
                            <w:rFonts w:cs="Times New Roman"/>
                            <w:sz w:val="18"/>
                            <w:szCs w:val="18"/>
                          </w:rPr>
                          <w:t xml:space="preserve"> (201</w:t>
                        </w:r>
                        <w:r w:rsidR="00BA152F">
                          <w:rPr>
                            <w:rFonts w:cs="Times New Roman"/>
                            <w:sz w:val="18"/>
                            <w:szCs w:val="18"/>
                          </w:rPr>
                          <w:t>8</w:t>
                        </w:r>
                        <w:r w:rsidR="006844B7">
                          <w:rPr>
                            <w:rFonts w:cs="Times New Roman"/>
                            <w:sz w:val="18"/>
                            <w:szCs w:val="18"/>
                          </w:rPr>
                          <w:t>)</w:t>
                        </w:r>
                        <w:r w:rsidRPr="00783311">
                          <w:rPr>
                            <w:rFonts w:cs="Times New Roman"/>
                            <w:sz w:val="18"/>
                            <w:szCs w:val="18"/>
                          </w:rPr>
                          <w:t>.</w:t>
                        </w:r>
                      </w:p>
                    </w:tc>
                  </w:tr>
                </w:tbl>
                <w:p w14:paraId="33E58C42" w14:textId="77777777" w:rsidR="002F5363" w:rsidRDefault="002F5363" w:rsidP="00855877">
                  <w:pPr>
                    <w:autoSpaceDE w:val="0"/>
                    <w:autoSpaceDN w:val="0"/>
                    <w:adjustRightInd w:val="0"/>
                    <w:rPr>
                      <w:sz w:val="18"/>
                      <w:szCs w:val="18"/>
                    </w:rPr>
                  </w:pPr>
                </w:p>
                <w:p w14:paraId="6D96E993" w14:textId="112B43E4" w:rsidR="007D1972" w:rsidRPr="007D1972" w:rsidRDefault="007D1972" w:rsidP="006C3F02">
                  <w:pPr>
                    <w:autoSpaceDE w:val="0"/>
                    <w:autoSpaceDN w:val="0"/>
                    <w:adjustRightInd w:val="0"/>
                    <w:rPr>
                      <w:sz w:val="18"/>
                      <w:szCs w:val="18"/>
                    </w:rPr>
                  </w:pPr>
                  <w:r w:rsidRPr="007D1972">
                    <w:rPr>
                      <w:sz w:val="18"/>
                      <w:szCs w:val="18"/>
                    </w:rPr>
                    <w:t xml:space="preserve">A transfer is everywhere progressive if the </w:t>
                  </w:r>
                  <w:r w:rsidR="00D32D33">
                    <w:rPr>
                      <w:sz w:val="18"/>
                      <w:szCs w:val="18"/>
                    </w:rPr>
                    <w:t xml:space="preserve">share of </w:t>
                  </w:r>
                  <w:r w:rsidR="00821FE6">
                    <w:rPr>
                      <w:sz w:val="18"/>
                      <w:szCs w:val="18"/>
                    </w:rPr>
                    <w:t xml:space="preserve">the </w:t>
                  </w:r>
                  <w:r w:rsidR="00D32D33">
                    <w:rPr>
                      <w:sz w:val="18"/>
                      <w:szCs w:val="18"/>
                    </w:rPr>
                    <w:t>transfer</w:t>
                  </w:r>
                  <w:r w:rsidRPr="007D1972">
                    <w:rPr>
                      <w:sz w:val="18"/>
                      <w:szCs w:val="18"/>
                    </w:rPr>
                    <w:t xml:space="preserve"> received</w:t>
                  </w:r>
                  <w:r w:rsidR="00D32D33">
                    <w:rPr>
                      <w:sz w:val="18"/>
                      <w:szCs w:val="18"/>
                    </w:rPr>
                    <w:t xml:space="preserve"> relative to</w:t>
                  </w:r>
                  <w:r w:rsidRPr="007D1972">
                    <w:rPr>
                      <w:sz w:val="18"/>
                      <w:szCs w:val="18"/>
                    </w:rPr>
                    <w:t xml:space="preserve"> </w:t>
                  </w:r>
                  <w:r w:rsidR="00C11058">
                    <w:rPr>
                      <w:sz w:val="18"/>
                      <w:szCs w:val="18"/>
                    </w:rPr>
                    <w:t>pre</w:t>
                  </w:r>
                  <w:r w:rsidRPr="007D1972">
                    <w:rPr>
                      <w:sz w:val="18"/>
                      <w:szCs w:val="18"/>
                    </w:rPr>
                    <w:t>fiscal income</w:t>
                  </w:r>
                  <w:r w:rsidR="00D32D33">
                    <w:rPr>
                      <w:sz w:val="18"/>
                      <w:szCs w:val="18"/>
                    </w:rPr>
                    <w:t xml:space="preserve"> </w:t>
                  </w:r>
                  <w:r w:rsidRPr="007D1972">
                    <w:rPr>
                      <w:sz w:val="18"/>
                      <w:szCs w:val="18"/>
                    </w:rPr>
                    <w:t>decreases as income rises. There are two types of progressive transfers: absolute and relative. A transfer will be</w:t>
                  </w:r>
                  <w:r w:rsidRPr="007D1972">
                    <w:rPr>
                      <w:sz w:val="18"/>
                      <w:szCs w:val="18"/>
                      <w:u w:val="single"/>
                    </w:rPr>
                    <w:t xml:space="preserve"> </w:t>
                  </w:r>
                  <w:r w:rsidRPr="00727D48">
                    <w:rPr>
                      <w:sz w:val="18"/>
                      <w:szCs w:val="18"/>
                    </w:rPr>
                    <w:t>progressive in absolute terms</w:t>
                  </w:r>
                  <w:r w:rsidRPr="007D1972">
                    <w:rPr>
                      <w:sz w:val="18"/>
                      <w:szCs w:val="18"/>
                    </w:rPr>
                    <w:t xml:space="preserve"> </w:t>
                  </w:r>
                  <w:r w:rsidR="0017633C">
                    <w:rPr>
                      <w:sz w:val="18"/>
                      <w:szCs w:val="18"/>
                    </w:rPr>
                    <w:t xml:space="preserve">(or pro-poor) </w:t>
                  </w:r>
                  <w:r w:rsidRPr="007D1972">
                    <w:rPr>
                      <w:sz w:val="18"/>
                      <w:szCs w:val="18"/>
                    </w:rPr>
                    <w:t xml:space="preserve">if the per capita amount received </w:t>
                  </w:r>
                  <w:r w:rsidR="00E85AB2">
                    <w:rPr>
                      <w:sz w:val="18"/>
                      <w:szCs w:val="18"/>
                    </w:rPr>
                    <w:t>decreases</w:t>
                  </w:r>
                  <w:r w:rsidRPr="007D1972">
                    <w:rPr>
                      <w:sz w:val="18"/>
                      <w:szCs w:val="18"/>
                    </w:rPr>
                    <w:t xml:space="preserve"> as income rises. A transfer will be </w:t>
                  </w:r>
                  <w:r w:rsidRPr="00727D48">
                    <w:rPr>
                      <w:sz w:val="18"/>
                      <w:szCs w:val="18"/>
                    </w:rPr>
                    <w:t>progressive in relative terms</w:t>
                  </w:r>
                  <w:r w:rsidRPr="007D1972">
                    <w:rPr>
                      <w:sz w:val="18"/>
                      <w:szCs w:val="18"/>
                    </w:rPr>
                    <w:t xml:space="preserve"> if the proportion received in relation to </w:t>
                  </w:r>
                  <w:r w:rsidR="00C11058">
                    <w:rPr>
                      <w:sz w:val="18"/>
                      <w:szCs w:val="18"/>
                    </w:rPr>
                    <w:t>pre</w:t>
                  </w:r>
                  <w:r w:rsidRPr="007D1972">
                    <w:rPr>
                      <w:sz w:val="18"/>
                      <w:szCs w:val="18"/>
                    </w:rPr>
                    <w:t>fiscal income decreases as income rises</w:t>
                  </w:r>
                  <w:r w:rsidR="00E85AB2">
                    <w:rPr>
                      <w:sz w:val="18"/>
                      <w:szCs w:val="18"/>
                    </w:rPr>
                    <w:t>,</w:t>
                  </w:r>
                  <w:r w:rsidRPr="007D1972">
                    <w:rPr>
                      <w:sz w:val="18"/>
                      <w:szCs w:val="18"/>
                    </w:rPr>
                    <w:t xml:space="preserve"> but </w:t>
                  </w:r>
                  <w:r w:rsidR="00E85AB2">
                    <w:rPr>
                      <w:sz w:val="18"/>
                      <w:szCs w:val="18"/>
                    </w:rPr>
                    <w:t>the same does not hold for</w:t>
                  </w:r>
                  <w:r w:rsidRPr="007D1972">
                    <w:rPr>
                      <w:sz w:val="18"/>
                      <w:szCs w:val="18"/>
                    </w:rPr>
                    <w:t xml:space="preserve"> </w:t>
                  </w:r>
                  <w:r w:rsidR="00821FE6">
                    <w:rPr>
                      <w:sz w:val="18"/>
                      <w:szCs w:val="18"/>
                    </w:rPr>
                    <w:t xml:space="preserve">a </w:t>
                  </w:r>
                  <w:r w:rsidRPr="007D1972">
                    <w:rPr>
                      <w:sz w:val="18"/>
                      <w:szCs w:val="18"/>
                    </w:rPr>
                    <w:t xml:space="preserve">per capita transfer. A transfer is globally progressive in absolute terms if </w:t>
                  </w:r>
                  <w:r w:rsidR="00821FE6">
                    <w:rPr>
                      <w:sz w:val="18"/>
                      <w:szCs w:val="18"/>
                    </w:rPr>
                    <w:t xml:space="preserve">the </w:t>
                  </w:r>
                  <w:r w:rsidRPr="007D1972">
                    <w:rPr>
                      <w:sz w:val="18"/>
                      <w:szCs w:val="18"/>
                    </w:rPr>
                    <w:t xml:space="preserve">concentration curve lies everywhere above the 45-degree line. A transfer is globally progressive in relative terms if </w:t>
                  </w:r>
                  <w:r w:rsidR="00821FE6">
                    <w:rPr>
                      <w:sz w:val="18"/>
                      <w:szCs w:val="18"/>
                    </w:rPr>
                    <w:t xml:space="preserve">the </w:t>
                  </w:r>
                  <w:r w:rsidRPr="007D1972">
                    <w:rPr>
                      <w:sz w:val="18"/>
                      <w:szCs w:val="18"/>
                    </w:rPr>
                    <w:t xml:space="preserve">concentration curve lies everywhere between the </w:t>
                  </w:r>
                  <w:r w:rsidR="00C11058">
                    <w:rPr>
                      <w:sz w:val="18"/>
                      <w:szCs w:val="18"/>
                    </w:rPr>
                    <w:t>pre</w:t>
                  </w:r>
                  <w:r w:rsidRPr="007D1972">
                    <w:rPr>
                      <w:sz w:val="18"/>
                      <w:szCs w:val="18"/>
                    </w:rPr>
                    <w:t>fiscal income Lorenz curve and the 45-degree line.</w:t>
                  </w:r>
                  <w:r w:rsidR="00C46700">
                    <w:rPr>
                      <w:sz w:val="18"/>
                      <w:szCs w:val="18"/>
                    </w:rPr>
                    <w:t xml:space="preserve"> </w:t>
                  </w:r>
                  <w:r w:rsidRPr="007D1972">
                    <w:rPr>
                      <w:sz w:val="18"/>
                      <w:szCs w:val="18"/>
                    </w:rPr>
                    <w:t>If the concentration curve of a transfer crosses the 45-degree line</w:t>
                  </w:r>
                  <w:r w:rsidR="00E37107">
                    <w:rPr>
                      <w:sz w:val="18"/>
                      <w:szCs w:val="18"/>
                    </w:rPr>
                    <w:t>,</w:t>
                  </w:r>
                  <w:r w:rsidRPr="007D1972">
                    <w:rPr>
                      <w:sz w:val="18"/>
                      <w:szCs w:val="18"/>
                    </w:rPr>
                    <w:t xml:space="preserve"> but still lies everywhere above the </w:t>
                  </w:r>
                  <w:r w:rsidR="00C11058">
                    <w:rPr>
                      <w:sz w:val="18"/>
                      <w:szCs w:val="18"/>
                    </w:rPr>
                    <w:t>pre</w:t>
                  </w:r>
                  <w:r w:rsidRPr="007D1972">
                    <w:rPr>
                      <w:sz w:val="18"/>
                      <w:szCs w:val="18"/>
                    </w:rPr>
                    <w:t>fiscal income Lorenz curve, it is unambiguously progressive</w:t>
                  </w:r>
                  <w:r w:rsidR="00E37107">
                    <w:rPr>
                      <w:sz w:val="18"/>
                      <w:szCs w:val="18"/>
                    </w:rPr>
                    <w:t>.</w:t>
                  </w:r>
                  <w:r w:rsidR="006C3F02">
                    <w:rPr>
                      <w:sz w:val="18"/>
                      <w:szCs w:val="18"/>
                    </w:rPr>
                    <w:t xml:space="preserve"> A</w:t>
                  </w:r>
                  <w:r w:rsidR="006C3F02" w:rsidRPr="006C3F02">
                    <w:rPr>
                      <w:sz w:val="18"/>
                      <w:szCs w:val="18"/>
                    </w:rPr>
                    <w:t xml:space="preserve"> tax (transfer) </w:t>
                  </w:r>
                  <w:r w:rsidR="00821FE6">
                    <w:rPr>
                      <w:sz w:val="18"/>
                      <w:szCs w:val="18"/>
                    </w:rPr>
                    <w:t xml:space="preserve">for which the </w:t>
                  </w:r>
                  <w:r w:rsidR="006C3F02" w:rsidRPr="006C3F02">
                    <w:rPr>
                      <w:sz w:val="18"/>
                      <w:szCs w:val="18"/>
                    </w:rPr>
                    <w:t xml:space="preserve">concentration curve coincides with the Lorenz curve of </w:t>
                  </w:r>
                  <w:r w:rsidR="00C11058">
                    <w:rPr>
                      <w:sz w:val="18"/>
                      <w:szCs w:val="18"/>
                    </w:rPr>
                    <w:t>pre</w:t>
                  </w:r>
                  <w:r w:rsidR="005A329C">
                    <w:rPr>
                      <w:sz w:val="18"/>
                      <w:szCs w:val="18"/>
                    </w:rPr>
                    <w:t>fiscal</w:t>
                  </w:r>
                  <w:r w:rsidR="006C3F02" w:rsidRPr="006C3F02">
                    <w:rPr>
                      <w:sz w:val="18"/>
                      <w:szCs w:val="18"/>
                    </w:rPr>
                    <w:t xml:space="preserve"> income is</w:t>
                  </w:r>
                  <w:r w:rsidR="005A329C">
                    <w:rPr>
                      <w:sz w:val="18"/>
                      <w:szCs w:val="18"/>
                    </w:rPr>
                    <w:t xml:space="preserve"> </w:t>
                  </w:r>
                  <w:r w:rsidR="006C3F02" w:rsidRPr="006C3F02">
                    <w:rPr>
                      <w:sz w:val="18"/>
                      <w:szCs w:val="18"/>
                    </w:rPr>
                    <w:t>neutral.</w:t>
                  </w:r>
                </w:p>
                <w:p w14:paraId="1A848618" w14:textId="19D7A51D" w:rsidR="000A7E80" w:rsidRDefault="00EA49CA" w:rsidP="00855877">
                  <w:pPr>
                    <w:autoSpaceDE w:val="0"/>
                    <w:autoSpaceDN w:val="0"/>
                    <w:adjustRightInd w:val="0"/>
                    <w:rPr>
                      <w:sz w:val="18"/>
                      <w:szCs w:val="18"/>
                    </w:rPr>
                  </w:pPr>
                  <w:r w:rsidRPr="00BB0049">
                    <w:rPr>
                      <w:sz w:val="18"/>
                      <w:szCs w:val="18"/>
                    </w:rPr>
                    <w:t>T</w:t>
                  </w:r>
                  <w:r w:rsidR="002F5363">
                    <w:rPr>
                      <w:sz w:val="18"/>
                      <w:szCs w:val="18"/>
                    </w:rPr>
                    <w:t xml:space="preserve">he </w:t>
                  </w:r>
                  <w:r w:rsidR="00C46700">
                    <w:rPr>
                      <w:sz w:val="18"/>
                      <w:szCs w:val="18"/>
                    </w:rPr>
                    <w:t>first part of the analysis on the progressivity of single fiscal instruments</w:t>
                  </w:r>
                  <w:r w:rsidR="002F5363">
                    <w:rPr>
                      <w:sz w:val="18"/>
                      <w:szCs w:val="18"/>
                    </w:rPr>
                    <w:t xml:space="preserve"> report</w:t>
                  </w:r>
                  <w:r w:rsidR="00E36EC3">
                    <w:rPr>
                      <w:sz w:val="18"/>
                      <w:szCs w:val="18"/>
                    </w:rPr>
                    <w:t>s</w:t>
                  </w:r>
                  <w:r w:rsidR="002F5363">
                    <w:rPr>
                      <w:sz w:val="18"/>
                      <w:szCs w:val="18"/>
                    </w:rPr>
                    <w:t xml:space="preserve"> cumulative shares of tax burdens, transfers, and income in per</w:t>
                  </w:r>
                  <w:r w:rsidR="00BC3259">
                    <w:rPr>
                      <w:sz w:val="18"/>
                      <w:szCs w:val="18"/>
                    </w:rPr>
                    <w:t xml:space="preserve"> </w:t>
                  </w:r>
                  <w:r w:rsidR="002F5363">
                    <w:rPr>
                      <w:sz w:val="18"/>
                      <w:szCs w:val="18"/>
                    </w:rPr>
                    <w:t xml:space="preserve">capita </w:t>
                  </w:r>
                  <w:r>
                    <w:rPr>
                      <w:sz w:val="18"/>
                      <w:szCs w:val="18"/>
                    </w:rPr>
                    <w:t>terms</w:t>
                  </w:r>
                  <w:r w:rsidR="002F5363">
                    <w:rPr>
                      <w:sz w:val="18"/>
                      <w:szCs w:val="18"/>
                    </w:rPr>
                    <w:t xml:space="preserve">. </w:t>
                  </w:r>
                  <w:r w:rsidR="00E36EC3">
                    <w:rPr>
                      <w:sz w:val="18"/>
                      <w:szCs w:val="18"/>
                    </w:rPr>
                    <w:t>This does not match the concept of</w:t>
                  </w:r>
                  <w:r w:rsidR="002F5363">
                    <w:rPr>
                      <w:sz w:val="18"/>
                      <w:szCs w:val="18"/>
                    </w:rPr>
                    <w:t xml:space="preserve"> welfare measurement </w:t>
                  </w:r>
                  <w:r w:rsidR="00EC5F36">
                    <w:rPr>
                      <w:sz w:val="18"/>
                      <w:szCs w:val="18"/>
                    </w:rPr>
                    <w:t>adopted by Statistics Mauritius</w:t>
                  </w:r>
                  <w:r w:rsidR="00BC3259">
                    <w:rPr>
                      <w:sz w:val="18"/>
                      <w:szCs w:val="18"/>
                    </w:rPr>
                    <w:t>;</w:t>
                  </w:r>
                  <w:r w:rsidR="00EC5F36">
                    <w:rPr>
                      <w:sz w:val="18"/>
                      <w:szCs w:val="18"/>
                    </w:rPr>
                    <w:t xml:space="preserve"> yet</w:t>
                  </w:r>
                  <w:r w:rsidR="002F5363">
                    <w:rPr>
                      <w:sz w:val="18"/>
                      <w:szCs w:val="18"/>
                    </w:rPr>
                    <w:t xml:space="preserve"> it </w:t>
                  </w:r>
                  <w:r w:rsidR="00BC3259">
                    <w:rPr>
                      <w:sz w:val="18"/>
                      <w:szCs w:val="18"/>
                    </w:rPr>
                    <w:t xml:space="preserve">facilitates the interpretation of </w:t>
                  </w:r>
                  <w:r w:rsidR="002F5363">
                    <w:rPr>
                      <w:sz w:val="18"/>
                      <w:szCs w:val="18"/>
                    </w:rPr>
                    <w:t>the</w:t>
                  </w:r>
                  <w:r w:rsidR="008716BE">
                    <w:rPr>
                      <w:sz w:val="18"/>
                      <w:szCs w:val="18"/>
                    </w:rPr>
                    <w:t xml:space="preserve"> findings</w:t>
                  </w:r>
                  <w:r w:rsidR="002F5363">
                    <w:rPr>
                      <w:sz w:val="18"/>
                      <w:szCs w:val="18"/>
                    </w:rPr>
                    <w:t>.</w:t>
                  </w:r>
                </w:p>
                <w:p w14:paraId="6411A7C6" w14:textId="50D149B1" w:rsidR="000A7E80" w:rsidRPr="000A7E80" w:rsidRDefault="000A7E80" w:rsidP="000A7E80">
                  <w:pPr>
                    <w:autoSpaceDE w:val="0"/>
                    <w:autoSpaceDN w:val="0"/>
                    <w:adjustRightInd w:val="0"/>
                    <w:rPr>
                      <w:sz w:val="18"/>
                      <w:szCs w:val="18"/>
                    </w:rPr>
                  </w:pPr>
                  <w:r w:rsidRPr="00727D48">
                    <w:rPr>
                      <w:i/>
                      <w:sz w:val="18"/>
                      <w:szCs w:val="18"/>
                    </w:rPr>
                    <w:t>Concentration coefficient</w:t>
                  </w:r>
                  <w:r w:rsidRPr="000A7E80">
                    <w:rPr>
                      <w:sz w:val="18"/>
                      <w:szCs w:val="18"/>
                    </w:rPr>
                    <w:t>: The coefficient of concentration (or quasi-Gini) is an index summarizing the concentration curve of a tax or transfer</w:t>
                  </w:r>
                  <w:r w:rsidR="00BC3259">
                    <w:rPr>
                      <w:sz w:val="18"/>
                      <w:szCs w:val="18"/>
                    </w:rPr>
                    <w:t>.</w:t>
                  </w:r>
                  <w:r w:rsidRPr="000A7E80">
                    <w:rPr>
                      <w:sz w:val="18"/>
                      <w:szCs w:val="18"/>
                    </w:rPr>
                    <w:t xml:space="preserve"> </w:t>
                  </w:r>
                  <w:r w:rsidR="00BC3259">
                    <w:rPr>
                      <w:sz w:val="18"/>
                      <w:szCs w:val="18"/>
                    </w:rPr>
                    <w:t>I</w:t>
                  </w:r>
                  <w:r w:rsidRPr="000A7E80">
                    <w:rPr>
                      <w:sz w:val="18"/>
                      <w:szCs w:val="18"/>
                    </w:rPr>
                    <w:t xml:space="preserve">t ranges between </w:t>
                  </w:r>
                  <w:r w:rsidR="00BC3259" w:rsidRPr="00BC3259">
                    <w:rPr>
                      <w:sz w:val="18"/>
                      <w:szCs w:val="18"/>
                    </w:rPr>
                    <w:t>−</w:t>
                  </w:r>
                  <w:r w:rsidRPr="000A7E80">
                    <w:rPr>
                      <w:sz w:val="18"/>
                      <w:szCs w:val="18"/>
                    </w:rPr>
                    <w:t xml:space="preserve">1 and 1. </w:t>
                  </w:r>
                  <w:r w:rsidR="00FB58FA">
                    <w:rPr>
                      <w:sz w:val="18"/>
                      <w:szCs w:val="18"/>
                    </w:rPr>
                    <w:t xml:space="preserve">Concentration </w:t>
                  </w:r>
                  <w:r w:rsidRPr="000A7E80">
                    <w:rPr>
                      <w:sz w:val="18"/>
                      <w:szCs w:val="18"/>
                    </w:rPr>
                    <w:t>curves from which this measure is derived depict the cumulative percentage of households (ranked</w:t>
                  </w:r>
                  <w:r w:rsidR="00FB58FA">
                    <w:rPr>
                      <w:sz w:val="18"/>
                      <w:szCs w:val="18"/>
                    </w:rPr>
                    <w:t xml:space="preserve"> in ascending order</w:t>
                  </w:r>
                  <w:r w:rsidRPr="000A7E80">
                    <w:rPr>
                      <w:sz w:val="18"/>
                      <w:szCs w:val="18"/>
                    </w:rPr>
                    <w:t xml:space="preserve"> by market income) on the horizontal axis and the cumulative percentage of </w:t>
                  </w:r>
                  <w:r w:rsidR="00BC3259">
                    <w:rPr>
                      <w:sz w:val="18"/>
                      <w:szCs w:val="18"/>
                    </w:rPr>
                    <w:t xml:space="preserve">the </w:t>
                  </w:r>
                  <w:r w:rsidRPr="000A7E80">
                    <w:rPr>
                      <w:sz w:val="18"/>
                      <w:szCs w:val="18"/>
                    </w:rPr>
                    <w:t xml:space="preserve">tax (transfer) paid (received) by each </w:t>
                  </w:r>
                  <w:r w:rsidR="00BB7501">
                    <w:rPr>
                      <w:sz w:val="18"/>
                      <w:szCs w:val="18"/>
                    </w:rPr>
                    <w:t>per</w:t>
                  </w:r>
                  <w:r w:rsidRPr="000A7E80">
                    <w:rPr>
                      <w:sz w:val="18"/>
                      <w:szCs w:val="18"/>
                    </w:rPr>
                    <w:t>centile.</w:t>
                  </w:r>
                </w:p>
                <w:p w14:paraId="145E52F0" w14:textId="009EC0DF" w:rsidR="000A7E80" w:rsidRPr="000A7E80" w:rsidRDefault="000A7E80" w:rsidP="000A7E80">
                  <w:pPr>
                    <w:autoSpaceDE w:val="0"/>
                    <w:autoSpaceDN w:val="0"/>
                    <w:adjustRightInd w:val="0"/>
                    <w:rPr>
                      <w:sz w:val="18"/>
                      <w:szCs w:val="18"/>
                    </w:rPr>
                  </w:pPr>
                  <w:r w:rsidRPr="00727D48">
                    <w:rPr>
                      <w:i/>
                      <w:sz w:val="18"/>
                      <w:szCs w:val="18"/>
                    </w:rPr>
                    <w:t>Kakwani index</w:t>
                  </w:r>
                  <w:r w:rsidRPr="000A7E80">
                    <w:rPr>
                      <w:sz w:val="18"/>
                      <w:szCs w:val="18"/>
                    </w:rPr>
                    <w:t xml:space="preserve">: The Kakwani index </w:t>
                  </w:r>
                  <w:r w:rsidR="00BB7501">
                    <w:rPr>
                      <w:sz w:val="18"/>
                      <w:szCs w:val="18"/>
                    </w:rPr>
                    <w:t>is a commonly used measure of progressivity. F</w:t>
                  </w:r>
                  <w:r w:rsidRPr="000A7E80">
                    <w:rPr>
                      <w:sz w:val="18"/>
                      <w:szCs w:val="18"/>
                    </w:rPr>
                    <w:t>or taxes</w:t>
                  </w:r>
                  <w:r w:rsidR="00BB7501">
                    <w:rPr>
                      <w:sz w:val="18"/>
                      <w:szCs w:val="18"/>
                    </w:rPr>
                    <w:t>, it</w:t>
                  </w:r>
                  <w:r w:rsidRPr="000A7E80">
                    <w:rPr>
                      <w:sz w:val="18"/>
                      <w:szCs w:val="18"/>
                    </w:rPr>
                    <w:t xml:space="preserve"> is defined as the difference between the concentration coefficient of the tax and the Gini for </w:t>
                  </w:r>
                  <w:r w:rsidR="00C11058">
                    <w:rPr>
                      <w:sz w:val="18"/>
                      <w:szCs w:val="18"/>
                    </w:rPr>
                    <w:t>pre</w:t>
                  </w:r>
                  <w:r w:rsidRPr="000A7E80">
                    <w:rPr>
                      <w:sz w:val="18"/>
                      <w:szCs w:val="18"/>
                    </w:rPr>
                    <w:t xml:space="preserve">fiscal income; for transfers, it is defined as the difference between the Gini for </w:t>
                  </w:r>
                  <w:r w:rsidR="00C11058">
                    <w:rPr>
                      <w:sz w:val="18"/>
                      <w:szCs w:val="18"/>
                    </w:rPr>
                    <w:t>pre</w:t>
                  </w:r>
                  <w:r w:rsidRPr="000A7E80">
                    <w:rPr>
                      <w:sz w:val="18"/>
                      <w:szCs w:val="18"/>
                    </w:rPr>
                    <w:t>fiscal income and the concentration coefficient of the transfer. A Kakwani index for taxes will be positive (negative) if a tax is globally progressive (regressive). A Kakwani index for transfers is positive if a transfer is progressive in relative terms.</w:t>
                  </w:r>
                </w:p>
                <w:p w14:paraId="01A08C45" w14:textId="04F84409" w:rsidR="000A7E80" w:rsidRPr="000A7E80" w:rsidRDefault="000A7E80" w:rsidP="000A7E80">
                  <w:pPr>
                    <w:autoSpaceDE w:val="0"/>
                    <w:autoSpaceDN w:val="0"/>
                    <w:adjustRightInd w:val="0"/>
                    <w:rPr>
                      <w:sz w:val="18"/>
                      <w:szCs w:val="18"/>
                    </w:rPr>
                  </w:pPr>
                  <w:r w:rsidRPr="00727D48">
                    <w:rPr>
                      <w:i/>
                      <w:sz w:val="18"/>
                      <w:szCs w:val="18"/>
                    </w:rPr>
                    <w:t>Redistributive effect</w:t>
                  </w:r>
                  <w:r w:rsidRPr="000A7E80">
                    <w:rPr>
                      <w:sz w:val="18"/>
                      <w:szCs w:val="18"/>
                    </w:rPr>
                    <w:t xml:space="preserve">: </w:t>
                  </w:r>
                  <w:r w:rsidR="00054E97">
                    <w:rPr>
                      <w:sz w:val="18"/>
                      <w:szCs w:val="18"/>
                    </w:rPr>
                    <w:t>The redistributive effect</w:t>
                  </w:r>
                  <w:r w:rsidRPr="000A7E80">
                    <w:rPr>
                      <w:sz w:val="18"/>
                      <w:szCs w:val="18"/>
                    </w:rPr>
                    <w:t xml:space="preserve"> captures the marginal contribution of </w:t>
                  </w:r>
                  <w:r w:rsidR="000825F2">
                    <w:rPr>
                      <w:sz w:val="18"/>
                      <w:szCs w:val="18"/>
                    </w:rPr>
                    <w:t xml:space="preserve">each </w:t>
                  </w:r>
                  <w:r w:rsidRPr="000A7E80">
                    <w:rPr>
                      <w:sz w:val="18"/>
                      <w:szCs w:val="18"/>
                    </w:rPr>
                    <w:t xml:space="preserve">fiscal </w:t>
                  </w:r>
                  <w:r w:rsidR="00054E97">
                    <w:rPr>
                      <w:sz w:val="18"/>
                      <w:szCs w:val="18"/>
                    </w:rPr>
                    <w:t xml:space="preserve">instruments </w:t>
                  </w:r>
                  <w:r w:rsidR="00FD6CDF">
                    <w:rPr>
                      <w:sz w:val="18"/>
                      <w:szCs w:val="18"/>
                    </w:rPr>
                    <w:t>or the whole fiscal system</w:t>
                  </w:r>
                  <w:r w:rsidR="00FD6CDF" w:rsidRPr="000A7E80">
                    <w:rPr>
                      <w:sz w:val="18"/>
                      <w:szCs w:val="18"/>
                    </w:rPr>
                    <w:t xml:space="preserve"> </w:t>
                  </w:r>
                  <w:r w:rsidRPr="000A7E80">
                    <w:rPr>
                      <w:sz w:val="18"/>
                      <w:szCs w:val="18"/>
                    </w:rPr>
                    <w:t xml:space="preserve">to the Gini coefficient of inequality. The marginal contribution is the difference between the Gini coefficient with and without the tax or transfer. If positive, it captures a redistributive effect, </w:t>
                  </w:r>
                  <w:r w:rsidR="00BC3259">
                    <w:rPr>
                      <w:sz w:val="18"/>
                      <w:szCs w:val="18"/>
                    </w:rPr>
                    <w:t xml:space="preserve">and, </w:t>
                  </w:r>
                  <w:r w:rsidRPr="000A7E80">
                    <w:rPr>
                      <w:sz w:val="18"/>
                      <w:szCs w:val="18"/>
                    </w:rPr>
                    <w:t>so</w:t>
                  </w:r>
                  <w:r w:rsidR="00BC3259">
                    <w:rPr>
                      <w:sz w:val="18"/>
                      <w:szCs w:val="18"/>
                    </w:rPr>
                    <w:t>,</w:t>
                  </w:r>
                  <w:r w:rsidRPr="000A7E80">
                    <w:rPr>
                      <w:sz w:val="18"/>
                      <w:szCs w:val="18"/>
                    </w:rPr>
                    <w:t xml:space="preserve"> a decline in the Gini.</w:t>
                  </w:r>
                </w:p>
                <w:p w14:paraId="4D2CA85F" w14:textId="4E007BE2" w:rsidR="002F5363" w:rsidRDefault="000A7E80" w:rsidP="00855877">
                  <w:pPr>
                    <w:autoSpaceDE w:val="0"/>
                    <w:autoSpaceDN w:val="0"/>
                    <w:adjustRightInd w:val="0"/>
                    <w:rPr>
                      <w:sz w:val="18"/>
                      <w:szCs w:val="18"/>
                    </w:rPr>
                  </w:pPr>
                  <w:r w:rsidRPr="00727D48">
                    <w:rPr>
                      <w:i/>
                      <w:sz w:val="18"/>
                      <w:szCs w:val="18"/>
                    </w:rPr>
                    <w:t>Poverty reduction effect</w:t>
                  </w:r>
                  <w:r w:rsidRPr="000A7E80">
                    <w:rPr>
                      <w:sz w:val="18"/>
                      <w:szCs w:val="18"/>
                    </w:rPr>
                    <w:t xml:space="preserve">: </w:t>
                  </w:r>
                  <w:r w:rsidR="000825F2">
                    <w:rPr>
                      <w:sz w:val="18"/>
                      <w:szCs w:val="18"/>
                    </w:rPr>
                    <w:t>The poverty reduction effect</w:t>
                  </w:r>
                  <w:r w:rsidRPr="000A7E80">
                    <w:rPr>
                      <w:sz w:val="18"/>
                      <w:szCs w:val="18"/>
                    </w:rPr>
                    <w:t xml:space="preserve"> captures the marginal contribution of </w:t>
                  </w:r>
                  <w:r w:rsidR="000825F2">
                    <w:rPr>
                      <w:sz w:val="18"/>
                      <w:szCs w:val="18"/>
                    </w:rPr>
                    <w:t xml:space="preserve">each </w:t>
                  </w:r>
                  <w:r w:rsidR="000825F2" w:rsidRPr="000A7E80">
                    <w:rPr>
                      <w:sz w:val="18"/>
                      <w:szCs w:val="18"/>
                    </w:rPr>
                    <w:t xml:space="preserve">fiscal </w:t>
                  </w:r>
                  <w:r w:rsidR="000825F2">
                    <w:rPr>
                      <w:sz w:val="18"/>
                      <w:szCs w:val="18"/>
                    </w:rPr>
                    <w:t>instruments or the whole fiscal system</w:t>
                  </w:r>
                  <w:r w:rsidRPr="000A7E80">
                    <w:rPr>
                      <w:sz w:val="18"/>
                      <w:szCs w:val="18"/>
                    </w:rPr>
                    <w:t xml:space="preserve"> to a poverty </w:t>
                  </w:r>
                  <w:r w:rsidR="00FD6CDF">
                    <w:rPr>
                      <w:sz w:val="18"/>
                      <w:szCs w:val="18"/>
                    </w:rPr>
                    <w:t>indicator</w:t>
                  </w:r>
                  <w:r w:rsidRPr="000A7E80">
                    <w:rPr>
                      <w:sz w:val="18"/>
                      <w:szCs w:val="18"/>
                    </w:rPr>
                    <w:t xml:space="preserve"> defined at a certain poverty line. </w:t>
                  </w:r>
                  <w:r w:rsidR="000825F2">
                    <w:rPr>
                      <w:sz w:val="18"/>
                      <w:szCs w:val="18"/>
                    </w:rPr>
                    <w:t>T</w:t>
                  </w:r>
                  <w:r w:rsidRPr="000A7E80">
                    <w:rPr>
                      <w:sz w:val="18"/>
                      <w:szCs w:val="18"/>
                    </w:rPr>
                    <w:t xml:space="preserve">he marginal contribution is the difference between the poverty </w:t>
                  </w:r>
                  <w:r w:rsidR="00825400">
                    <w:rPr>
                      <w:sz w:val="18"/>
                      <w:szCs w:val="18"/>
                    </w:rPr>
                    <w:t>indicator</w:t>
                  </w:r>
                  <w:r w:rsidRPr="000A7E80">
                    <w:rPr>
                      <w:sz w:val="18"/>
                      <w:szCs w:val="18"/>
                    </w:rPr>
                    <w:t xml:space="preserve"> with and without the tax or transfer. If positive, it captures a poverty reduction effect, </w:t>
                  </w:r>
                  <w:r w:rsidR="00BC3259">
                    <w:rPr>
                      <w:sz w:val="18"/>
                      <w:szCs w:val="18"/>
                    </w:rPr>
                    <w:t xml:space="preserve">and, </w:t>
                  </w:r>
                  <w:r w:rsidRPr="000A7E80">
                    <w:rPr>
                      <w:sz w:val="18"/>
                      <w:szCs w:val="18"/>
                    </w:rPr>
                    <w:t>so</w:t>
                  </w:r>
                  <w:r w:rsidR="00BC3259">
                    <w:rPr>
                      <w:sz w:val="18"/>
                      <w:szCs w:val="18"/>
                    </w:rPr>
                    <w:t>,</w:t>
                  </w:r>
                  <w:r w:rsidRPr="000A7E80">
                    <w:rPr>
                      <w:sz w:val="18"/>
                      <w:szCs w:val="18"/>
                    </w:rPr>
                    <w:t xml:space="preserve"> a decline in poverty.</w:t>
                  </w:r>
                </w:p>
              </w:tc>
            </w:tr>
          </w:tbl>
          <w:p w14:paraId="5F61AA7B" w14:textId="77777777" w:rsidR="002F5363" w:rsidRDefault="002F5363" w:rsidP="00855877">
            <w:pPr>
              <w:autoSpaceDE w:val="0"/>
              <w:autoSpaceDN w:val="0"/>
              <w:adjustRightInd w:val="0"/>
              <w:rPr>
                <w:rFonts w:cs="Times New Roman"/>
                <w:b w:val="0"/>
                <w:sz w:val="18"/>
                <w:szCs w:val="18"/>
              </w:rPr>
            </w:pPr>
          </w:p>
        </w:tc>
      </w:tr>
    </w:tbl>
    <w:p w14:paraId="0EDE6D28" w14:textId="77777777" w:rsidR="002F5363" w:rsidRDefault="002F5363"/>
    <w:p w14:paraId="5ED4F84C" w14:textId="56334FCA" w:rsidR="002E6831" w:rsidRDefault="002E6831">
      <w:r>
        <w:br w:type="page"/>
      </w:r>
    </w:p>
    <w:p w14:paraId="2B46693B" w14:textId="6559E647" w:rsidR="002E6831" w:rsidRDefault="00A63678" w:rsidP="002E6831">
      <w:pPr>
        <w:pStyle w:val="Heading1"/>
        <w:numPr>
          <w:ilvl w:val="0"/>
          <w:numId w:val="2"/>
        </w:numPr>
        <w:rPr>
          <w:rFonts w:ascii="Times New Roman" w:hAnsi="Times New Roman" w:cs="Times New Roman"/>
        </w:rPr>
      </w:pPr>
      <w:bookmarkStart w:id="33" w:name="_Ref8347900"/>
      <w:bookmarkStart w:id="34" w:name="_Toc8812796"/>
      <w:bookmarkStart w:id="35" w:name="_Toc10824869"/>
      <w:bookmarkStart w:id="36" w:name="_Toc10824941"/>
      <w:r>
        <w:rPr>
          <w:rFonts w:ascii="Times New Roman" w:hAnsi="Times New Roman" w:cs="Times New Roman"/>
        </w:rPr>
        <w:t>T</w:t>
      </w:r>
      <w:r w:rsidR="002E6831">
        <w:rPr>
          <w:rFonts w:ascii="Times New Roman" w:hAnsi="Times New Roman" w:cs="Times New Roman"/>
        </w:rPr>
        <w:t xml:space="preserve">axes and </w:t>
      </w:r>
      <w:r>
        <w:rPr>
          <w:rFonts w:ascii="Times New Roman" w:hAnsi="Times New Roman" w:cs="Times New Roman"/>
        </w:rPr>
        <w:t>Social Spending</w:t>
      </w:r>
      <w:r w:rsidR="0006285C">
        <w:rPr>
          <w:rFonts w:ascii="Times New Roman" w:hAnsi="Times New Roman" w:cs="Times New Roman"/>
        </w:rPr>
        <w:t xml:space="preserve"> in Mauritius</w:t>
      </w:r>
      <w:r>
        <w:rPr>
          <w:rFonts w:ascii="Times New Roman" w:hAnsi="Times New Roman" w:cs="Times New Roman"/>
        </w:rPr>
        <w:t>: A Bird’s-</w:t>
      </w:r>
      <w:r w:rsidR="00BC3259">
        <w:rPr>
          <w:rFonts w:ascii="Times New Roman" w:hAnsi="Times New Roman" w:cs="Times New Roman"/>
        </w:rPr>
        <w:t>E</w:t>
      </w:r>
      <w:r>
        <w:rPr>
          <w:rFonts w:ascii="Times New Roman" w:hAnsi="Times New Roman" w:cs="Times New Roman"/>
        </w:rPr>
        <w:t>ye View</w:t>
      </w:r>
      <w:bookmarkEnd w:id="33"/>
      <w:bookmarkEnd w:id="34"/>
      <w:bookmarkEnd w:id="35"/>
      <w:bookmarkEnd w:id="36"/>
    </w:p>
    <w:p w14:paraId="40EF6D9B" w14:textId="55874CC6" w:rsidR="006242D8" w:rsidRDefault="00A57B95" w:rsidP="00C52464">
      <w:r w:rsidRPr="003E0D69">
        <w:rPr>
          <w:b/>
        </w:rPr>
        <w:t>Tax revenues account for about 18.4 percent of GDP</w:t>
      </w:r>
      <w:r w:rsidR="003920EE" w:rsidRPr="003E0D69">
        <w:rPr>
          <w:b/>
        </w:rPr>
        <w:t xml:space="preserve">, as opposed to </w:t>
      </w:r>
      <w:r w:rsidR="00B47EC3">
        <w:rPr>
          <w:b/>
        </w:rPr>
        <w:t xml:space="preserve">25.5 percent for </w:t>
      </w:r>
      <w:r w:rsidR="003920EE" w:rsidRPr="003E0D69">
        <w:rPr>
          <w:b/>
        </w:rPr>
        <w:t>total government spending.</w:t>
      </w:r>
      <w:r w:rsidR="00287C24">
        <w:t xml:space="preserve"> In fiscal year 2016/17</w:t>
      </w:r>
      <w:r w:rsidR="00F823B8">
        <w:t>,</w:t>
      </w:r>
      <w:r w:rsidR="00287C24">
        <w:t xml:space="preserve"> total tax revenues amounted to about </w:t>
      </w:r>
      <w:r w:rsidR="00C465B1">
        <w:t xml:space="preserve">MUR </w:t>
      </w:r>
      <w:r w:rsidR="00287C24">
        <w:t>84</w:t>
      </w:r>
      <w:r w:rsidR="00F823B8">
        <w:t>.2</w:t>
      </w:r>
      <w:r w:rsidR="00287C24">
        <w:t xml:space="preserve"> </w:t>
      </w:r>
      <w:r w:rsidR="00F823B8">
        <w:t>b</w:t>
      </w:r>
      <w:r w:rsidR="00287C24">
        <w:t>illion</w:t>
      </w:r>
      <w:r w:rsidR="00F823B8">
        <w:t>,</w:t>
      </w:r>
      <w:r w:rsidR="00955CEC">
        <w:t xml:space="preserve"> compared with about </w:t>
      </w:r>
      <w:r w:rsidR="00C465B1">
        <w:t xml:space="preserve">MUR </w:t>
      </w:r>
      <w:r w:rsidR="00955CEC">
        <w:t>115</w:t>
      </w:r>
      <w:r w:rsidR="00F823B8">
        <w:t>.</w:t>
      </w:r>
      <w:r w:rsidR="00955CEC">
        <w:t xml:space="preserve">2 </w:t>
      </w:r>
      <w:r w:rsidR="00F823B8">
        <w:t>b</w:t>
      </w:r>
      <w:r w:rsidR="00955CEC">
        <w:t>illion of total government spending.</w:t>
      </w:r>
      <w:r w:rsidR="00027B69">
        <w:t xml:space="preserve"> </w:t>
      </w:r>
      <w:r w:rsidR="0090348F">
        <w:t>In fiscal year 2016/17, t</w:t>
      </w:r>
      <w:r w:rsidR="00027B69">
        <w:t xml:space="preserve">ax revenues accounted for about of </w:t>
      </w:r>
      <w:r w:rsidR="00676DDF">
        <w:t xml:space="preserve">89.4 percent of </w:t>
      </w:r>
      <w:r w:rsidR="00027B69">
        <w:t>total revenues</w:t>
      </w:r>
      <w:r w:rsidR="0090348F">
        <w:t xml:space="preserve">, the rest being covered by </w:t>
      </w:r>
      <w:r w:rsidR="003E57C8">
        <w:t>social contributions (1.5 percent), other revenues (6 percent), and capital grants (3.1 percent)</w:t>
      </w:r>
      <w:r w:rsidR="00B51C03">
        <w:t xml:space="preserve">. General </w:t>
      </w:r>
      <w:r w:rsidR="00A0612C">
        <w:t>government</w:t>
      </w:r>
      <w:r w:rsidR="00B51C03">
        <w:t xml:space="preserve"> debt </w:t>
      </w:r>
      <w:r w:rsidR="00A0612C">
        <w:t>stood</w:t>
      </w:r>
      <w:r w:rsidR="00B51C03">
        <w:t xml:space="preserve"> at 68.9 percent of GDP in 1017 and is estimated to </w:t>
      </w:r>
      <w:r w:rsidR="00F823B8">
        <w:t xml:space="preserve">fall </w:t>
      </w:r>
      <w:r w:rsidR="00633F31">
        <w:t xml:space="preserve">to 66.7 percent in 2018. </w:t>
      </w:r>
      <w:r w:rsidR="00CA5170">
        <w:t xml:space="preserve">After four years of primary deficit, </w:t>
      </w:r>
      <w:r w:rsidR="0015125D">
        <w:t xml:space="preserve">the year </w:t>
      </w:r>
      <w:r w:rsidR="00CA5170">
        <w:t>2017 was the first with a</w:t>
      </w:r>
      <w:r w:rsidR="004400FC">
        <w:t xml:space="preserve"> primary surplus (0.5 percent of GDP) that turn</w:t>
      </w:r>
      <w:r w:rsidR="00A0612C">
        <w:t>s</w:t>
      </w:r>
      <w:r w:rsidR="004400FC">
        <w:t xml:space="preserve"> into negative territory </w:t>
      </w:r>
      <w:r w:rsidR="00A0612C">
        <w:t>(</w:t>
      </w:r>
      <w:r w:rsidR="00F823B8">
        <w:t>−</w:t>
      </w:r>
      <w:r w:rsidR="00A0612C">
        <w:t>2.</w:t>
      </w:r>
      <w:r w:rsidR="008875F1">
        <w:t>1</w:t>
      </w:r>
      <w:r w:rsidR="00A0612C">
        <w:t xml:space="preserve"> percent of GDP) </w:t>
      </w:r>
      <w:r w:rsidR="00F823B8">
        <w:t xml:space="preserve">because of </w:t>
      </w:r>
      <w:r w:rsidR="004400FC">
        <w:t xml:space="preserve">interest </w:t>
      </w:r>
      <w:r w:rsidR="008875F1">
        <w:t xml:space="preserve">paid on </w:t>
      </w:r>
      <w:r w:rsidR="00F8751F">
        <w:t xml:space="preserve">government </w:t>
      </w:r>
      <w:r w:rsidR="008875F1">
        <w:t>debt.</w:t>
      </w:r>
      <w:r w:rsidR="00BB2FA1">
        <w:t xml:space="preserve"> The total fiscal balance is estimated to have deteriorated to </w:t>
      </w:r>
      <w:r w:rsidR="00F823B8">
        <w:t>−</w:t>
      </w:r>
      <w:r w:rsidR="00BB2FA1">
        <w:t xml:space="preserve">3.3 percent in 2018 and </w:t>
      </w:r>
      <w:r w:rsidR="00F823B8">
        <w:t xml:space="preserve">is </w:t>
      </w:r>
      <w:r w:rsidR="00C53304">
        <w:t xml:space="preserve">forecast to hover around that figure in </w:t>
      </w:r>
      <w:r w:rsidR="00BB2FA1">
        <w:t>2019.</w:t>
      </w:r>
    </w:p>
    <w:p w14:paraId="30D01335" w14:textId="3590DB60" w:rsidR="0015253D" w:rsidRDefault="0022687C" w:rsidP="00201D6A">
      <w:r w:rsidRPr="00201D6A">
        <w:rPr>
          <w:b/>
        </w:rPr>
        <w:t>Mauritius derives a considerable part of its tax revenues from indirect taxes.</w:t>
      </w:r>
      <w:r>
        <w:t xml:space="preserve"> </w:t>
      </w:r>
      <w:r w:rsidR="00BA0ED3">
        <w:t>Of e</w:t>
      </w:r>
      <w:r w:rsidR="00121B49">
        <w:t xml:space="preserve">very dollar of tax </w:t>
      </w:r>
      <w:r w:rsidR="00371C55">
        <w:t>revenue</w:t>
      </w:r>
      <w:r w:rsidR="00121B49">
        <w:t>, a</w:t>
      </w:r>
      <w:r w:rsidR="00E06754" w:rsidRPr="00121B49">
        <w:t xml:space="preserve">bout 65 cents </w:t>
      </w:r>
      <w:r w:rsidR="00121B49">
        <w:t xml:space="preserve">are </w:t>
      </w:r>
      <w:r w:rsidR="00121B49" w:rsidRPr="00121B49">
        <w:t>collected</w:t>
      </w:r>
      <w:r w:rsidR="00E06754" w:rsidRPr="00121B49">
        <w:t xml:space="preserve"> through indirect taxes</w:t>
      </w:r>
      <w:r w:rsidR="00091903">
        <w:t xml:space="preserve"> (</w:t>
      </w:r>
      <w:r w:rsidR="00091903">
        <w:fldChar w:fldCharType="begin"/>
      </w:r>
      <w:r w:rsidR="00091903">
        <w:instrText xml:space="preserve"> REF _Ref8523836 \h </w:instrText>
      </w:r>
      <w:r w:rsidR="00B562AD">
        <w:instrText xml:space="preserve"> \* MERGEFORMAT </w:instrText>
      </w:r>
      <w:r w:rsidR="00091903">
        <w:fldChar w:fldCharType="separate"/>
      </w:r>
      <w:r w:rsidR="00C37C80" w:rsidRPr="00C37C80">
        <w:t>Table 3.1</w:t>
      </w:r>
      <w:r w:rsidR="00091903">
        <w:fldChar w:fldCharType="end"/>
      </w:r>
      <w:r w:rsidR="00091903">
        <w:t>)</w:t>
      </w:r>
      <w:r w:rsidR="00121B49">
        <w:t>.</w:t>
      </w:r>
      <w:r w:rsidR="00497307">
        <w:t xml:space="preserve"> Indirect taxes in </w:t>
      </w:r>
      <w:r w:rsidR="00371C55">
        <w:t>Mauritius</w:t>
      </w:r>
      <w:r w:rsidR="00C4045B">
        <w:t xml:space="preserve"> account for about 12 percent of GDP, a share </w:t>
      </w:r>
      <w:r w:rsidR="00091903">
        <w:t>roughly</w:t>
      </w:r>
      <w:r w:rsidR="00C535A4">
        <w:t xml:space="preserve"> on par with that of other middle</w:t>
      </w:r>
      <w:r w:rsidR="00BA0ED3">
        <w:t>-</w:t>
      </w:r>
      <w:r w:rsidR="00C535A4">
        <w:t>income countries</w:t>
      </w:r>
      <w:r w:rsidR="00091903">
        <w:t xml:space="preserve"> (</w:t>
      </w:r>
      <w:r w:rsidR="00091903">
        <w:fldChar w:fldCharType="begin"/>
      </w:r>
      <w:r w:rsidR="00091903">
        <w:instrText xml:space="preserve"> REF _Ref513129755 \h </w:instrText>
      </w:r>
      <w:r w:rsidR="00B562AD">
        <w:instrText xml:space="preserve"> \* MERGEFORMAT </w:instrText>
      </w:r>
      <w:r w:rsidR="00091903">
        <w:fldChar w:fldCharType="separate"/>
      </w:r>
      <w:r w:rsidR="00C37C80" w:rsidRPr="00C37C80">
        <w:t>Figure 3.1</w:t>
      </w:r>
      <w:r w:rsidR="00091903">
        <w:fldChar w:fldCharType="end"/>
      </w:r>
      <w:r w:rsidR="00091903">
        <w:t>)</w:t>
      </w:r>
      <w:r w:rsidR="00C535A4">
        <w:t>.</w:t>
      </w:r>
      <w:r w:rsidR="0051261E">
        <w:t xml:space="preserve"> </w:t>
      </w:r>
      <w:r w:rsidR="00091903">
        <w:t>VAT</w:t>
      </w:r>
      <w:r w:rsidR="00B562AD">
        <w:t xml:space="preserve"> takes the lion</w:t>
      </w:r>
      <w:r w:rsidR="00BA0ED3">
        <w:t>’s</w:t>
      </w:r>
      <w:r w:rsidR="00B562AD">
        <w:t xml:space="preserve"> share</w:t>
      </w:r>
      <w:r w:rsidR="00BA0ED3">
        <w:t>,</w:t>
      </w:r>
      <w:r w:rsidR="00B562AD">
        <w:t xml:space="preserve"> at 36 percent of all tax revenues or 6.6 percent of GDP, followed by excise duties</w:t>
      </w:r>
      <w:r w:rsidR="00BA0ED3">
        <w:t>,</w:t>
      </w:r>
      <w:r w:rsidR="00B562AD">
        <w:t xml:space="preserve"> at 20.5 percent of tax revenues.</w:t>
      </w:r>
      <w:r w:rsidR="0099170D">
        <w:t xml:space="preserve"> The standard rate of VAT is 15 percent</w:t>
      </w:r>
      <w:r w:rsidR="00BA0ED3">
        <w:t>,</w:t>
      </w:r>
      <w:r w:rsidR="0099170D">
        <w:t xml:space="preserve"> and</w:t>
      </w:r>
      <w:r w:rsidR="001B0829">
        <w:t xml:space="preserve"> some</w:t>
      </w:r>
      <w:r w:rsidR="0099170D">
        <w:t xml:space="preserve"> goods and services are either zero-rated or exempt.</w:t>
      </w:r>
      <w:r w:rsidR="0015253D">
        <w:t xml:space="preserve"> Excise taxes are applied to tobacco products, alcoholic beverages, </w:t>
      </w:r>
      <w:r w:rsidR="00A734BD">
        <w:t xml:space="preserve">motor </w:t>
      </w:r>
      <w:r w:rsidR="005B40DA">
        <w:t>vehicles</w:t>
      </w:r>
      <w:r w:rsidR="00A734BD">
        <w:t xml:space="preserve"> and motor cycles, petroleum products, plastic products</w:t>
      </w:r>
      <w:r w:rsidR="00BA0ED3">
        <w:t>,</w:t>
      </w:r>
      <w:r w:rsidR="00A734BD">
        <w:t xml:space="preserve"> and</w:t>
      </w:r>
      <w:r w:rsidR="0015253D">
        <w:t xml:space="preserve"> other goods and services.</w:t>
      </w:r>
    </w:p>
    <w:tbl>
      <w:tblPr>
        <w:tblStyle w:val="PlainTable2"/>
        <w:tblW w:w="9320" w:type="dxa"/>
        <w:tblLook w:val="04A0" w:firstRow="1" w:lastRow="0" w:firstColumn="1" w:lastColumn="0" w:noHBand="0" w:noVBand="1"/>
      </w:tblPr>
      <w:tblGrid>
        <w:gridCol w:w="5400"/>
        <w:gridCol w:w="1560"/>
        <w:gridCol w:w="1180"/>
        <w:gridCol w:w="1180"/>
      </w:tblGrid>
      <w:tr w:rsidR="00871EF2" w:rsidRPr="002F35D6" w14:paraId="7F462A0E" w14:textId="77777777" w:rsidTr="00727D4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dxa"/>
            <w:gridSpan w:val="4"/>
            <w:tcBorders>
              <w:top w:val="nil"/>
              <w:bottom w:val="single" w:sz="4" w:space="0" w:color="auto"/>
            </w:tcBorders>
            <w:noWrap/>
          </w:tcPr>
          <w:p w14:paraId="655EC205" w14:textId="66A8E5CE" w:rsidR="00871EF2" w:rsidRPr="002F35D6" w:rsidRDefault="00871EF2" w:rsidP="004B37D4">
            <w:pPr>
              <w:jc w:val="left"/>
              <w:rPr>
                <w:rFonts w:asciiTheme="majorHAnsi" w:eastAsia="Times New Roman" w:hAnsiTheme="majorHAnsi" w:cstheme="majorHAnsi"/>
                <w:color w:val="000000"/>
                <w:sz w:val="18"/>
                <w:szCs w:val="18"/>
              </w:rPr>
            </w:pPr>
            <w:bookmarkStart w:id="37" w:name="_Ref8523836"/>
            <w:bookmarkStart w:id="38" w:name="_Toc11255084"/>
            <w:r w:rsidRPr="001D1155">
              <w:rPr>
                <w:sz w:val="18"/>
                <w:szCs w:val="18"/>
              </w:rPr>
              <w:t xml:space="preserve">Table </w:t>
            </w:r>
            <w:r>
              <w:rPr>
                <w:sz w:val="18"/>
                <w:szCs w:val="18"/>
              </w:rPr>
              <w:fldChar w:fldCharType="begin"/>
            </w:r>
            <w:r>
              <w:rPr>
                <w:sz w:val="18"/>
                <w:szCs w:val="18"/>
              </w:rPr>
              <w:instrText xml:space="preserve"> STYLEREF 1 \s </w:instrText>
            </w:r>
            <w:r>
              <w:rPr>
                <w:sz w:val="18"/>
                <w:szCs w:val="18"/>
              </w:rPr>
              <w:fldChar w:fldCharType="separate"/>
            </w:r>
            <w:r w:rsidR="00C37C80">
              <w:rPr>
                <w:noProof/>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SEQ Table \* ARABIC \s 1 </w:instrText>
            </w:r>
            <w:r>
              <w:rPr>
                <w:sz w:val="18"/>
                <w:szCs w:val="18"/>
              </w:rPr>
              <w:fldChar w:fldCharType="separate"/>
            </w:r>
            <w:r w:rsidR="00C37C80">
              <w:rPr>
                <w:noProof/>
                <w:sz w:val="18"/>
                <w:szCs w:val="18"/>
              </w:rPr>
              <w:t>1</w:t>
            </w:r>
            <w:r>
              <w:rPr>
                <w:sz w:val="18"/>
                <w:szCs w:val="18"/>
              </w:rPr>
              <w:fldChar w:fldCharType="end"/>
            </w:r>
            <w:bookmarkEnd w:id="37"/>
            <w:r w:rsidR="00C227C1">
              <w:rPr>
                <w:sz w:val="18"/>
                <w:szCs w:val="18"/>
              </w:rPr>
              <w:t>.</w:t>
            </w:r>
            <w:r w:rsidRPr="001D1155">
              <w:rPr>
                <w:sz w:val="18"/>
                <w:szCs w:val="18"/>
              </w:rPr>
              <w:t xml:space="preserve"> </w:t>
            </w:r>
            <w:r>
              <w:rPr>
                <w:sz w:val="18"/>
                <w:szCs w:val="18"/>
              </w:rPr>
              <w:t xml:space="preserve">General Government Tax Revenues in Mauritius, </w:t>
            </w:r>
            <w:r w:rsidR="00BA0ED3">
              <w:rPr>
                <w:sz w:val="18"/>
                <w:szCs w:val="18"/>
              </w:rPr>
              <w:t xml:space="preserve">Fiscal Year </w:t>
            </w:r>
            <w:r>
              <w:rPr>
                <w:sz w:val="18"/>
                <w:szCs w:val="18"/>
              </w:rPr>
              <w:t>20</w:t>
            </w:r>
            <w:r w:rsidR="00BA0ED3">
              <w:rPr>
                <w:sz w:val="18"/>
                <w:szCs w:val="18"/>
              </w:rPr>
              <w:t>16/</w:t>
            </w:r>
            <w:r>
              <w:rPr>
                <w:sz w:val="18"/>
                <w:szCs w:val="18"/>
              </w:rPr>
              <w:t>17</w:t>
            </w:r>
            <w:bookmarkEnd w:id="38"/>
          </w:p>
        </w:tc>
      </w:tr>
      <w:tr w:rsidR="00871EF2" w:rsidRPr="002F35D6" w14:paraId="3E97FCD7" w14:textId="77777777" w:rsidTr="00727D4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noWrap/>
            <w:hideMark/>
          </w:tcPr>
          <w:p w14:paraId="41C85F09" w14:textId="4CDF3C3C" w:rsidR="00871EF2" w:rsidRPr="00727D48" w:rsidRDefault="00BA0ED3" w:rsidP="004B37D4">
            <w:pPr>
              <w:jc w:val="left"/>
              <w:rPr>
                <w:rFonts w:asciiTheme="majorHAnsi" w:eastAsia="Times New Roman" w:hAnsiTheme="majorHAnsi" w:cstheme="majorHAnsi"/>
                <w:b w:val="0"/>
                <w:i/>
                <w:color w:val="000000"/>
                <w:sz w:val="18"/>
                <w:szCs w:val="18"/>
              </w:rPr>
            </w:pPr>
            <w:r w:rsidRPr="00727D48">
              <w:rPr>
                <w:rFonts w:asciiTheme="majorHAnsi" w:eastAsia="Times New Roman" w:hAnsiTheme="majorHAnsi" w:cstheme="majorHAnsi"/>
                <w:i/>
                <w:color w:val="000000"/>
                <w:sz w:val="18"/>
                <w:szCs w:val="18"/>
              </w:rPr>
              <w:t>Indicator</w:t>
            </w:r>
          </w:p>
        </w:tc>
        <w:tc>
          <w:tcPr>
            <w:tcW w:w="0" w:type="dxa"/>
            <w:tcBorders>
              <w:top w:val="single" w:sz="4" w:space="0" w:color="auto"/>
              <w:bottom w:val="single" w:sz="4" w:space="0" w:color="auto"/>
            </w:tcBorders>
            <w:hideMark/>
          </w:tcPr>
          <w:p w14:paraId="3EF2B12A" w14:textId="2B16A2E3" w:rsidR="00871EF2" w:rsidRPr="00727D48" w:rsidRDefault="00C465B1"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sz w:val="18"/>
                <w:szCs w:val="18"/>
              </w:rPr>
            </w:pPr>
            <w:r w:rsidRPr="00727D48">
              <w:rPr>
                <w:rFonts w:asciiTheme="majorHAnsi" w:eastAsia="Times New Roman" w:hAnsiTheme="majorHAnsi" w:cstheme="majorHAnsi"/>
                <w:i/>
                <w:color w:val="000000"/>
                <w:sz w:val="18"/>
                <w:szCs w:val="18"/>
              </w:rPr>
              <w:t>MUR</w:t>
            </w:r>
            <w:r w:rsidR="00871EF2" w:rsidRPr="00727D48">
              <w:rPr>
                <w:rFonts w:asciiTheme="majorHAnsi" w:eastAsia="Times New Roman" w:hAnsiTheme="majorHAnsi" w:cstheme="majorHAnsi"/>
                <w:i/>
                <w:color w:val="000000"/>
                <w:sz w:val="18"/>
                <w:szCs w:val="18"/>
              </w:rPr>
              <w:t>, millions</w:t>
            </w:r>
          </w:p>
        </w:tc>
        <w:tc>
          <w:tcPr>
            <w:tcW w:w="0" w:type="dxa"/>
            <w:tcBorders>
              <w:top w:val="single" w:sz="4" w:space="0" w:color="auto"/>
              <w:bottom w:val="single" w:sz="4" w:space="0" w:color="auto"/>
            </w:tcBorders>
            <w:hideMark/>
          </w:tcPr>
          <w:p w14:paraId="7F836A60" w14:textId="77777777" w:rsidR="00871EF2" w:rsidRPr="00727D48"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sz w:val="18"/>
                <w:szCs w:val="18"/>
              </w:rPr>
            </w:pPr>
            <w:r w:rsidRPr="00727D48">
              <w:rPr>
                <w:rFonts w:asciiTheme="majorHAnsi" w:eastAsia="Times New Roman" w:hAnsiTheme="majorHAnsi" w:cstheme="majorHAnsi"/>
                <w:i/>
                <w:color w:val="000000"/>
                <w:sz w:val="18"/>
                <w:szCs w:val="18"/>
              </w:rPr>
              <w:t>Share of tax revenues (%)</w:t>
            </w:r>
          </w:p>
        </w:tc>
        <w:tc>
          <w:tcPr>
            <w:tcW w:w="0" w:type="dxa"/>
            <w:tcBorders>
              <w:top w:val="single" w:sz="4" w:space="0" w:color="auto"/>
              <w:bottom w:val="single" w:sz="4" w:space="0" w:color="auto"/>
            </w:tcBorders>
            <w:hideMark/>
          </w:tcPr>
          <w:p w14:paraId="6F94E812" w14:textId="77777777" w:rsidR="00871EF2" w:rsidRPr="00727D48"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sz w:val="18"/>
                <w:szCs w:val="18"/>
              </w:rPr>
            </w:pPr>
            <w:r w:rsidRPr="00727D48">
              <w:rPr>
                <w:rFonts w:asciiTheme="majorHAnsi" w:eastAsia="Times New Roman" w:hAnsiTheme="majorHAnsi" w:cstheme="majorHAnsi"/>
                <w:i/>
                <w:color w:val="000000"/>
                <w:sz w:val="18"/>
                <w:szCs w:val="18"/>
              </w:rPr>
              <w:t>Share of GDP (%)</w:t>
            </w:r>
          </w:p>
        </w:tc>
      </w:tr>
      <w:tr w:rsidR="00871EF2" w:rsidRPr="002F35D6" w14:paraId="6C450569" w14:textId="77777777" w:rsidTr="00727D48">
        <w:trPr>
          <w:trHeight w:val="24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noWrap/>
            <w:hideMark/>
          </w:tcPr>
          <w:p w14:paraId="2FC62C08" w14:textId="717050D0"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Total tax revenues</w:t>
            </w:r>
          </w:p>
        </w:tc>
        <w:tc>
          <w:tcPr>
            <w:tcW w:w="0" w:type="dxa"/>
            <w:tcBorders>
              <w:top w:val="single" w:sz="4" w:space="0" w:color="auto"/>
              <w:bottom w:val="nil"/>
            </w:tcBorders>
            <w:noWrap/>
            <w:hideMark/>
          </w:tcPr>
          <w:p w14:paraId="60940AFE"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84,148</w:t>
            </w:r>
          </w:p>
        </w:tc>
        <w:tc>
          <w:tcPr>
            <w:tcW w:w="0" w:type="dxa"/>
            <w:tcBorders>
              <w:top w:val="single" w:sz="4" w:space="0" w:color="auto"/>
              <w:bottom w:val="nil"/>
            </w:tcBorders>
            <w:noWrap/>
            <w:hideMark/>
          </w:tcPr>
          <w:p w14:paraId="2A76952E"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100.0</w:t>
            </w:r>
          </w:p>
        </w:tc>
        <w:tc>
          <w:tcPr>
            <w:tcW w:w="0" w:type="dxa"/>
            <w:tcBorders>
              <w:top w:val="single" w:sz="4" w:space="0" w:color="auto"/>
              <w:bottom w:val="nil"/>
            </w:tcBorders>
            <w:noWrap/>
            <w:hideMark/>
          </w:tcPr>
          <w:p w14:paraId="2245D690"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18.4</w:t>
            </w:r>
          </w:p>
        </w:tc>
      </w:tr>
      <w:tr w:rsidR="00871EF2" w:rsidRPr="002F35D6" w14:paraId="1C1BAAAF"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2EED88B4" w14:textId="1E73B72F"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Income tax</w:t>
            </w:r>
            <w:r w:rsidR="007B7F54">
              <w:rPr>
                <w:rFonts w:asciiTheme="majorHAnsi" w:eastAsia="Times New Roman" w:hAnsiTheme="majorHAnsi" w:cstheme="majorHAnsi"/>
                <w:b w:val="0"/>
                <w:color w:val="000000"/>
                <w:sz w:val="18"/>
                <w:szCs w:val="18"/>
              </w:rPr>
              <w:t>,</w:t>
            </w:r>
            <w:r w:rsidRPr="00BA0ED3">
              <w:rPr>
                <w:rFonts w:asciiTheme="majorHAnsi" w:eastAsia="Times New Roman" w:hAnsiTheme="majorHAnsi" w:cstheme="majorHAnsi"/>
                <w:color w:val="000000"/>
                <w:sz w:val="18"/>
                <w:szCs w:val="18"/>
              </w:rPr>
              <w:t xml:space="preserve"> individuals</w:t>
            </w:r>
          </w:p>
        </w:tc>
        <w:tc>
          <w:tcPr>
            <w:tcW w:w="1560" w:type="dxa"/>
            <w:tcBorders>
              <w:top w:val="nil"/>
              <w:bottom w:val="nil"/>
            </w:tcBorders>
            <w:noWrap/>
            <w:hideMark/>
          </w:tcPr>
          <w:p w14:paraId="69A22918"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8,661</w:t>
            </w:r>
          </w:p>
        </w:tc>
        <w:tc>
          <w:tcPr>
            <w:tcW w:w="1180" w:type="dxa"/>
            <w:tcBorders>
              <w:top w:val="nil"/>
              <w:bottom w:val="nil"/>
            </w:tcBorders>
            <w:noWrap/>
            <w:hideMark/>
          </w:tcPr>
          <w:p w14:paraId="0D0F7768"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10.3</w:t>
            </w:r>
          </w:p>
        </w:tc>
        <w:tc>
          <w:tcPr>
            <w:tcW w:w="1180" w:type="dxa"/>
            <w:tcBorders>
              <w:top w:val="nil"/>
              <w:bottom w:val="nil"/>
            </w:tcBorders>
            <w:noWrap/>
            <w:hideMark/>
          </w:tcPr>
          <w:p w14:paraId="256483A9"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1.9</w:t>
            </w:r>
          </w:p>
        </w:tc>
      </w:tr>
      <w:tr w:rsidR="00871EF2" w:rsidRPr="002F35D6" w14:paraId="73BD9174" w14:textId="77777777" w:rsidTr="004B37D4">
        <w:trPr>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6C6FCF91" w14:textId="294889D8"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Income tax</w:t>
            </w:r>
            <w:r w:rsidR="007B7F54">
              <w:rPr>
                <w:rFonts w:asciiTheme="majorHAnsi" w:eastAsia="Times New Roman" w:hAnsiTheme="majorHAnsi" w:cstheme="majorHAnsi"/>
                <w:b w:val="0"/>
                <w:color w:val="000000"/>
                <w:sz w:val="18"/>
                <w:szCs w:val="18"/>
              </w:rPr>
              <w:t>,</w:t>
            </w:r>
            <w:r w:rsidRPr="00BA0ED3">
              <w:rPr>
                <w:rFonts w:asciiTheme="majorHAnsi" w:eastAsia="Times New Roman" w:hAnsiTheme="majorHAnsi" w:cstheme="majorHAnsi"/>
                <w:color w:val="000000"/>
                <w:sz w:val="18"/>
                <w:szCs w:val="18"/>
              </w:rPr>
              <w:t xml:space="preserve"> companies </w:t>
            </w:r>
            <w:r w:rsidR="007B7F54">
              <w:rPr>
                <w:rFonts w:asciiTheme="majorHAnsi" w:eastAsia="Times New Roman" w:hAnsiTheme="majorHAnsi" w:cstheme="majorHAnsi"/>
                <w:b w:val="0"/>
                <w:color w:val="000000"/>
                <w:sz w:val="18"/>
                <w:szCs w:val="18"/>
              </w:rPr>
              <w:t xml:space="preserve">and </w:t>
            </w:r>
            <w:r w:rsidRPr="00BA0ED3">
              <w:rPr>
                <w:rFonts w:asciiTheme="majorHAnsi" w:eastAsia="Times New Roman" w:hAnsiTheme="majorHAnsi" w:cstheme="majorHAnsi"/>
                <w:color w:val="000000"/>
                <w:sz w:val="18"/>
                <w:szCs w:val="18"/>
              </w:rPr>
              <w:t>bodies</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corporate tax</w:t>
            </w:r>
          </w:p>
        </w:tc>
        <w:tc>
          <w:tcPr>
            <w:tcW w:w="1560" w:type="dxa"/>
            <w:tcBorders>
              <w:top w:val="nil"/>
              <w:bottom w:val="nil"/>
            </w:tcBorders>
            <w:noWrap/>
            <w:hideMark/>
          </w:tcPr>
          <w:p w14:paraId="187ADF45"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11,881</w:t>
            </w:r>
          </w:p>
        </w:tc>
        <w:tc>
          <w:tcPr>
            <w:tcW w:w="1180" w:type="dxa"/>
            <w:tcBorders>
              <w:top w:val="nil"/>
              <w:bottom w:val="nil"/>
            </w:tcBorders>
            <w:noWrap/>
            <w:hideMark/>
          </w:tcPr>
          <w:p w14:paraId="3CD41BA1"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14.1</w:t>
            </w:r>
          </w:p>
        </w:tc>
        <w:tc>
          <w:tcPr>
            <w:tcW w:w="1180" w:type="dxa"/>
            <w:tcBorders>
              <w:top w:val="nil"/>
              <w:bottom w:val="nil"/>
            </w:tcBorders>
            <w:noWrap/>
            <w:hideMark/>
          </w:tcPr>
          <w:p w14:paraId="3034C6DB"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2.6</w:t>
            </w:r>
          </w:p>
        </w:tc>
      </w:tr>
      <w:tr w:rsidR="00871EF2" w:rsidRPr="002F35D6" w14:paraId="6F8BEC17"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4A81FD6F" w14:textId="7AE56402"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Deduction at source (tds)</w:t>
            </w:r>
          </w:p>
        </w:tc>
        <w:tc>
          <w:tcPr>
            <w:tcW w:w="1560" w:type="dxa"/>
            <w:tcBorders>
              <w:top w:val="nil"/>
              <w:bottom w:val="nil"/>
            </w:tcBorders>
            <w:noWrap/>
            <w:hideMark/>
          </w:tcPr>
          <w:p w14:paraId="77E4738C"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1,236</w:t>
            </w:r>
          </w:p>
        </w:tc>
        <w:tc>
          <w:tcPr>
            <w:tcW w:w="1180" w:type="dxa"/>
            <w:tcBorders>
              <w:top w:val="nil"/>
              <w:bottom w:val="nil"/>
            </w:tcBorders>
            <w:noWrap/>
            <w:hideMark/>
          </w:tcPr>
          <w:p w14:paraId="1231B51A"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1.5</w:t>
            </w:r>
          </w:p>
        </w:tc>
        <w:tc>
          <w:tcPr>
            <w:tcW w:w="1180" w:type="dxa"/>
            <w:tcBorders>
              <w:top w:val="nil"/>
              <w:bottom w:val="nil"/>
            </w:tcBorders>
            <w:noWrap/>
            <w:hideMark/>
          </w:tcPr>
          <w:p w14:paraId="17FD6803"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0.3</w:t>
            </w:r>
          </w:p>
        </w:tc>
      </w:tr>
      <w:tr w:rsidR="00871EF2" w:rsidRPr="002F35D6" w14:paraId="0AC5FD89" w14:textId="77777777" w:rsidTr="004B37D4">
        <w:trPr>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65ED269D" w14:textId="5ABB98F9"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Taxes on property</w:t>
            </w:r>
          </w:p>
        </w:tc>
        <w:tc>
          <w:tcPr>
            <w:tcW w:w="1560" w:type="dxa"/>
            <w:tcBorders>
              <w:top w:val="nil"/>
              <w:bottom w:val="nil"/>
            </w:tcBorders>
            <w:noWrap/>
            <w:hideMark/>
          </w:tcPr>
          <w:p w14:paraId="55EF4367"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5,99</w:t>
            </w:r>
            <w:r>
              <w:rPr>
                <w:rFonts w:asciiTheme="majorHAnsi" w:eastAsia="Times New Roman" w:hAnsiTheme="majorHAnsi" w:cstheme="majorHAnsi"/>
                <w:color w:val="000000"/>
                <w:sz w:val="18"/>
                <w:szCs w:val="18"/>
              </w:rPr>
              <w:t>5</w:t>
            </w:r>
          </w:p>
        </w:tc>
        <w:tc>
          <w:tcPr>
            <w:tcW w:w="1180" w:type="dxa"/>
            <w:tcBorders>
              <w:top w:val="nil"/>
              <w:bottom w:val="nil"/>
            </w:tcBorders>
            <w:noWrap/>
            <w:hideMark/>
          </w:tcPr>
          <w:p w14:paraId="56F9B59C"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7.1</w:t>
            </w:r>
          </w:p>
        </w:tc>
        <w:tc>
          <w:tcPr>
            <w:tcW w:w="1180" w:type="dxa"/>
            <w:tcBorders>
              <w:top w:val="nil"/>
              <w:bottom w:val="nil"/>
            </w:tcBorders>
            <w:noWrap/>
            <w:hideMark/>
          </w:tcPr>
          <w:p w14:paraId="44B910CA"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1.3</w:t>
            </w:r>
          </w:p>
        </w:tc>
      </w:tr>
      <w:tr w:rsidR="00871EF2" w:rsidRPr="002F35D6" w14:paraId="4852340E"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689C36AD" w14:textId="12BC7309"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Value added tax</w:t>
            </w:r>
          </w:p>
        </w:tc>
        <w:tc>
          <w:tcPr>
            <w:tcW w:w="1560" w:type="dxa"/>
            <w:tcBorders>
              <w:top w:val="nil"/>
              <w:bottom w:val="nil"/>
            </w:tcBorders>
            <w:noWrap/>
            <w:hideMark/>
          </w:tcPr>
          <w:p w14:paraId="4BEA76BE"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30,231</w:t>
            </w:r>
          </w:p>
        </w:tc>
        <w:tc>
          <w:tcPr>
            <w:tcW w:w="1180" w:type="dxa"/>
            <w:tcBorders>
              <w:top w:val="nil"/>
              <w:bottom w:val="nil"/>
            </w:tcBorders>
            <w:noWrap/>
            <w:hideMark/>
          </w:tcPr>
          <w:p w14:paraId="7CDA4670"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35.9</w:t>
            </w:r>
          </w:p>
        </w:tc>
        <w:tc>
          <w:tcPr>
            <w:tcW w:w="1180" w:type="dxa"/>
            <w:tcBorders>
              <w:top w:val="nil"/>
              <w:bottom w:val="nil"/>
            </w:tcBorders>
            <w:noWrap/>
            <w:hideMark/>
          </w:tcPr>
          <w:p w14:paraId="5CCD3AB6"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6.6</w:t>
            </w:r>
          </w:p>
        </w:tc>
      </w:tr>
      <w:tr w:rsidR="00871EF2" w:rsidRPr="002F35D6" w14:paraId="42D97247" w14:textId="77777777" w:rsidTr="004B37D4">
        <w:trPr>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14A3D20F" w14:textId="29817135"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Taxes on specific goods (excise duties and environment taxes)</w:t>
            </w:r>
          </w:p>
        </w:tc>
        <w:tc>
          <w:tcPr>
            <w:tcW w:w="1560" w:type="dxa"/>
            <w:tcBorders>
              <w:top w:val="nil"/>
              <w:bottom w:val="nil"/>
            </w:tcBorders>
            <w:noWrap/>
            <w:hideMark/>
          </w:tcPr>
          <w:p w14:paraId="6BBE3C2C"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17,27</w:t>
            </w:r>
            <w:r>
              <w:rPr>
                <w:rFonts w:asciiTheme="majorHAnsi" w:eastAsia="Times New Roman" w:hAnsiTheme="majorHAnsi" w:cstheme="majorHAnsi"/>
                <w:color w:val="000000"/>
                <w:sz w:val="18"/>
                <w:szCs w:val="18"/>
              </w:rPr>
              <w:t>7</w:t>
            </w:r>
          </w:p>
        </w:tc>
        <w:tc>
          <w:tcPr>
            <w:tcW w:w="1180" w:type="dxa"/>
            <w:tcBorders>
              <w:top w:val="nil"/>
              <w:bottom w:val="nil"/>
            </w:tcBorders>
            <w:noWrap/>
            <w:hideMark/>
          </w:tcPr>
          <w:p w14:paraId="7C17630F"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20.5</w:t>
            </w:r>
          </w:p>
        </w:tc>
        <w:tc>
          <w:tcPr>
            <w:tcW w:w="1180" w:type="dxa"/>
            <w:tcBorders>
              <w:top w:val="nil"/>
              <w:bottom w:val="nil"/>
            </w:tcBorders>
            <w:noWrap/>
            <w:hideMark/>
          </w:tcPr>
          <w:p w14:paraId="2840390D"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3.8</w:t>
            </w:r>
          </w:p>
        </w:tc>
      </w:tr>
      <w:tr w:rsidR="00871EF2" w:rsidRPr="002F35D6" w14:paraId="6A416204"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2B01DD5E" w14:textId="79C13113"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Taxes on specific services and gambling</w:t>
            </w:r>
          </w:p>
        </w:tc>
        <w:tc>
          <w:tcPr>
            <w:tcW w:w="1560" w:type="dxa"/>
            <w:tcBorders>
              <w:top w:val="nil"/>
              <w:bottom w:val="nil"/>
            </w:tcBorders>
            <w:noWrap/>
            <w:hideMark/>
          </w:tcPr>
          <w:p w14:paraId="0196353F"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3,54</w:t>
            </w:r>
            <w:r>
              <w:rPr>
                <w:rFonts w:asciiTheme="majorHAnsi" w:eastAsia="Times New Roman" w:hAnsiTheme="majorHAnsi" w:cstheme="majorHAnsi"/>
                <w:color w:val="000000"/>
                <w:sz w:val="18"/>
                <w:szCs w:val="18"/>
              </w:rPr>
              <w:t>3</w:t>
            </w:r>
          </w:p>
        </w:tc>
        <w:tc>
          <w:tcPr>
            <w:tcW w:w="1180" w:type="dxa"/>
            <w:tcBorders>
              <w:top w:val="nil"/>
              <w:bottom w:val="nil"/>
            </w:tcBorders>
            <w:noWrap/>
            <w:hideMark/>
          </w:tcPr>
          <w:p w14:paraId="7A855A0C"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4.2</w:t>
            </w:r>
          </w:p>
        </w:tc>
        <w:tc>
          <w:tcPr>
            <w:tcW w:w="1180" w:type="dxa"/>
            <w:tcBorders>
              <w:top w:val="nil"/>
              <w:bottom w:val="nil"/>
            </w:tcBorders>
            <w:noWrap/>
            <w:hideMark/>
          </w:tcPr>
          <w:p w14:paraId="68DC65FC"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0.8</w:t>
            </w:r>
          </w:p>
        </w:tc>
      </w:tr>
      <w:tr w:rsidR="00871EF2" w:rsidRPr="002F35D6" w14:paraId="3454B425" w14:textId="77777777" w:rsidTr="004B37D4">
        <w:trPr>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695A1BC0" w14:textId="118F1AE0"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License fees</w:t>
            </w:r>
          </w:p>
        </w:tc>
        <w:tc>
          <w:tcPr>
            <w:tcW w:w="1560" w:type="dxa"/>
            <w:tcBorders>
              <w:top w:val="nil"/>
              <w:bottom w:val="nil"/>
            </w:tcBorders>
            <w:noWrap/>
            <w:hideMark/>
          </w:tcPr>
          <w:p w14:paraId="40E78EF5"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2,524</w:t>
            </w:r>
          </w:p>
        </w:tc>
        <w:tc>
          <w:tcPr>
            <w:tcW w:w="1180" w:type="dxa"/>
            <w:tcBorders>
              <w:top w:val="nil"/>
              <w:bottom w:val="nil"/>
            </w:tcBorders>
            <w:noWrap/>
            <w:hideMark/>
          </w:tcPr>
          <w:p w14:paraId="0E6430A9"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3.0</w:t>
            </w:r>
          </w:p>
        </w:tc>
        <w:tc>
          <w:tcPr>
            <w:tcW w:w="1180" w:type="dxa"/>
            <w:tcBorders>
              <w:top w:val="nil"/>
              <w:bottom w:val="nil"/>
            </w:tcBorders>
            <w:noWrap/>
            <w:hideMark/>
          </w:tcPr>
          <w:p w14:paraId="34AB8D33"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0.6</w:t>
            </w:r>
          </w:p>
        </w:tc>
      </w:tr>
      <w:tr w:rsidR="00871EF2" w:rsidRPr="002F35D6" w14:paraId="5D29820D"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nil"/>
            </w:tcBorders>
            <w:noWrap/>
            <w:hideMark/>
          </w:tcPr>
          <w:p w14:paraId="308FC862" w14:textId="2C06A7A2"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Taxes</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on</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international</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trade</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and</w:t>
            </w:r>
            <w:r w:rsidR="007B7F54">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transactions</w:t>
            </w:r>
          </w:p>
        </w:tc>
        <w:tc>
          <w:tcPr>
            <w:tcW w:w="1560" w:type="dxa"/>
            <w:tcBorders>
              <w:top w:val="nil"/>
              <w:bottom w:val="nil"/>
            </w:tcBorders>
            <w:noWrap/>
            <w:hideMark/>
          </w:tcPr>
          <w:p w14:paraId="17072262"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1,17</w:t>
            </w:r>
            <w:r>
              <w:rPr>
                <w:rFonts w:asciiTheme="majorHAnsi" w:eastAsia="Times New Roman" w:hAnsiTheme="majorHAnsi" w:cstheme="majorHAnsi"/>
                <w:color w:val="000000"/>
                <w:sz w:val="18"/>
                <w:szCs w:val="18"/>
              </w:rPr>
              <w:t>7</w:t>
            </w:r>
          </w:p>
        </w:tc>
        <w:tc>
          <w:tcPr>
            <w:tcW w:w="1180" w:type="dxa"/>
            <w:tcBorders>
              <w:top w:val="nil"/>
              <w:bottom w:val="nil"/>
            </w:tcBorders>
            <w:noWrap/>
            <w:hideMark/>
          </w:tcPr>
          <w:p w14:paraId="07BEC7B9"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1.4</w:t>
            </w:r>
          </w:p>
        </w:tc>
        <w:tc>
          <w:tcPr>
            <w:tcW w:w="1180" w:type="dxa"/>
            <w:tcBorders>
              <w:top w:val="nil"/>
              <w:bottom w:val="nil"/>
            </w:tcBorders>
            <w:noWrap/>
            <w:hideMark/>
          </w:tcPr>
          <w:p w14:paraId="3D00A793" w14:textId="77777777" w:rsidR="00871EF2" w:rsidRPr="002F35D6" w:rsidRDefault="00871EF2" w:rsidP="004B37D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0.3</w:t>
            </w:r>
          </w:p>
        </w:tc>
      </w:tr>
      <w:tr w:rsidR="00871EF2" w:rsidRPr="002F35D6" w14:paraId="39A0C721" w14:textId="77777777" w:rsidTr="004B37D4">
        <w:trPr>
          <w:trHeight w:val="240"/>
        </w:trPr>
        <w:tc>
          <w:tcPr>
            <w:cnfStyle w:val="001000000000" w:firstRow="0" w:lastRow="0" w:firstColumn="1" w:lastColumn="0" w:oddVBand="0" w:evenVBand="0" w:oddHBand="0" w:evenHBand="0" w:firstRowFirstColumn="0" w:firstRowLastColumn="0" w:lastRowFirstColumn="0" w:lastRowLastColumn="0"/>
            <w:tcW w:w="5400" w:type="dxa"/>
            <w:tcBorders>
              <w:top w:val="nil"/>
              <w:bottom w:val="single" w:sz="4" w:space="0" w:color="auto"/>
            </w:tcBorders>
            <w:noWrap/>
            <w:hideMark/>
          </w:tcPr>
          <w:p w14:paraId="1C6F09C9" w14:textId="1659B5BD" w:rsidR="00871EF2" w:rsidRPr="00727D48" w:rsidRDefault="00E07F88" w:rsidP="004B37D4">
            <w:pPr>
              <w:jc w:val="left"/>
              <w:rPr>
                <w:rFonts w:asciiTheme="majorHAnsi" w:eastAsia="Times New Roman" w:hAnsiTheme="majorHAnsi" w:cstheme="majorHAnsi"/>
                <w:b w:val="0"/>
                <w:color w:val="000000"/>
                <w:sz w:val="18"/>
                <w:szCs w:val="18"/>
              </w:rPr>
            </w:pPr>
            <w:r w:rsidRPr="00BA0ED3">
              <w:rPr>
                <w:rFonts w:asciiTheme="majorHAnsi" w:eastAsia="Times New Roman" w:hAnsiTheme="majorHAnsi" w:cstheme="majorHAnsi"/>
                <w:color w:val="000000"/>
                <w:sz w:val="18"/>
                <w:szCs w:val="18"/>
              </w:rPr>
              <w:t>Other</w:t>
            </w:r>
            <w:r w:rsidR="00D44DA8">
              <w:rPr>
                <w:rFonts w:asciiTheme="majorHAnsi" w:eastAsia="Times New Roman" w:hAnsiTheme="majorHAnsi" w:cstheme="majorHAnsi"/>
                <w:b w:val="0"/>
                <w:color w:val="000000"/>
                <w:sz w:val="18"/>
                <w:szCs w:val="18"/>
              </w:rPr>
              <w:t xml:space="preserve"> </w:t>
            </w:r>
            <w:r w:rsidRPr="00BA0ED3">
              <w:rPr>
                <w:rFonts w:asciiTheme="majorHAnsi" w:eastAsia="Times New Roman" w:hAnsiTheme="majorHAnsi" w:cstheme="majorHAnsi"/>
                <w:color w:val="000000"/>
                <w:sz w:val="18"/>
                <w:szCs w:val="18"/>
              </w:rPr>
              <w:t>taxes</w:t>
            </w:r>
          </w:p>
        </w:tc>
        <w:tc>
          <w:tcPr>
            <w:tcW w:w="1560" w:type="dxa"/>
            <w:tcBorders>
              <w:top w:val="nil"/>
              <w:bottom w:val="single" w:sz="4" w:space="0" w:color="auto"/>
            </w:tcBorders>
            <w:noWrap/>
            <w:hideMark/>
          </w:tcPr>
          <w:p w14:paraId="6AD72E6C"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1,62</w:t>
            </w:r>
            <w:r>
              <w:rPr>
                <w:rFonts w:asciiTheme="majorHAnsi" w:eastAsia="Times New Roman" w:hAnsiTheme="majorHAnsi" w:cstheme="majorHAnsi"/>
                <w:color w:val="000000"/>
                <w:sz w:val="18"/>
                <w:szCs w:val="18"/>
              </w:rPr>
              <w:t>3</w:t>
            </w:r>
          </w:p>
        </w:tc>
        <w:tc>
          <w:tcPr>
            <w:tcW w:w="1180" w:type="dxa"/>
            <w:tcBorders>
              <w:top w:val="nil"/>
              <w:bottom w:val="single" w:sz="4" w:space="0" w:color="auto"/>
            </w:tcBorders>
            <w:noWrap/>
            <w:hideMark/>
          </w:tcPr>
          <w:p w14:paraId="5C1CCD3C"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1.9</w:t>
            </w:r>
          </w:p>
        </w:tc>
        <w:tc>
          <w:tcPr>
            <w:tcW w:w="1180" w:type="dxa"/>
            <w:tcBorders>
              <w:top w:val="nil"/>
              <w:bottom w:val="single" w:sz="4" w:space="0" w:color="auto"/>
            </w:tcBorders>
            <w:noWrap/>
            <w:hideMark/>
          </w:tcPr>
          <w:p w14:paraId="57FA5521" w14:textId="77777777" w:rsidR="00871EF2" w:rsidRPr="002F35D6" w:rsidRDefault="00871EF2" w:rsidP="004B37D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F35D6">
              <w:rPr>
                <w:rFonts w:asciiTheme="majorHAnsi" w:eastAsia="Times New Roman" w:hAnsiTheme="majorHAnsi" w:cstheme="majorHAnsi"/>
                <w:color w:val="000000"/>
                <w:sz w:val="18"/>
                <w:szCs w:val="18"/>
              </w:rPr>
              <w:t>0.4</w:t>
            </w:r>
          </w:p>
        </w:tc>
      </w:tr>
      <w:tr w:rsidR="00871EF2" w:rsidRPr="002F35D6" w14:paraId="7D4BF2F2" w14:textId="77777777" w:rsidTr="004B37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320" w:type="dxa"/>
            <w:gridSpan w:val="4"/>
            <w:tcBorders>
              <w:top w:val="single" w:sz="4" w:space="0" w:color="auto"/>
              <w:bottom w:val="nil"/>
            </w:tcBorders>
            <w:noWrap/>
            <w:hideMark/>
          </w:tcPr>
          <w:p w14:paraId="6804054B" w14:textId="652EF5E1" w:rsidR="00871EF2" w:rsidRPr="002F35D6" w:rsidRDefault="00871EF2" w:rsidP="004B37D4">
            <w:pPr>
              <w:jc w:val="left"/>
              <w:rPr>
                <w:rFonts w:asciiTheme="majorHAnsi" w:eastAsia="Times New Roman" w:hAnsiTheme="majorHAnsi" w:cstheme="majorHAnsi"/>
                <w:b w:val="0"/>
                <w:color w:val="000000"/>
                <w:sz w:val="18"/>
                <w:szCs w:val="18"/>
              </w:rPr>
            </w:pPr>
            <w:r w:rsidRPr="002F35D6">
              <w:rPr>
                <w:rFonts w:asciiTheme="majorHAnsi" w:eastAsia="Times New Roman" w:hAnsiTheme="majorHAnsi" w:cstheme="majorHAnsi"/>
                <w:b w:val="0"/>
                <w:i/>
                <w:iCs/>
                <w:color w:val="000000"/>
                <w:sz w:val="18"/>
                <w:szCs w:val="18"/>
              </w:rPr>
              <w:t>Source:</w:t>
            </w:r>
            <w:r w:rsidRPr="002F35D6">
              <w:rPr>
                <w:rFonts w:asciiTheme="majorHAnsi" w:eastAsia="Times New Roman" w:hAnsiTheme="majorHAnsi" w:cstheme="majorHAnsi"/>
                <w:b w:val="0"/>
                <w:color w:val="000000"/>
                <w:sz w:val="18"/>
                <w:szCs w:val="18"/>
              </w:rPr>
              <w:t xml:space="preserve"> Based on data of the Ministry of Financ</w:t>
            </w:r>
            <w:r>
              <w:rPr>
                <w:rFonts w:asciiTheme="majorHAnsi" w:eastAsia="Times New Roman" w:hAnsiTheme="majorHAnsi" w:cstheme="majorHAnsi"/>
                <w:b w:val="0"/>
                <w:color w:val="000000"/>
                <w:sz w:val="18"/>
                <w:szCs w:val="18"/>
              </w:rPr>
              <w:t>e</w:t>
            </w:r>
            <w:r w:rsidRPr="002F35D6">
              <w:rPr>
                <w:rFonts w:asciiTheme="majorHAnsi" w:eastAsia="Times New Roman" w:hAnsiTheme="majorHAnsi" w:cstheme="majorHAnsi"/>
                <w:b w:val="0"/>
                <w:color w:val="000000"/>
                <w:sz w:val="18"/>
                <w:szCs w:val="18"/>
              </w:rPr>
              <w:t xml:space="preserve"> and Economic Development</w:t>
            </w:r>
            <w:r w:rsidR="007B7F54">
              <w:rPr>
                <w:rFonts w:asciiTheme="majorHAnsi" w:eastAsia="Times New Roman" w:hAnsiTheme="majorHAnsi" w:cstheme="majorHAnsi"/>
                <w:b w:val="0"/>
                <w:color w:val="000000"/>
                <w:sz w:val="18"/>
                <w:szCs w:val="18"/>
              </w:rPr>
              <w:t>,</w:t>
            </w:r>
            <w:r w:rsidRPr="002F35D6">
              <w:rPr>
                <w:rFonts w:asciiTheme="majorHAnsi" w:eastAsia="Times New Roman" w:hAnsiTheme="majorHAnsi" w:cstheme="majorHAnsi"/>
                <w:b w:val="0"/>
                <w:color w:val="000000"/>
                <w:sz w:val="18"/>
                <w:szCs w:val="18"/>
              </w:rPr>
              <w:t xml:space="preserve"> National Accounts, </w:t>
            </w:r>
            <w:r w:rsidR="007B7F54">
              <w:rPr>
                <w:rFonts w:asciiTheme="majorHAnsi" w:eastAsia="Times New Roman" w:hAnsiTheme="majorHAnsi" w:cstheme="majorHAnsi"/>
                <w:b w:val="0"/>
                <w:color w:val="000000"/>
                <w:sz w:val="18"/>
                <w:szCs w:val="18"/>
              </w:rPr>
              <w:t xml:space="preserve">and </w:t>
            </w:r>
            <w:r w:rsidRPr="002F35D6">
              <w:rPr>
                <w:rFonts w:asciiTheme="majorHAnsi" w:eastAsia="Times New Roman" w:hAnsiTheme="majorHAnsi" w:cstheme="majorHAnsi"/>
                <w:b w:val="0"/>
                <w:color w:val="000000"/>
                <w:sz w:val="18"/>
                <w:szCs w:val="18"/>
              </w:rPr>
              <w:t>Statistics Mauritius.</w:t>
            </w:r>
          </w:p>
        </w:tc>
      </w:tr>
    </w:tbl>
    <w:p w14:paraId="5B18E6E5" w14:textId="6710441E" w:rsidR="00871EF2" w:rsidRDefault="00871EF2" w:rsidP="00871EF2">
      <w:pPr>
        <w:pStyle w:val="ListNumber"/>
        <w:numPr>
          <w:ilvl w:val="0"/>
          <w:numId w:val="0"/>
        </w:numPr>
      </w:pPr>
    </w:p>
    <w:p w14:paraId="481A049A" w14:textId="042559F8" w:rsidR="002F35D6" w:rsidRDefault="00AD19DA" w:rsidP="002E6831">
      <w:r w:rsidRPr="001B0829">
        <w:rPr>
          <w:b/>
        </w:rPr>
        <w:t>Income tax from individuals</w:t>
      </w:r>
      <w:r w:rsidR="00E51F2D" w:rsidRPr="001B0829">
        <w:rPr>
          <w:b/>
        </w:rPr>
        <w:t xml:space="preserve"> and</w:t>
      </w:r>
      <w:r w:rsidRPr="001B0829">
        <w:rPr>
          <w:b/>
        </w:rPr>
        <w:t xml:space="preserve"> corporate tax</w:t>
      </w:r>
      <w:r w:rsidR="00E51F2D" w:rsidRPr="001B0829">
        <w:rPr>
          <w:b/>
        </w:rPr>
        <w:t xml:space="preserve"> together ac</w:t>
      </w:r>
      <w:r w:rsidRPr="001B0829">
        <w:rPr>
          <w:b/>
        </w:rPr>
        <w:t xml:space="preserve">count for about </w:t>
      </w:r>
      <w:r w:rsidR="00E51F2D" w:rsidRPr="001B0829">
        <w:rPr>
          <w:b/>
        </w:rPr>
        <w:t>24 percent</w:t>
      </w:r>
      <w:r w:rsidRPr="001B0829">
        <w:rPr>
          <w:b/>
        </w:rPr>
        <w:t xml:space="preserve"> of total tax collection. </w:t>
      </w:r>
      <w:r w:rsidRPr="006D0750">
        <w:t xml:space="preserve">In </w:t>
      </w:r>
      <w:r>
        <w:t>201</w:t>
      </w:r>
      <w:r w:rsidR="00E24080">
        <w:t>6</w:t>
      </w:r>
      <w:r>
        <w:t>/1</w:t>
      </w:r>
      <w:r w:rsidR="00E24080">
        <w:t>7</w:t>
      </w:r>
      <w:r w:rsidRPr="006D0750">
        <w:t xml:space="preserve">, </w:t>
      </w:r>
      <w:r w:rsidR="00FD208E">
        <w:t xml:space="preserve">58 percent of </w:t>
      </w:r>
      <w:r>
        <w:t xml:space="preserve">direct taxes </w:t>
      </w:r>
      <w:r w:rsidR="003B7632">
        <w:t xml:space="preserve">were </w:t>
      </w:r>
      <w:r w:rsidR="00FD208E">
        <w:t xml:space="preserve">derived from </w:t>
      </w:r>
      <w:r w:rsidR="004076A3">
        <w:t>corporate</w:t>
      </w:r>
      <w:r w:rsidR="00FD208E">
        <w:t xml:space="preserve"> taxation and 42 from </w:t>
      </w:r>
      <w:r w:rsidR="00805D33">
        <w:t>the PIT</w:t>
      </w:r>
      <w:r w:rsidR="00FD208E">
        <w:t xml:space="preserve">. </w:t>
      </w:r>
      <w:r w:rsidR="006C7638">
        <w:t>Direct taxes represent less than 5 percent of GDP</w:t>
      </w:r>
      <w:r w:rsidR="004076A3">
        <w:t xml:space="preserve">, </w:t>
      </w:r>
      <w:r w:rsidR="0038326A">
        <w:t>below the average of middle</w:t>
      </w:r>
      <w:r w:rsidR="003B7632">
        <w:t>-</w:t>
      </w:r>
      <w:r w:rsidR="0038326A">
        <w:t xml:space="preserve">income countries. In Mauritius, </w:t>
      </w:r>
      <w:r w:rsidR="005B40DA">
        <w:t xml:space="preserve">thanks to the system of </w:t>
      </w:r>
      <w:r w:rsidR="00BF308B">
        <w:t>exemption thresholds and de</w:t>
      </w:r>
      <w:r w:rsidR="00011E6E">
        <w:t>d</w:t>
      </w:r>
      <w:r w:rsidR="00BF308B">
        <w:t>u</w:t>
      </w:r>
      <w:r w:rsidR="00011E6E">
        <w:t>c</w:t>
      </w:r>
      <w:r w:rsidR="00BF308B">
        <w:t>tion allowances</w:t>
      </w:r>
      <w:r w:rsidR="003B7632">
        <w:t>,</w:t>
      </w:r>
      <w:r w:rsidR="00BF308B">
        <w:t xml:space="preserve"> only </w:t>
      </w:r>
      <w:r w:rsidR="00F57C1F">
        <w:t xml:space="preserve">about 175,000 </w:t>
      </w:r>
      <w:r w:rsidR="00E57B21">
        <w:t xml:space="preserve">of the working population of about 600,000 individuals </w:t>
      </w:r>
      <w:r w:rsidR="00F57C1F">
        <w:t>file a tax return</w:t>
      </w:r>
      <w:r w:rsidR="00E57B21">
        <w:t>,</w:t>
      </w:r>
      <w:r w:rsidR="00F57C1F">
        <w:t xml:space="preserve"> and about </w:t>
      </w:r>
      <w:r w:rsidR="00C56DDA">
        <w:t>103,</w:t>
      </w:r>
      <w:r w:rsidR="00F57C1F">
        <w:t>0</w:t>
      </w:r>
      <w:r w:rsidR="00C56DDA">
        <w:t xml:space="preserve">00 </w:t>
      </w:r>
      <w:r w:rsidR="00F57C1F">
        <w:t>have a positive taxable income</w:t>
      </w:r>
      <w:r w:rsidR="008823D7">
        <w:t xml:space="preserve">, </w:t>
      </w:r>
      <w:r w:rsidR="00805D33">
        <w:t xml:space="preserve">that is, </w:t>
      </w:r>
      <w:r w:rsidR="008823D7">
        <w:t xml:space="preserve">pay a </w:t>
      </w:r>
      <w:r w:rsidR="00805D33">
        <w:t>PIT</w:t>
      </w:r>
      <w:r w:rsidR="00C56DDA">
        <w:t>.</w:t>
      </w:r>
      <w:r w:rsidR="00424F79">
        <w:rPr>
          <w:rStyle w:val="FootnoteReference"/>
        </w:rPr>
        <w:footnoteReference w:id="7"/>
      </w:r>
      <w:r w:rsidR="00C56DDA">
        <w:t xml:space="preserve"> </w:t>
      </w:r>
      <w:r w:rsidR="0066162C">
        <w:t xml:space="preserve">The </w:t>
      </w:r>
      <w:r w:rsidR="0017636A">
        <w:t>analysis focuses on the major tax items, namely</w:t>
      </w:r>
      <w:r w:rsidR="00805D33">
        <w:t>,</w:t>
      </w:r>
      <w:r w:rsidR="0017636A">
        <w:t xml:space="preserve"> </w:t>
      </w:r>
      <w:r w:rsidR="00805D33">
        <w:t>the PIT</w:t>
      </w:r>
      <w:r w:rsidR="0017636A">
        <w:t xml:space="preserve">, </w:t>
      </w:r>
      <w:r w:rsidR="00E07F88">
        <w:t>the VAT</w:t>
      </w:r>
      <w:r w:rsidR="0017636A">
        <w:t>, and specific excise</w:t>
      </w:r>
      <w:r w:rsidR="002406CD">
        <w:t xml:space="preserve"> </w:t>
      </w:r>
      <w:r w:rsidR="0017636A">
        <w:t>duties on alcohol</w:t>
      </w:r>
      <w:r w:rsidR="008805AE">
        <w:t>,</w:t>
      </w:r>
      <w:r w:rsidR="0017636A">
        <w:t xml:space="preserve"> tobacco</w:t>
      </w:r>
      <w:r w:rsidR="008805AE">
        <w:t>, and fuel</w:t>
      </w:r>
      <w:r w:rsidR="0017636A">
        <w:t>. Corporate taxes are not included given the difficulty of attributing</w:t>
      </w:r>
      <w:r w:rsidR="002406CD">
        <w:t xml:space="preserve"> </w:t>
      </w:r>
      <w:r w:rsidR="0017636A">
        <w:t>the tax burden to specific households.</w:t>
      </w:r>
    </w:p>
    <w:tbl>
      <w:tblPr>
        <w:tblW w:w="9360" w:type="dxa"/>
        <w:tblLayout w:type="fixed"/>
        <w:tblCellMar>
          <w:left w:w="0" w:type="dxa"/>
          <w:right w:w="0" w:type="dxa"/>
        </w:tblCellMar>
        <w:tblLook w:val="04A0" w:firstRow="1" w:lastRow="0" w:firstColumn="1" w:lastColumn="0" w:noHBand="0" w:noVBand="1"/>
      </w:tblPr>
      <w:tblGrid>
        <w:gridCol w:w="9360"/>
      </w:tblGrid>
      <w:tr w:rsidR="00D95A1C" w:rsidRPr="00661FAA" w14:paraId="0CC3E491" w14:textId="77777777" w:rsidTr="004B37D4">
        <w:tc>
          <w:tcPr>
            <w:tcW w:w="9360" w:type="dxa"/>
          </w:tcPr>
          <w:p w14:paraId="5672CA33" w14:textId="57CFD090" w:rsidR="00D95A1C" w:rsidRPr="002247F4" w:rsidRDefault="00D95A1C" w:rsidP="004B37D4">
            <w:pPr>
              <w:rPr>
                <w:rFonts w:cs="Times New Roman"/>
                <w:sz w:val="18"/>
                <w:szCs w:val="18"/>
              </w:rPr>
            </w:pPr>
            <w:bookmarkStart w:id="39" w:name="_Ref513129755"/>
            <w:bookmarkStart w:id="40" w:name="_Toc4141933"/>
            <w:bookmarkStart w:id="41" w:name="_Toc11255064"/>
            <w:r w:rsidRPr="00661FAA">
              <w:rPr>
                <w:rFonts w:cs="Times New Roman"/>
                <w:b/>
                <w:sz w:val="18"/>
                <w:szCs w:val="18"/>
              </w:rPr>
              <w:t xml:space="preserve">Figure </w:t>
            </w:r>
            <w:r>
              <w:rPr>
                <w:rFonts w:cs="Times New Roman"/>
                <w:b/>
                <w:sz w:val="18"/>
                <w:szCs w:val="18"/>
              </w:rPr>
              <w:fldChar w:fldCharType="begin"/>
            </w:r>
            <w:r>
              <w:rPr>
                <w:rFonts w:cs="Times New Roman"/>
                <w:b/>
                <w:sz w:val="18"/>
                <w:szCs w:val="18"/>
              </w:rPr>
              <w:instrText xml:space="preserve"> STYLEREF 1 \s </w:instrText>
            </w:r>
            <w:r>
              <w:rPr>
                <w:rFonts w:cs="Times New Roman"/>
                <w:b/>
                <w:sz w:val="18"/>
                <w:szCs w:val="18"/>
              </w:rPr>
              <w:fldChar w:fldCharType="separate"/>
            </w:r>
            <w:r w:rsidR="00C37C80">
              <w:rPr>
                <w:rFonts w:cs="Times New Roman"/>
                <w:b/>
                <w:noProof/>
                <w:sz w:val="18"/>
                <w:szCs w:val="18"/>
              </w:rPr>
              <w:t>3</w:t>
            </w:r>
            <w:r>
              <w:rPr>
                <w:rFonts w:cs="Times New Roman"/>
                <w:b/>
                <w:sz w:val="18"/>
                <w:szCs w:val="18"/>
              </w:rPr>
              <w:fldChar w:fldCharType="end"/>
            </w:r>
            <w:r>
              <w:rPr>
                <w:rFonts w:cs="Times New Roman"/>
                <w:b/>
                <w:sz w:val="18"/>
                <w:szCs w:val="18"/>
              </w:rPr>
              <w:t>.</w:t>
            </w:r>
            <w:r>
              <w:rPr>
                <w:rFonts w:cs="Times New Roman"/>
                <w:b/>
                <w:sz w:val="18"/>
                <w:szCs w:val="18"/>
              </w:rPr>
              <w:fldChar w:fldCharType="begin"/>
            </w:r>
            <w:r>
              <w:rPr>
                <w:rFonts w:cs="Times New Roman"/>
                <w:b/>
                <w:sz w:val="18"/>
                <w:szCs w:val="18"/>
              </w:rPr>
              <w:instrText xml:space="preserve"> SEQ Figure \* ARABIC \s 1 </w:instrText>
            </w:r>
            <w:r>
              <w:rPr>
                <w:rFonts w:cs="Times New Roman"/>
                <w:b/>
                <w:sz w:val="18"/>
                <w:szCs w:val="18"/>
              </w:rPr>
              <w:fldChar w:fldCharType="separate"/>
            </w:r>
            <w:r w:rsidR="00C37C80">
              <w:rPr>
                <w:rFonts w:cs="Times New Roman"/>
                <w:b/>
                <w:noProof/>
                <w:sz w:val="18"/>
                <w:szCs w:val="18"/>
              </w:rPr>
              <w:t>1</w:t>
            </w:r>
            <w:r>
              <w:rPr>
                <w:rFonts w:cs="Times New Roman"/>
                <w:b/>
                <w:sz w:val="18"/>
                <w:szCs w:val="18"/>
              </w:rPr>
              <w:fldChar w:fldCharType="end"/>
            </w:r>
            <w:bookmarkEnd w:id="39"/>
            <w:r w:rsidRPr="00661FAA">
              <w:rPr>
                <w:rFonts w:cs="Times New Roman"/>
                <w:b/>
                <w:sz w:val="18"/>
                <w:szCs w:val="18"/>
              </w:rPr>
              <w:t xml:space="preserve">. </w:t>
            </w:r>
            <w:bookmarkEnd w:id="40"/>
            <w:r>
              <w:rPr>
                <w:rFonts w:cs="Times New Roman"/>
                <w:b/>
                <w:sz w:val="18"/>
                <w:szCs w:val="18"/>
              </w:rPr>
              <w:t xml:space="preserve">Composition of </w:t>
            </w:r>
            <w:r w:rsidR="0018599A">
              <w:rPr>
                <w:rFonts w:cs="Times New Roman"/>
                <w:b/>
                <w:sz w:val="18"/>
                <w:szCs w:val="18"/>
              </w:rPr>
              <w:t>Tax Revenues, S</w:t>
            </w:r>
            <w:r w:rsidR="00374FFA">
              <w:rPr>
                <w:rFonts w:cs="Times New Roman"/>
                <w:b/>
                <w:sz w:val="18"/>
                <w:szCs w:val="18"/>
              </w:rPr>
              <w:t>hare of GDP</w:t>
            </w:r>
            <w:r w:rsidR="0018599A">
              <w:rPr>
                <w:rFonts w:cs="Times New Roman"/>
                <w:b/>
                <w:sz w:val="18"/>
                <w:szCs w:val="18"/>
              </w:rPr>
              <w:t>,</w:t>
            </w:r>
            <w:r w:rsidR="00374FFA">
              <w:rPr>
                <w:rFonts w:cs="Times New Roman"/>
                <w:b/>
                <w:sz w:val="18"/>
                <w:szCs w:val="18"/>
              </w:rPr>
              <w:t xml:space="preserve"> </w:t>
            </w:r>
            <w:r>
              <w:rPr>
                <w:rFonts w:cs="Times New Roman"/>
                <w:b/>
                <w:sz w:val="18"/>
                <w:szCs w:val="18"/>
              </w:rPr>
              <w:t xml:space="preserve">Mauritius and </w:t>
            </w:r>
            <w:r w:rsidR="0018599A">
              <w:rPr>
                <w:rFonts w:cs="Times New Roman"/>
                <w:b/>
                <w:sz w:val="18"/>
                <w:szCs w:val="18"/>
              </w:rPr>
              <w:t xml:space="preserve">Middle-Income Countries, Circa </w:t>
            </w:r>
            <w:r>
              <w:rPr>
                <w:rFonts w:cs="Times New Roman"/>
                <w:b/>
                <w:sz w:val="18"/>
                <w:szCs w:val="18"/>
              </w:rPr>
              <w:t>2017</w:t>
            </w:r>
            <w:bookmarkEnd w:id="41"/>
          </w:p>
        </w:tc>
      </w:tr>
      <w:tr w:rsidR="00D95A1C" w:rsidRPr="00661FAA" w14:paraId="53CE468E" w14:textId="77777777" w:rsidTr="004B37D4">
        <w:tblPrEx>
          <w:tblCellMar>
            <w:left w:w="108" w:type="dxa"/>
            <w:right w:w="108" w:type="dxa"/>
          </w:tblCellMar>
        </w:tblPrEx>
        <w:tc>
          <w:tcPr>
            <w:tcW w:w="9360" w:type="dxa"/>
          </w:tcPr>
          <w:p w14:paraId="52244094" w14:textId="212F6D0E" w:rsidR="00D95A1C" w:rsidRPr="00661FAA" w:rsidRDefault="00615B4B" w:rsidP="004B37D4">
            <w:pPr>
              <w:spacing w:after="120"/>
              <w:rPr>
                <w:rFonts w:cs="Times New Roman"/>
                <w:sz w:val="16"/>
                <w:szCs w:val="16"/>
              </w:rPr>
            </w:pPr>
            <w:r>
              <w:rPr>
                <w:rFonts w:cs="Times New Roman"/>
                <w:noProof/>
                <w:sz w:val="16"/>
                <w:szCs w:val="16"/>
              </w:rPr>
              <w:drawing>
                <wp:inline distT="0" distB="0" distL="0" distR="0" wp14:anchorId="33778854" wp14:editId="4F7C5E8A">
                  <wp:extent cx="4416552" cy="3218688"/>
                  <wp:effectExtent l="0" t="0" r="3175" b="1270"/>
                  <wp:docPr id="2" name="Picture 2" descr="A picture containing writing implement, stationar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ountry_tax.png"/>
                          <pic:cNvPicPr/>
                        </pic:nvPicPr>
                        <pic:blipFill>
                          <a:blip r:embed="rId10">
                            <a:extLst>
                              <a:ext uri="{28A0092B-C50C-407E-A947-70E740481C1C}">
                                <a14:useLocalDpi xmlns:a14="http://schemas.microsoft.com/office/drawing/2010/main" val="0"/>
                              </a:ext>
                            </a:extLst>
                          </a:blip>
                          <a:stretch>
                            <a:fillRect/>
                          </a:stretch>
                        </pic:blipFill>
                        <pic:spPr>
                          <a:xfrm>
                            <a:off x="0" y="0"/>
                            <a:ext cx="4416552" cy="3218688"/>
                          </a:xfrm>
                          <a:prstGeom prst="rect">
                            <a:avLst/>
                          </a:prstGeom>
                        </pic:spPr>
                      </pic:pic>
                    </a:graphicData>
                  </a:graphic>
                </wp:inline>
              </w:drawing>
            </w:r>
          </w:p>
        </w:tc>
      </w:tr>
      <w:tr w:rsidR="00D95A1C" w:rsidRPr="00661FAA" w14:paraId="59736A1A" w14:textId="77777777" w:rsidTr="004B37D4">
        <w:trPr>
          <w:trHeight w:val="189"/>
        </w:trPr>
        <w:tc>
          <w:tcPr>
            <w:tcW w:w="9360" w:type="dxa"/>
          </w:tcPr>
          <w:p w14:paraId="2B7598CB" w14:textId="4E199F05" w:rsidR="0022687C" w:rsidRPr="00661FAA" w:rsidRDefault="00D95A1C" w:rsidP="004B37D4">
            <w:pPr>
              <w:widowControl w:val="0"/>
              <w:contextualSpacing/>
              <w:rPr>
                <w:rFonts w:cs="Times New Roman"/>
                <w:sz w:val="18"/>
                <w:szCs w:val="18"/>
              </w:rPr>
            </w:pPr>
            <w:r w:rsidRPr="00661FAA">
              <w:rPr>
                <w:rFonts w:cs="Times New Roman"/>
                <w:i/>
                <w:sz w:val="18"/>
                <w:szCs w:val="18"/>
              </w:rPr>
              <w:t>Source:</w:t>
            </w:r>
            <w:r w:rsidRPr="00661FAA">
              <w:rPr>
                <w:rFonts w:cs="Times New Roman"/>
                <w:sz w:val="18"/>
                <w:szCs w:val="18"/>
              </w:rPr>
              <w:t xml:space="preserve"> Based on data of </w:t>
            </w:r>
            <w:r>
              <w:rPr>
                <w:rFonts w:cs="Times New Roman"/>
                <w:sz w:val="18"/>
                <w:szCs w:val="18"/>
              </w:rPr>
              <w:t>World Revenue Longitudinal Data</w:t>
            </w:r>
            <w:r w:rsidRPr="00661FAA">
              <w:rPr>
                <w:rFonts w:cs="Times New Roman"/>
                <w:sz w:val="18"/>
                <w:szCs w:val="18"/>
              </w:rPr>
              <w:t xml:space="preserve">, </w:t>
            </w:r>
            <w:r>
              <w:rPr>
                <w:rFonts w:cs="Times New Roman"/>
                <w:sz w:val="18"/>
                <w:szCs w:val="18"/>
              </w:rPr>
              <w:t>International Monetary Fund</w:t>
            </w:r>
            <w:r w:rsidRPr="00661FAA">
              <w:rPr>
                <w:rFonts w:cs="Times New Roman"/>
                <w:sz w:val="18"/>
                <w:szCs w:val="18"/>
              </w:rPr>
              <w:t>.</w:t>
            </w:r>
          </w:p>
        </w:tc>
      </w:tr>
    </w:tbl>
    <w:p w14:paraId="17F2BE14" w14:textId="77777777" w:rsidR="00D95A1C" w:rsidRDefault="00D95A1C" w:rsidP="002E6831"/>
    <w:p w14:paraId="5DEE0A70" w14:textId="60A55541" w:rsidR="00C959BF" w:rsidRDefault="001B574C" w:rsidP="002E6831">
      <w:r>
        <w:rPr>
          <w:b/>
        </w:rPr>
        <w:t>Social protection</w:t>
      </w:r>
      <w:r w:rsidR="002D4545" w:rsidRPr="00D428D0">
        <w:rPr>
          <w:b/>
        </w:rPr>
        <w:t xml:space="preserve"> expenditure accounts for </w:t>
      </w:r>
      <w:r w:rsidR="004F08EB">
        <w:rPr>
          <w:b/>
        </w:rPr>
        <w:t>23 percent</w:t>
      </w:r>
      <w:r w:rsidR="002D4545" w:rsidRPr="00D428D0">
        <w:rPr>
          <w:b/>
        </w:rPr>
        <w:t xml:space="preserve"> of total government expenditure</w:t>
      </w:r>
      <w:r w:rsidR="004F08EB">
        <w:rPr>
          <w:b/>
        </w:rPr>
        <w:t xml:space="preserve"> and 6 percent of GDP</w:t>
      </w:r>
      <w:r w:rsidR="002D4545" w:rsidRPr="00D428D0">
        <w:rPr>
          <w:b/>
        </w:rPr>
        <w:t xml:space="preserve">, </w:t>
      </w:r>
      <w:r w:rsidR="004F08EB">
        <w:rPr>
          <w:b/>
        </w:rPr>
        <w:t>followed by education</w:t>
      </w:r>
      <w:r w:rsidR="0018599A">
        <w:rPr>
          <w:b/>
        </w:rPr>
        <w:t>,</w:t>
      </w:r>
      <w:r w:rsidR="004F08EB">
        <w:rPr>
          <w:b/>
        </w:rPr>
        <w:t xml:space="preserve"> at 4 percent</w:t>
      </w:r>
      <w:r w:rsidR="0014642B">
        <w:rPr>
          <w:b/>
        </w:rPr>
        <w:t xml:space="preserve"> of GDP</w:t>
      </w:r>
      <w:r w:rsidR="002D4545" w:rsidRPr="00D428D0">
        <w:rPr>
          <w:b/>
        </w:rPr>
        <w:t>.</w:t>
      </w:r>
      <w:r w:rsidR="002D4545">
        <w:t xml:space="preserve"> </w:t>
      </w:r>
      <w:r w:rsidR="00225C8F">
        <w:t xml:space="preserve">In 2016/17, about </w:t>
      </w:r>
      <w:r w:rsidR="00C465B1">
        <w:t>MUR</w:t>
      </w:r>
      <w:r w:rsidR="00125294">
        <w:t xml:space="preserve"> 25</w:t>
      </w:r>
      <w:r w:rsidR="0018599A">
        <w:t>.</w:t>
      </w:r>
      <w:r w:rsidR="00125294">
        <w:t>6</w:t>
      </w:r>
      <w:r w:rsidR="0018599A">
        <w:t xml:space="preserve"> b</w:t>
      </w:r>
      <w:r w:rsidR="00125294">
        <w:t>illion w</w:t>
      </w:r>
      <w:r w:rsidR="0018599A">
        <w:t>as</w:t>
      </w:r>
      <w:r w:rsidR="00125294">
        <w:t xml:space="preserve"> devoted to the social protection system</w:t>
      </w:r>
      <w:r w:rsidR="0018599A">
        <w:t>, which</w:t>
      </w:r>
      <w:r w:rsidR="00125294">
        <w:t xml:space="preserve"> co</w:t>
      </w:r>
      <w:r w:rsidR="0018599A">
        <w:t xml:space="preserve">nsists </w:t>
      </w:r>
      <w:r w:rsidR="008B6CC3">
        <w:t xml:space="preserve">of </w:t>
      </w:r>
      <w:r w:rsidR="00125294">
        <w:t xml:space="preserve">a number of </w:t>
      </w:r>
      <w:r w:rsidR="00C1772C">
        <w:t>cash transfer programs</w:t>
      </w:r>
      <w:r w:rsidR="008B6CC3">
        <w:t>,</w:t>
      </w:r>
      <w:r w:rsidR="00C1772C">
        <w:t xml:space="preserve"> ranging from </w:t>
      </w:r>
      <w:r w:rsidR="00B51D8D">
        <w:t>non</w:t>
      </w:r>
      <w:r w:rsidR="004C6E0D">
        <w:t>–</w:t>
      </w:r>
      <w:r w:rsidR="00B51D8D">
        <w:t>mean</w:t>
      </w:r>
      <w:r w:rsidR="004C6E0D">
        <w:t>s-</w:t>
      </w:r>
      <w:r w:rsidR="00B51D8D">
        <w:t xml:space="preserve">tested pensions to targeted interventions such as Social Aid and the </w:t>
      </w:r>
      <w:r w:rsidR="004D4D35">
        <w:t>recently</w:t>
      </w:r>
      <w:r w:rsidR="00B51D8D">
        <w:t xml:space="preserve"> introduced </w:t>
      </w:r>
      <w:r w:rsidR="004D4D35">
        <w:t>Marshal</w:t>
      </w:r>
      <w:r w:rsidR="00B51D8D">
        <w:t xml:space="preserve"> Plan</w:t>
      </w:r>
      <w:r w:rsidR="008B6CC3">
        <w:t xml:space="preserve"> (Table 3.2)</w:t>
      </w:r>
      <w:r w:rsidR="00B51D8D">
        <w:t>.</w:t>
      </w:r>
      <w:r w:rsidR="00BE3D03">
        <w:t xml:space="preserve"> Education in Mauritius is universal and free at all grades. </w:t>
      </w:r>
      <w:r w:rsidR="00366673">
        <w:t>A</w:t>
      </w:r>
      <w:r w:rsidR="00BE3D03">
        <w:t>bout</w:t>
      </w:r>
      <w:r w:rsidR="00366673">
        <w:t xml:space="preserve"> 16 percent of total government </w:t>
      </w:r>
      <w:r w:rsidR="004D4D35">
        <w:t>expenditures</w:t>
      </w:r>
      <w:r w:rsidR="008E1251">
        <w:t xml:space="preserve"> a</w:t>
      </w:r>
      <w:r w:rsidR="00366673">
        <w:t xml:space="preserve">re devoted to the education system from </w:t>
      </w:r>
      <w:r w:rsidR="00C11058">
        <w:t>pre</w:t>
      </w:r>
      <w:r w:rsidR="00366673">
        <w:t xml:space="preserve">primary schools to </w:t>
      </w:r>
      <w:r w:rsidR="004D4D35">
        <w:t>universities</w:t>
      </w:r>
      <w:r w:rsidR="00366673">
        <w:t xml:space="preserve">. The </w:t>
      </w:r>
      <w:r w:rsidR="004D4D35">
        <w:t>expenditure</w:t>
      </w:r>
      <w:r w:rsidR="00366673">
        <w:t xml:space="preserve"> is </w:t>
      </w:r>
      <w:r w:rsidR="004D4D35">
        <w:t>skewed</w:t>
      </w:r>
      <w:r w:rsidR="00C959BF">
        <w:t xml:space="preserve"> toward primary and secondary schools</w:t>
      </w:r>
      <w:r w:rsidR="008B6CC3">
        <w:t>, which</w:t>
      </w:r>
      <w:r w:rsidR="00C959BF">
        <w:t xml:space="preserve"> make up </w:t>
      </w:r>
      <w:r w:rsidR="008A1082">
        <w:t>over 80</w:t>
      </w:r>
      <w:r w:rsidR="00C959BF">
        <w:t xml:space="preserve"> </w:t>
      </w:r>
      <w:r w:rsidR="006A6440">
        <w:t xml:space="preserve">percent </w:t>
      </w:r>
      <w:r w:rsidR="00C959BF">
        <w:t xml:space="preserve">of total education expenditure. </w:t>
      </w:r>
      <w:r w:rsidR="00BB65AE">
        <w:t>Compared with middle</w:t>
      </w:r>
      <w:r w:rsidR="008B6CC3">
        <w:t>-</w:t>
      </w:r>
      <w:r w:rsidR="00BB65AE">
        <w:t xml:space="preserve">income countries, </w:t>
      </w:r>
      <w:r w:rsidR="008B6CC3">
        <w:t xml:space="preserve">the </w:t>
      </w:r>
      <w:r w:rsidR="00505537">
        <w:t xml:space="preserve">expenditure </w:t>
      </w:r>
      <w:r w:rsidR="008B6CC3">
        <w:t>of</w:t>
      </w:r>
      <w:r w:rsidR="008B6CC3" w:rsidRPr="008B6CC3">
        <w:t xml:space="preserve"> </w:t>
      </w:r>
      <w:r w:rsidR="008B6CC3">
        <w:t xml:space="preserve">the government of Mauritius </w:t>
      </w:r>
      <w:r w:rsidR="00505537">
        <w:t xml:space="preserve">on education is only modestly below the average, whereas </w:t>
      </w:r>
      <w:r w:rsidR="00AA49F5">
        <w:t xml:space="preserve">the amount allocated to health </w:t>
      </w:r>
      <w:r w:rsidR="008B6CC3">
        <w:t xml:space="preserve">care </w:t>
      </w:r>
      <w:r w:rsidR="00AA49F5">
        <w:t xml:space="preserve">and social protection is substantially lower </w:t>
      </w:r>
      <w:r w:rsidR="008B6CC3">
        <w:t>a</w:t>
      </w:r>
      <w:r w:rsidR="00AA49F5">
        <w:t xml:space="preserve">s a share of GDP relative to </w:t>
      </w:r>
      <w:r w:rsidR="008B6CC3">
        <w:t xml:space="preserve">the </w:t>
      </w:r>
      <w:r w:rsidR="00AA49F5">
        <w:t>average of middle</w:t>
      </w:r>
      <w:r w:rsidR="008B6CC3">
        <w:t>-</w:t>
      </w:r>
      <w:r w:rsidR="00AA49F5">
        <w:t>income countries (</w:t>
      </w:r>
      <w:r w:rsidR="00AA49F5">
        <w:fldChar w:fldCharType="begin"/>
      </w:r>
      <w:r w:rsidR="00AA49F5">
        <w:instrText xml:space="preserve"> REF _Ref8756925 \h </w:instrText>
      </w:r>
      <w:r w:rsidR="00AA49F5">
        <w:fldChar w:fldCharType="separate"/>
      </w:r>
      <w:r w:rsidR="00C37C80" w:rsidRPr="002B0033">
        <w:rPr>
          <w:lang w:eastAsia="en-GB"/>
        </w:rPr>
        <w:t xml:space="preserve">Figure </w:t>
      </w:r>
      <w:r w:rsidR="00C37C80">
        <w:rPr>
          <w:noProof/>
          <w:lang w:eastAsia="en-GB"/>
        </w:rPr>
        <w:t>3</w:t>
      </w:r>
      <w:r w:rsidR="00C37C80">
        <w:rPr>
          <w:lang w:eastAsia="en-GB"/>
        </w:rPr>
        <w:t>.</w:t>
      </w:r>
      <w:r w:rsidR="00C37C80">
        <w:rPr>
          <w:noProof/>
          <w:lang w:eastAsia="en-GB"/>
        </w:rPr>
        <w:t>2</w:t>
      </w:r>
      <w:r w:rsidR="00AA49F5">
        <w:fldChar w:fldCharType="end"/>
      </w:r>
      <w:r w:rsidR="00AA49F5">
        <w:t>).</w:t>
      </w:r>
    </w:p>
    <w:p w14:paraId="41C496E0" w14:textId="2DDCD74F" w:rsidR="006A5101" w:rsidRDefault="006A5101" w:rsidP="002E6831"/>
    <w:p w14:paraId="0C3CB391" w14:textId="2DBAC469" w:rsidR="006A5101" w:rsidRDefault="006A5101" w:rsidP="002E6831"/>
    <w:p w14:paraId="710DCA48" w14:textId="77777777" w:rsidR="006A5101" w:rsidRDefault="006A5101" w:rsidP="002E6831"/>
    <w:tbl>
      <w:tblPr>
        <w:tblStyle w:val="PlainTable2"/>
        <w:tblW w:w="7520" w:type="dxa"/>
        <w:tblLook w:val="04A0" w:firstRow="1" w:lastRow="0" w:firstColumn="1" w:lastColumn="0" w:noHBand="0" w:noVBand="1"/>
      </w:tblPr>
      <w:tblGrid>
        <w:gridCol w:w="3600"/>
        <w:gridCol w:w="1560"/>
        <w:gridCol w:w="1180"/>
        <w:gridCol w:w="1180"/>
      </w:tblGrid>
      <w:tr w:rsidR="004D4D35" w:rsidRPr="00067767" w14:paraId="64E5CDDD" w14:textId="77777777" w:rsidTr="004D571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520" w:type="dxa"/>
            <w:gridSpan w:val="4"/>
            <w:tcBorders>
              <w:top w:val="nil"/>
              <w:bottom w:val="single" w:sz="4" w:space="0" w:color="auto"/>
            </w:tcBorders>
            <w:noWrap/>
          </w:tcPr>
          <w:p w14:paraId="26E61CA6" w14:textId="67F9DFFA" w:rsidR="004D4D35" w:rsidRPr="00067767" w:rsidRDefault="004D4D35" w:rsidP="004B37D4">
            <w:pPr>
              <w:jc w:val="left"/>
              <w:rPr>
                <w:rFonts w:eastAsia="Times New Roman" w:cs="Times New Roman"/>
                <w:color w:val="000000"/>
                <w:sz w:val="18"/>
                <w:szCs w:val="18"/>
              </w:rPr>
            </w:pPr>
            <w:bookmarkStart w:id="42" w:name="_Toc11255085"/>
            <w:r w:rsidRPr="001D1155">
              <w:rPr>
                <w:sz w:val="18"/>
                <w:szCs w:val="18"/>
              </w:rPr>
              <w:t xml:space="preserve">Table </w:t>
            </w:r>
            <w:r>
              <w:rPr>
                <w:sz w:val="18"/>
                <w:szCs w:val="18"/>
              </w:rPr>
              <w:fldChar w:fldCharType="begin"/>
            </w:r>
            <w:r>
              <w:rPr>
                <w:sz w:val="18"/>
                <w:szCs w:val="18"/>
              </w:rPr>
              <w:instrText xml:space="preserve"> STYLEREF 1 \s </w:instrText>
            </w:r>
            <w:r>
              <w:rPr>
                <w:sz w:val="18"/>
                <w:szCs w:val="18"/>
              </w:rPr>
              <w:fldChar w:fldCharType="separate"/>
            </w:r>
            <w:r w:rsidR="00C37C80">
              <w:rPr>
                <w:noProof/>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SEQ Table \* ARABIC \s 1 </w:instrText>
            </w:r>
            <w:r>
              <w:rPr>
                <w:sz w:val="18"/>
                <w:szCs w:val="18"/>
              </w:rPr>
              <w:fldChar w:fldCharType="separate"/>
            </w:r>
            <w:r w:rsidR="00C37C80">
              <w:rPr>
                <w:noProof/>
                <w:sz w:val="18"/>
                <w:szCs w:val="18"/>
              </w:rPr>
              <w:t>2</w:t>
            </w:r>
            <w:r>
              <w:rPr>
                <w:sz w:val="18"/>
                <w:szCs w:val="18"/>
              </w:rPr>
              <w:fldChar w:fldCharType="end"/>
            </w:r>
            <w:r w:rsidR="00C227C1">
              <w:rPr>
                <w:sz w:val="18"/>
                <w:szCs w:val="18"/>
              </w:rPr>
              <w:t>.</w:t>
            </w:r>
            <w:r w:rsidRPr="001D1155">
              <w:rPr>
                <w:sz w:val="18"/>
                <w:szCs w:val="18"/>
              </w:rPr>
              <w:t xml:space="preserve"> </w:t>
            </w:r>
            <w:r>
              <w:rPr>
                <w:sz w:val="18"/>
                <w:szCs w:val="18"/>
              </w:rPr>
              <w:t>General Government Spending</w:t>
            </w:r>
            <w:r w:rsidR="008B6CC3">
              <w:rPr>
                <w:sz w:val="18"/>
                <w:szCs w:val="18"/>
              </w:rPr>
              <w:t>,</w:t>
            </w:r>
            <w:r>
              <w:rPr>
                <w:sz w:val="18"/>
                <w:szCs w:val="18"/>
              </w:rPr>
              <w:t xml:space="preserve"> Mauritius, </w:t>
            </w:r>
            <w:r w:rsidR="00032B6F">
              <w:rPr>
                <w:sz w:val="18"/>
                <w:szCs w:val="18"/>
              </w:rPr>
              <w:t xml:space="preserve">Fiscal Year </w:t>
            </w:r>
            <w:r>
              <w:rPr>
                <w:sz w:val="18"/>
                <w:szCs w:val="18"/>
              </w:rPr>
              <w:t>20</w:t>
            </w:r>
            <w:r w:rsidR="00032B6F">
              <w:rPr>
                <w:sz w:val="18"/>
                <w:szCs w:val="18"/>
              </w:rPr>
              <w:t>16/</w:t>
            </w:r>
            <w:r>
              <w:rPr>
                <w:sz w:val="18"/>
                <w:szCs w:val="18"/>
              </w:rPr>
              <w:t>17</w:t>
            </w:r>
            <w:bookmarkEnd w:id="42"/>
          </w:p>
        </w:tc>
      </w:tr>
      <w:tr w:rsidR="004D4D35" w:rsidRPr="00067767" w14:paraId="4BEE8392" w14:textId="77777777" w:rsidTr="004D57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tcBorders>
            <w:noWrap/>
            <w:hideMark/>
          </w:tcPr>
          <w:p w14:paraId="5F179503" w14:textId="6ED6B8FB" w:rsidR="004D4D35" w:rsidRPr="00727D48" w:rsidRDefault="00032B6F" w:rsidP="004B37D4">
            <w:pPr>
              <w:jc w:val="left"/>
              <w:rPr>
                <w:rFonts w:eastAsia="Times New Roman" w:cs="Times New Roman"/>
                <w:b w:val="0"/>
                <w:i/>
                <w:color w:val="000000"/>
                <w:sz w:val="18"/>
                <w:szCs w:val="18"/>
              </w:rPr>
            </w:pPr>
            <w:r w:rsidRPr="00727D48">
              <w:rPr>
                <w:rFonts w:eastAsia="Times New Roman" w:cs="Times New Roman"/>
                <w:i/>
                <w:color w:val="000000"/>
                <w:sz w:val="18"/>
                <w:szCs w:val="18"/>
              </w:rPr>
              <w:t>Indicator</w:t>
            </w:r>
          </w:p>
        </w:tc>
        <w:tc>
          <w:tcPr>
            <w:tcW w:w="1560" w:type="dxa"/>
            <w:tcBorders>
              <w:top w:val="single" w:sz="4" w:space="0" w:color="auto"/>
            </w:tcBorders>
            <w:hideMark/>
          </w:tcPr>
          <w:p w14:paraId="26BC8C5A" w14:textId="3E836EF1" w:rsidR="004D4D35" w:rsidRPr="00727D48" w:rsidRDefault="00C465B1"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27D48">
              <w:rPr>
                <w:rFonts w:eastAsia="Times New Roman" w:cs="Times New Roman"/>
                <w:i/>
                <w:color w:val="000000"/>
                <w:sz w:val="18"/>
                <w:szCs w:val="18"/>
              </w:rPr>
              <w:t>MUR</w:t>
            </w:r>
            <w:r w:rsidR="004D4D35" w:rsidRPr="00727D48">
              <w:rPr>
                <w:rFonts w:eastAsia="Times New Roman" w:cs="Times New Roman"/>
                <w:i/>
                <w:color w:val="000000"/>
                <w:sz w:val="18"/>
                <w:szCs w:val="18"/>
              </w:rPr>
              <w:t>, millions</w:t>
            </w:r>
          </w:p>
        </w:tc>
        <w:tc>
          <w:tcPr>
            <w:tcW w:w="1180" w:type="dxa"/>
            <w:tcBorders>
              <w:top w:val="single" w:sz="4" w:space="0" w:color="auto"/>
            </w:tcBorders>
            <w:hideMark/>
          </w:tcPr>
          <w:p w14:paraId="2A6120A1" w14:textId="77777777" w:rsidR="004D4D35" w:rsidRPr="00727D48"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27D48">
              <w:rPr>
                <w:rFonts w:eastAsia="Times New Roman" w:cs="Times New Roman"/>
                <w:i/>
                <w:color w:val="000000"/>
                <w:sz w:val="18"/>
                <w:szCs w:val="18"/>
              </w:rPr>
              <w:t>Share of total spending (%)</w:t>
            </w:r>
          </w:p>
        </w:tc>
        <w:tc>
          <w:tcPr>
            <w:tcW w:w="1180" w:type="dxa"/>
            <w:tcBorders>
              <w:top w:val="single" w:sz="4" w:space="0" w:color="auto"/>
            </w:tcBorders>
            <w:hideMark/>
          </w:tcPr>
          <w:p w14:paraId="6B2D8259" w14:textId="77777777" w:rsidR="004D4D35" w:rsidRPr="00727D48"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27D48">
              <w:rPr>
                <w:rFonts w:eastAsia="Times New Roman" w:cs="Times New Roman"/>
                <w:i/>
                <w:color w:val="000000"/>
                <w:sz w:val="18"/>
                <w:szCs w:val="18"/>
              </w:rPr>
              <w:t>Share of GDP (%)</w:t>
            </w:r>
          </w:p>
        </w:tc>
      </w:tr>
      <w:tr w:rsidR="004D4D35" w:rsidRPr="00067767" w14:paraId="1E438F3F" w14:textId="77777777" w:rsidTr="00727D48">
        <w:trPr>
          <w:trHeight w:val="24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noWrap/>
            <w:hideMark/>
          </w:tcPr>
          <w:p w14:paraId="128220B8" w14:textId="787058F5"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Total spending</w:t>
            </w:r>
          </w:p>
        </w:tc>
        <w:tc>
          <w:tcPr>
            <w:tcW w:w="0" w:type="dxa"/>
            <w:tcBorders>
              <w:top w:val="single" w:sz="4" w:space="0" w:color="auto"/>
              <w:bottom w:val="nil"/>
            </w:tcBorders>
            <w:noWrap/>
            <w:hideMark/>
          </w:tcPr>
          <w:p w14:paraId="252DF442"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115,20</w:t>
            </w:r>
            <w:r>
              <w:rPr>
                <w:rFonts w:eastAsia="Times New Roman" w:cs="Times New Roman"/>
                <w:color w:val="000000"/>
                <w:sz w:val="18"/>
                <w:szCs w:val="18"/>
              </w:rPr>
              <w:t>5</w:t>
            </w:r>
          </w:p>
        </w:tc>
        <w:tc>
          <w:tcPr>
            <w:tcW w:w="0" w:type="dxa"/>
            <w:tcBorders>
              <w:top w:val="single" w:sz="4" w:space="0" w:color="auto"/>
              <w:bottom w:val="nil"/>
            </w:tcBorders>
            <w:noWrap/>
            <w:hideMark/>
          </w:tcPr>
          <w:p w14:paraId="6F005CE8"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100.0</w:t>
            </w:r>
          </w:p>
        </w:tc>
        <w:tc>
          <w:tcPr>
            <w:tcW w:w="0" w:type="dxa"/>
            <w:tcBorders>
              <w:top w:val="single" w:sz="4" w:space="0" w:color="auto"/>
              <w:bottom w:val="nil"/>
            </w:tcBorders>
            <w:noWrap/>
            <w:hideMark/>
          </w:tcPr>
          <w:p w14:paraId="7BF91911"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25.5</w:t>
            </w:r>
          </w:p>
        </w:tc>
      </w:tr>
      <w:tr w:rsidR="004D4D35" w:rsidRPr="00067767" w14:paraId="735F2FD0"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20DB3749" w14:textId="0570021B"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General public services</w:t>
            </w:r>
          </w:p>
        </w:tc>
        <w:tc>
          <w:tcPr>
            <w:tcW w:w="1560" w:type="dxa"/>
            <w:tcBorders>
              <w:top w:val="nil"/>
              <w:bottom w:val="nil"/>
            </w:tcBorders>
            <w:noWrap/>
            <w:hideMark/>
          </w:tcPr>
          <w:p w14:paraId="14E4A55E"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23,62</w:t>
            </w:r>
            <w:r>
              <w:rPr>
                <w:rFonts w:eastAsia="Times New Roman" w:cs="Times New Roman"/>
                <w:color w:val="000000"/>
                <w:sz w:val="18"/>
                <w:szCs w:val="18"/>
              </w:rPr>
              <w:t>1</w:t>
            </w:r>
          </w:p>
        </w:tc>
        <w:tc>
          <w:tcPr>
            <w:tcW w:w="1180" w:type="dxa"/>
            <w:tcBorders>
              <w:top w:val="nil"/>
              <w:bottom w:val="nil"/>
            </w:tcBorders>
            <w:noWrap/>
            <w:hideMark/>
          </w:tcPr>
          <w:p w14:paraId="22A8C351"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20.5</w:t>
            </w:r>
          </w:p>
        </w:tc>
        <w:tc>
          <w:tcPr>
            <w:tcW w:w="1180" w:type="dxa"/>
            <w:tcBorders>
              <w:top w:val="nil"/>
              <w:bottom w:val="nil"/>
            </w:tcBorders>
            <w:noWrap/>
            <w:hideMark/>
          </w:tcPr>
          <w:p w14:paraId="3F59CECC"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5.2</w:t>
            </w:r>
          </w:p>
        </w:tc>
      </w:tr>
      <w:tr w:rsidR="004D4D35" w:rsidRPr="00067767" w14:paraId="367EF75A"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25BA383F" w14:textId="62E9C08F"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Defense</w:t>
            </w:r>
          </w:p>
        </w:tc>
        <w:tc>
          <w:tcPr>
            <w:tcW w:w="1560" w:type="dxa"/>
            <w:tcBorders>
              <w:top w:val="nil"/>
              <w:bottom w:val="nil"/>
            </w:tcBorders>
            <w:noWrap/>
            <w:hideMark/>
          </w:tcPr>
          <w:p w14:paraId="740CA220"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w:t>
            </w:r>
          </w:p>
        </w:tc>
        <w:tc>
          <w:tcPr>
            <w:tcW w:w="1180" w:type="dxa"/>
            <w:tcBorders>
              <w:top w:val="nil"/>
              <w:bottom w:val="nil"/>
            </w:tcBorders>
            <w:noWrap/>
            <w:hideMark/>
          </w:tcPr>
          <w:p w14:paraId="23B48C47"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0.0</w:t>
            </w:r>
          </w:p>
        </w:tc>
        <w:tc>
          <w:tcPr>
            <w:tcW w:w="1180" w:type="dxa"/>
            <w:tcBorders>
              <w:top w:val="nil"/>
              <w:bottom w:val="nil"/>
            </w:tcBorders>
            <w:noWrap/>
            <w:hideMark/>
          </w:tcPr>
          <w:p w14:paraId="607653F0"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0.0</w:t>
            </w:r>
          </w:p>
        </w:tc>
      </w:tr>
      <w:tr w:rsidR="004D4D35" w:rsidRPr="00067767" w14:paraId="5F365D53"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3FE41761" w14:textId="0A877583"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Public order and safety</w:t>
            </w:r>
          </w:p>
        </w:tc>
        <w:tc>
          <w:tcPr>
            <w:tcW w:w="1560" w:type="dxa"/>
            <w:tcBorders>
              <w:top w:val="nil"/>
              <w:bottom w:val="nil"/>
            </w:tcBorders>
            <w:noWrap/>
            <w:hideMark/>
          </w:tcPr>
          <w:p w14:paraId="2C61BC5B"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11,10</w:t>
            </w:r>
            <w:r>
              <w:rPr>
                <w:rFonts w:eastAsia="Times New Roman" w:cs="Times New Roman"/>
                <w:color w:val="000000"/>
                <w:sz w:val="18"/>
                <w:szCs w:val="18"/>
              </w:rPr>
              <w:t>8</w:t>
            </w:r>
          </w:p>
        </w:tc>
        <w:tc>
          <w:tcPr>
            <w:tcW w:w="1180" w:type="dxa"/>
            <w:tcBorders>
              <w:top w:val="nil"/>
              <w:bottom w:val="nil"/>
            </w:tcBorders>
            <w:noWrap/>
            <w:hideMark/>
          </w:tcPr>
          <w:p w14:paraId="3C83B9EA"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9.6</w:t>
            </w:r>
          </w:p>
        </w:tc>
        <w:tc>
          <w:tcPr>
            <w:tcW w:w="1180" w:type="dxa"/>
            <w:tcBorders>
              <w:top w:val="nil"/>
              <w:bottom w:val="nil"/>
            </w:tcBorders>
            <w:noWrap/>
            <w:hideMark/>
          </w:tcPr>
          <w:p w14:paraId="24800B18"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2.5</w:t>
            </w:r>
          </w:p>
        </w:tc>
      </w:tr>
      <w:tr w:rsidR="004D4D35" w:rsidRPr="00067767" w14:paraId="20854965"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43A72F8A" w14:textId="566C9636"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Economic affairs</w:t>
            </w:r>
          </w:p>
        </w:tc>
        <w:tc>
          <w:tcPr>
            <w:tcW w:w="1560" w:type="dxa"/>
            <w:tcBorders>
              <w:top w:val="nil"/>
              <w:bottom w:val="nil"/>
            </w:tcBorders>
            <w:noWrap/>
            <w:hideMark/>
          </w:tcPr>
          <w:p w14:paraId="7FD79AAB"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17,344</w:t>
            </w:r>
          </w:p>
        </w:tc>
        <w:tc>
          <w:tcPr>
            <w:tcW w:w="1180" w:type="dxa"/>
            <w:tcBorders>
              <w:top w:val="nil"/>
              <w:bottom w:val="nil"/>
            </w:tcBorders>
            <w:noWrap/>
            <w:hideMark/>
          </w:tcPr>
          <w:p w14:paraId="0D5594A6"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15.1</w:t>
            </w:r>
          </w:p>
        </w:tc>
        <w:tc>
          <w:tcPr>
            <w:tcW w:w="1180" w:type="dxa"/>
            <w:tcBorders>
              <w:top w:val="nil"/>
              <w:bottom w:val="nil"/>
            </w:tcBorders>
            <w:noWrap/>
            <w:hideMark/>
          </w:tcPr>
          <w:p w14:paraId="273467F7"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3.8</w:t>
            </w:r>
          </w:p>
        </w:tc>
      </w:tr>
      <w:tr w:rsidR="004D4D35" w:rsidRPr="00067767" w14:paraId="5BAC479A"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345D794A" w14:textId="01AFDCF1"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Environmental protection</w:t>
            </w:r>
          </w:p>
        </w:tc>
        <w:tc>
          <w:tcPr>
            <w:tcW w:w="1560" w:type="dxa"/>
            <w:tcBorders>
              <w:top w:val="nil"/>
              <w:bottom w:val="nil"/>
            </w:tcBorders>
            <w:noWrap/>
            <w:hideMark/>
          </w:tcPr>
          <w:p w14:paraId="0102DE4F"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2,508</w:t>
            </w:r>
          </w:p>
        </w:tc>
        <w:tc>
          <w:tcPr>
            <w:tcW w:w="1180" w:type="dxa"/>
            <w:tcBorders>
              <w:top w:val="nil"/>
              <w:bottom w:val="nil"/>
            </w:tcBorders>
            <w:noWrap/>
            <w:hideMark/>
          </w:tcPr>
          <w:p w14:paraId="661728AE"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2.2</w:t>
            </w:r>
          </w:p>
        </w:tc>
        <w:tc>
          <w:tcPr>
            <w:tcW w:w="1180" w:type="dxa"/>
            <w:tcBorders>
              <w:top w:val="nil"/>
              <w:bottom w:val="nil"/>
            </w:tcBorders>
            <w:noWrap/>
            <w:hideMark/>
          </w:tcPr>
          <w:p w14:paraId="21808CF5"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0.6</w:t>
            </w:r>
          </w:p>
        </w:tc>
      </w:tr>
      <w:tr w:rsidR="004D4D35" w:rsidRPr="00067767" w14:paraId="20365458"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7B43CC6A" w14:textId="06D9AC86"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Housing and community amenities</w:t>
            </w:r>
          </w:p>
        </w:tc>
        <w:tc>
          <w:tcPr>
            <w:tcW w:w="1560" w:type="dxa"/>
            <w:tcBorders>
              <w:top w:val="nil"/>
              <w:bottom w:val="nil"/>
            </w:tcBorders>
            <w:noWrap/>
            <w:hideMark/>
          </w:tcPr>
          <w:p w14:paraId="7305E6CE"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2,886</w:t>
            </w:r>
          </w:p>
        </w:tc>
        <w:tc>
          <w:tcPr>
            <w:tcW w:w="1180" w:type="dxa"/>
            <w:tcBorders>
              <w:top w:val="nil"/>
              <w:bottom w:val="nil"/>
            </w:tcBorders>
            <w:noWrap/>
            <w:hideMark/>
          </w:tcPr>
          <w:p w14:paraId="4474670B"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2.5</w:t>
            </w:r>
          </w:p>
        </w:tc>
        <w:tc>
          <w:tcPr>
            <w:tcW w:w="1180" w:type="dxa"/>
            <w:tcBorders>
              <w:top w:val="nil"/>
              <w:bottom w:val="nil"/>
            </w:tcBorders>
            <w:noWrap/>
            <w:hideMark/>
          </w:tcPr>
          <w:p w14:paraId="40A1F4BA"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0.6</w:t>
            </w:r>
          </w:p>
        </w:tc>
      </w:tr>
      <w:tr w:rsidR="004D4D35" w:rsidRPr="00067767" w14:paraId="0A51EB89"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5F4E8677" w14:textId="6A30AF63"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Health</w:t>
            </w:r>
            <w:r w:rsidR="008B6CC3">
              <w:rPr>
                <w:rFonts w:eastAsia="Times New Roman" w:cs="Times New Roman"/>
                <w:b w:val="0"/>
                <w:color w:val="000000"/>
                <w:sz w:val="18"/>
                <w:szCs w:val="18"/>
              </w:rPr>
              <w:t xml:space="preserve"> care</w:t>
            </w:r>
          </w:p>
        </w:tc>
        <w:tc>
          <w:tcPr>
            <w:tcW w:w="1560" w:type="dxa"/>
            <w:tcBorders>
              <w:top w:val="nil"/>
              <w:bottom w:val="nil"/>
            </w:tcBorders>
            <w:noWrap/>
            <w:hideMark/>
          </w:tcPr>
          <w:p w14:paraId="62895C8B"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11,529</w:t>
            </w:r>
          </w:p>
        </w:tc>
        <w:tc>
          <w:tcPr>
            <w:tcW w:w="1180" w:type="dxa"/>
            <w:tcBorders>
              <w:top w:val="nil"/>
              <w:bottom w:val="nil"/>
            </w:tcBorders>
            <w:noWrap/>
            <w:hideMark/>
          </w:tcPr>
          <w:p w14:paraId="4AB02E1E"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10.0</w:t>
            </w:r>
          </w:p>
        </w:tc>
        <w:tc>
          <w:tcPr>
            <w:tcW w:w="1180" w:type="dxa"/>
            <w:tcBorders>
              <w:top w:val="nil"/>
              <w:bottom w:val="nil"/>
            </w:tcBorders>
            <w:noWrap/>
            <w:hideMark/>
          </w:tcPr>
          <w:p w14:paraId="63E604C5"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2.6</w:t>
            </w:r>
          </w:p>
        </w:tc>
      </w:tr>
      <w:tr w:rsidR="004D4D35" w:rsidRPr="00067767" w14:paraId="2BAD3429"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03C5A4D0" w14:textId="7766538B"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Recreation, culture</w:t>
            </w:r>
            <w:r w:rsidR="008B6CC3">
              <w:rPr>
                <w:rFonts w:eastAsia="Times New Roman" w:cs="Times New Roman"/>
                <w:b w:val="0"/>
                <w:color w:val="000000"/>
                <w:sz w:val="18"/>
                <w:szCs w:val="18"/>
              </w:rPr>
              <w:t>,</w:t>
            </w:r>
            <w:r w:rsidRPr="00032B6F">
              <w:rPr>
                <w:rFonts w:eastAsia="Times New Roman" w:cs="Times New Roman"/>
                <w:color w:val="000000"/>
                <w:sz w:val="18"/>
                <w:szCs w:val="18"/>
              </w:rPr>
              <w:t xml:space="preserve"> and religion</w:t>
            </w:r>
          </w:p>
        </w:tc>
        <w:tc>
          <w:tcPr>
            <w:tcW w:w="1560" w:type="dxa"/>
            <w:tcBorders>
              <w:top w:val="nil"/>
              <w:bottom w:val="nil"/>
            </w:tcBorders>
            <w:noWrap/>
            <w:hideMark/>
          </w:tcPr>
          <w:p w14:paraId="50508253"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1,3</w:t>
            </w:r>
            <w:r>
              <w:rPr>
                <w:rFonts w:eastAsia="Times New Roman" w:cs="Times New Roman"/>
                <w:color w:val="000000"/>
                <w:sz w:val="18"/>
                <w:szCs w:val="18"/>
              </w:rPr>
              <w:t>90</w:t>
            </w:r>
          </w:p>
        </w:tc>
        <w:tc>
          <w:tcPr>
            <w:tcW w:w="1180" w:type="dxa"/>
            <w:tcBorders>
              <w:top w:val="nil"/>
              <w:bottom w:val="nil"/>
            </w:tcBorders>
            <w:noWrap/>
            <w:hideMark/>
          </w:tcPr>
          <w:p w14:paraId="3BA47DEC"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1.2</w:t>
            </w:r>
          </w:p>
        </w:tc>
        <w:tc>
          <w:tcPr>
            <w:tcW w:w="1180" w:type="dxa"/>
            <w:tcBorders>
              <w:top w:val="nil"/>
              <w:bottom w:val="nil"/>
            </w:tcBorders>
            <w:noWrap/>
            <w:hideMark/>
          </w:tcPr>
          <w:p w14:paraId="307FA36C"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0.3</w:t>
            </w:r>
          </w:p>
        </w:tc>
      </w:tr>
      <w:tr w:rsidR="004D4D35" w:rsidRPr="00067767" w14:paraId="7034AC78"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2EB6DF23" w14:textId="2B9FE226"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Education</w:t>
            </w:r>
          </w:p>
        </w:tc>
        <w:tc>
          <w:tcPr>
            <w:tcW w:w="1560" w:type="dxa"/>
            <w:tcBorders>
              <w:top w:val="nil"/>
              <w:bottom w:val="nil"/>
            </w:tcBorders>
            <w:noWrap/>
            <w:hideMark/>
          </w:tcPr>
          <w:p w14:paraId="389B1E2D"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18,21</w:t>
            </w:r>
            <w:r>
              <w:rPr>
                <w:rFonts w:eastAsia="Times New Roman" w:cs="Times New Roman"/>
                <w:color w:val="000000"/>
                <w:sz w:val="18"/>
                <w:szCs w:val="18"/>
              </w:rPr>
              <w:t>4</w:t>
            </w:r>
          </w:p>
        </w:tc>
        <w:tc>
          <w:tcPr>
            <w:tcW w:w="1180" w:type="dxa"/>
            <w:tcBorders>
              <w:top w:val="nil"/>
              <w:bottom w:val="nil"/>
            </w:tcBorders>
            <w:noWrap/>
            <w:hideMark/>
          </w:tcPr>
          <w:p w14:paraId="31E183BC"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15.8</w:t>
            </w:r>
          </w:p>
        </w:tc>
        <w:tc>
          <w:tcPr>
            <w:tcW w:w="1180" w:type="dxa"/>
            <w:tcBorders>
              <w:top w:val="nil"/>
              <w:bottom w:val="nil"/>
            </w:tcBorders>
            <w:noWrap/>
            <w:hideMark/>
          </w:tcPr>
          <w:p w14:paraId="33877F8A"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4.0</w:t>
            </w:r>
          </w:p>
        </w:tc>
      </w:tr>
      <w:tr w:rsidR="004D4D35" w:rsidRPr="00067767" w14:paraId="0880F410"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2FC9618B" w14:textId="3371D2E4" w:rsidR="004D4D35" w:rsidRPr="00727D48" w:rsidRDefault="00E106A7" w:rsidP="004B37D4">
            <w:pPr>
              <w:jc w:val="left"/>
              <w:rPr>
                <w:rFonts w:eastAsia="Times New Roman" w:cs="Times New Roman"/>
                <w:b w:val="0"/>
                <w:color w:val="000000"/>
                <w:sz w:val="18"/>
                <w:szCs w:val="18"/>
              </w:rPr>
            </w:pPr>
            <w:r w:rsidRPr="00032B6F">
              <w:rPr>
                <w:rFonts w:eastAsia="Times New Roman" w:cs="Times New Roman"/>
                <w:color w:val="000000"/>
                <w:sz w:val="18"/>
                <w:szCs w:val="18"/>
              </w:rPr>
              <w:t>Social protection</w:t>
            </w:r>
          </w:p>
        </w:tc>
        <w:tc>
          <w:tcPr>
            <w:tcW w:w="1560" w:type="dxa"/>
            <w:tcBorders>
              <w:top w:val="nil"/>
              <w:bottom w:val="nil"/>
            </w:tcBorders>
            <w:noWrap/>
            <w:hideMark/>
          </w:tcPr>
          <w:p w14:paraId="5BAFE557"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26,60</w:t>
            </w:r>
            <w:r>
              <w:rPr>
                <w:rFonts w:eastAsia="Times New Roman" w:cs="Times New Roman"/>
                <w:color w:val="000000"/>
                <w:sz w:val="18"/>
                <w:szCs w:val="18"/>
              </w:rPr>
              <w:t>4</w:t>
            </w:r>
          </w:p>
        </w:tc>
        <w:tc>
          <w:tcPr>
            <w:tcW w:w="1180" w:type="dxa"/>
            <w:tcBorders>
              <w:top w:val="nil"/>
              <w:bottom w:val="nil"/>
            </w:tcBorders>
            <w:noWrap/>
            <w:hideMark/>
          </w:tcPr>
          <w:p w14:paraId="05FE1E44"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23.1</w:t>
            </w:r>
          </w:p>
        </w:tc>
        <w:tc>
          <w:tcPr>
            <w:tcW w:w="1180" w:type="dxa"/>
            <w:tcBorders>
              <w:top w:val="nil"/>
              <w:bottom w:val="nil"/>
            </w:tcBorders>
            <w:noWrap/>
            <w:hideMark/>
          </w:tcPr>
          <w:p w14:paraId="00DBBA26"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5.9</w:t>
            </w:r>
          </w:p>
        </w:tc>
      </w:tr>
      <w:tr w:rsidR="004D4D35" w:rsidRPr="00067767" w14:paraId="273B67DD"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561FBC64" w14:textId="0BDF79FA" w:rsidR="004D4D35" w:rsidRPr="00727D48" w:rsidRDefault="00E106A7" w:rsidP="004B37D4">
            <w:pPr>
              <w:jc w:val="left"/>
              <w:rPr>
                <w:rFonts w:eastAsia="Times New Roman" w:cs="Times New Roman"/>
                <w:b w:val="0"/>
                <w:i/>
                <w:color w:val="000000"/>
                <w:sz w:val="18"/>
                <w:szCs w:val="18"/>
              </w:rPr>
            </w:pPr>
            <w:r w:rsidRPr="00727D48">
              <w:rPr>
                <w:rFonts w:eastAsia="Times New Roman" w:cs="Times New Roman"/>
                <w:i/>
                <w:color w:val="000000"/>
                <w:sz w:val="18"/>
                <w:szCs w:val="18"/>
              </w:rPr>
              <w:t>Indirect subsidies</w:t>
            </w:r>
          </w:p>
        </w:tc>
        <w:tc>
          <w:tcPr>
            <w:tcW w:w="1560" w:type="dxa"/>
            <w:tcBorders>
              <w:top w:val="nil"/>
              <w:bottom w:val="nil"/>
            </w:tcBorders>
            <w:noWrap/>
            <w:hideMark/>
          </w:tcPr>
          <w:p w14:paraId="1A8B1E9C" w14:textId="77777777" w:rsidR="004D4D35" w:rsidRPr="00067767" w:rsidRDefault="004D4D35" w:rsidP="004B37D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180" w:type="dxa"/>
            <w:tcBorders>
              <w:top w:val="nil"/>
              <w:bottom w:val="nil"/>
            </w:tcBorders>
            <w:noWrap/>
            <w:hideMark/>
          </w:tcPr>
          <w:p w14:paraId="66221365" w14:textId="77777777" w:rsidR="004D4D35" w:rsidRPr="00067767" w:rsidRDefault="004D4D35" w:rsidP="004B37D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1180" w:type="dxa"/>
            <w:tcBorders>
              <w:top w:val="nil"/>
              <w:bottom w:val="nil"/>
            </w:tcBorders>
            <w:noWrap/>
            <w:hideMark/>
          </w:tcPr>
          <w:p w14:paraId="444F09E5" w14:textId="77777777" w:rsidR="004D4D35" w:rsidRPr="00067767" w:rsidRDefault="004D4D35" w:rsidP="004B37D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4D4D35" w:rsidRPr="00067767" w14:paraId="2F8E0F9C"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2D0C62AD" w14:textId="026FCE45" w:rsidR="004D4D35" w:rsidRPr="00727D48" w:rsidRDefault="00E106A7" w:rsidP="004B37D4">
            <w:pPr>
              <w:ind w:firstLineChars="100" w:firstLine="181"/>
              <w:jc w:val="left"/>
              <w:rPr>
                <w:rFonts w:eastAsia="Times New Roman" w:cs="Times New Roman"/>
                <w:b w:val="0"/>
                <w:color w:val="000000"/>
                <w:sz w:val="18"/>
                <w:szCs w:val="18"/>
              </w:rPr>
            </w:pPr>
            <w:r w:rsidRPr="00032B6F">
              <w:rPr>
                <w:rFonts w:eastAsia="Times New Roman" w:cs="Times New Roman"/>
                <w:color w:val="000000"/>
                <w:sz w:val="18"/>
                <w:szCs w:val="18"/>
              </w:rPr>
              <w:t>Flour</w:t>
            </w:r>
          </w:p>
        </w:tc>
        <w:tc>
          <w:tcPr>
            <w:tcW w:w="1560" w:type="dxa"/>
            <w:tcBorders>
              <w:top w:val="nil"/>
              <w:bottom w:val="nil"/>
            </w:tcBorders>
            <w:noWrap/>
            <w:hideMark/>
          </w:tcPr>
          <w:p w14:paraId="4F325512"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267</w:t>
            </w:r>
          </w:p>
        </w:tc>
        <w:tc>
          <w:tcPr>
            <w:tcW w:w="1180" w:type="dxa"/>
            <w:tcBorders>
              <w:top w:val="nil"/>
              <w:bottom w:val="nil"/>
            </w:tcBorders>
            <w:noWrap/>
            <w:hideMark/>
          </w:tcPr>
          <w:p w14:paraId="58F685A7" w14:textId="77777777" w:rsidR="004D4D35" w:rsidRPr="00067767" w:rsidRDefault="004D4D35" w:rsidP="004B37D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180" w:type="dxa"/>
            <w:tcBorders>
              <w:top w:val="nil"/>
              <w:bottom w:val="nil"/>
            </w:tcBorders>
            <w:noWrap/>
            <w:hideMark/>
          </w:tcPr>
          <w:p w14:paraId="04724A03" w14:textId="77777777" w:rsidR="004D4D35" w:rsidRPr="00067767" w:rsidRDefault="004D4D35" w:rsidP="004B37D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4D4D35" w:rsidRPr="00067767" w14:paraId="59855A56"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77F9A830" w14:textId="064AF59F" w:rsidR="004D4D35" w:rsidRPr="00727D48" w:rsidRDefault="00E106A7" w:rsidP="004B37D4">
            <w:pPr>
              <w:ind w:firstLineChars="100" w:firstLine="181"/>
              <w:jc w:val="left"/>
              <w:rPr>
                <w:rFonts w:eastAsia="Times New Roman" w:cs="Times New Roman"/>
                <w:b w:val="0"/>
                <w:color w:val="000000"/>
                <w:sz w:val="18"/>
                <w:szCs w:val="18"/>
              </w:rPr>
            </w:pPr>
            <w:r w:rsidRPr="00032B6F">
              <w:rPr>
                <w:rFonts w:eastAsia="Times New Roman" w:cs="Times New Roman"/>
                <w:color w:val="000000"/>
                <w:sz w:val="18"/>
                <w:szCs w:val="18"/>
              </w:rPr>
              <w:t>Rice</w:t>
            </w:r>
          </w:p>
        </w:tc>
        <w:tc>
          <w:tcPr>
            <w:tcW w:w="1560" w:type="dxa"/>
            <w:tcBorders>
              <w:top w:val="nil"/>
              <w:bottom w:val="nil"/>
            </w:tcBorders>
            <w:noWrap/>
            <w:hideMark/>
          </w:tcPr>
          <w:p w14:paraId="3FB63572"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10</w:t>
            </w:r>
            <w:r>
              <w:rPr>
                <w:rFonts w:eastAsia="Times New Roman" w:cs="Times New Roman"/>
                <w:color w:val="000000"/>
                <w:sz w:val="18"/>
                <w:szCs w:val="18"/>
              </w:rPr>
              <w:t>3</w:t>
            </w:r>
          </w:p>
        </w:tc>
        <w:tc>
          <w:tcPr>
            <w:tcW w:w="1180" w:type="dxa"/>
            <w:tcBorders>
              <w:top w:val="nil"/>
              <w:bottom w:val="nil"/>
            </w:tcBorders>
            <w:noWrap/>
            <w:hideMark/>
          </w:tcPr>
          <w:p w14:paraId="4C2D2191" w14:textId="77777777" w:rsidR="004D4D35" w:rsidRPr="00067767" w:rsidRDefault="004D4D35" w:rsidP="004B37D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180" w:type="dxa"/>
            <w:tcBorders>
              <w:top w:val="nil"/>
              <w:bottom w:val="nil"/>
            </w:tcBorders>
            <w:noWrap/>
            <w:hideMark/>
          </w:tcPr>
          <w:p w14:paraId="7A6D98A1" w14:textId="77777777" w:rsidR="004D4D35" w:rsidRPr="00067767" w:rsidRDefault="004D4D35" w:rsidP="004B37D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4D4D35" w:rsidRPr="00067767" w14:paraId="23A9A42E" w14:textId="77777777" w:rsidTr="004D5714">
        <w:trPr>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tcBorders>
            <w:noWrap/>
            <w:hideMark/>
          </w:tcPr>
          <w:p w14:paraId="6BE78D33" w14:textId="5343F3D5" w:rsidR="004D4D35" w:rsidRPr="00727D48" w:rsidRDefault="00E106A7" w:rsidP="004B37D4">
            <w:pPr>
              <w:ind w:firstLineChars="100" w:firstLine="181"/>
              <w:jc w:val="left"/>
              <w:rPr>
                <w:rFonts w:eastAsia="Times New Roman" w:cs="Times New Roman"/>
                <w:b w:val="0"/>
                <w:color w:val="000000"/>
                <w:sz w:val="18"/>
                <w:szCs w:val="18"/>
              </w:rPr>
            </w:pPr>
            <w:r w:rsidRPr="00032B6F">
              <w:rPr>
                <w:rFonts w:eastAsia="Times New Roman" w:cs="Times New Roman"/>
                <w:color w:val="000000"/>
                <w:sz w:val="18"/>
                <w:szCs w:val="18"/>
              </w:rPr>
              <w:t>Liquified petroleum gas</w:t>
            </w:r>
          </w:p>
        </w:tc>
        <w:tc>
          <w:tcPr>
            <w:tcW w:w="1560" w:type="dxa"/>
            <w:tcBorders>
              <w:top w:val="nil"/>
              <w:bottom w:val="nil"/>
            </w:tcBorders>
            <w:noWrap/>
            <w:hideMark/>
          </w:tcPr>
          <w:p w14:paraId="2D20D650" w14:textId="77777777" w:rsidR="004D4D35" w:rsidRPr="00067767" w:rsidRDefault="004D4D35" w:rsidP="004B37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108</w:t>
            </w:r>
          </w:p>
        </w:tc>
        <w:tc>
          <w:tcPr>
            <w:tcW w:w="1180" w:type="dxa"/>
            <w:tcBorders>
              <w:top w:val="nil"/>
              <w:bottom w:val="nil"/>
            </w:tcBorders>
            <w:noWrap/>
            <w:hideMark/>
          </w:tcPr>
          <w:p w14:paraId="5FCA8D68" w14:textId="77777777" w:rsidR="004D4D35" w:rsidRPr="00067767" w:rsidRDefault="004D4D35" w:rsidP="004B37D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180" w:type="dxa"/>
            <w:tcBorders>
              <w:top w:val="nil"/>
              <w:bottom w:val="nil"/>
            </w:tcBorders>
            <w:noWrap/>
            <w:hideMark/>
          </w:tcPr>
          <w:p w14:paraId="789FC085" w14:textId="77777777" w:rsidR="004D4D35" w:rsidRPr="00067767" w:rsidRDefault="004D4D35" w:rsidP="004B37D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r>
      <w:tr w:rsidR="004D4D35" w:rsidRPr="00067767" w14:paraId="6085D848" w14:textId="77777777" w:rsidTr="004D57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00" w:type="dxa"/>
            <w:tcBorders>
              <w:top w:val="nil"/>
              <w:bottom w:val="single" w:sz="4" w:space="0" w:color="auto"/>
            </w:tcBorders>
            <w:noWrap/>
            <w:hideMark/>
          </w:tcPr>
          <w:p w14:paraId="3E0C47E9" w14:textId="14D98C1D" w:rsidR="004D4D35" w:rsidRPr="00727D48" w:rsidRDefault="00E106A7" w:rsidP="004B37D4">
            <w:pPr>
              <w:ind w:firstLineChars="100" w:firstLine="181"/>
              <w:jc w:val="left"/>
              <w:rPr>
                <w:rFonts w:eastAsia="Times New Roman" w:cs="Times New Roman"/>
                <w:b w:val="0"/>
                <w:color w:val="000000"/>
                <w:sz w:val="18"/>
                <w:szCs w:val="18"/>
              </w:rPr>
            </w:pPr>
            <w:r w:rsidRPr="00032B6F">
              <w:rPr>
                <w:rFonts w:eastAsia="Times New Roman" w:cs="Times New Roman"/>
                <w:color w:val="000000"/>
                <w:sz w:val="18"/>
                <w:szCs w:val="18"/>
              </w:rPr>
              <w:t>Bus transport</w:t>
            </w:r>
          </w:p>
        </w:tc>
        <w:tc>
          <w:tcPr>
            <w:tcW w:w="1560" w:type="dxa"/>
            <w:tcBorders>
              <w:top w:val="nil"/>
              <w:bottom w:val="single" w:sz="4" w:space="0" w:color="auto"/>
            </w:tcBorders>
            <w:noWrap/>
            <w:hideMark/>
          </w:tcPr>
          <w:p w14:paraId="782F8F41" w14:textId="77777777" w:rsidR="004D4D35" w:rsidRPr="00067767" w:rsidRDefault="004D4D35" w:rsidP="004B37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067767">
              <w:rPr>
                <w:rFonts w:eastAsia="Times New Roman" w:cs="Times New Roman"/>
                <w:color w:val="000000"/>
                <w:sz w:val="18"/>
                <w:szCs w:val="18"/>
              </w:rPr>
              <w:t>1,260</w:t>
            </w:r>
          </w:p>
        </w:tc>
        <w:tc>
          <w:tcPr>
            <w:tcW w:w="1180" w:type="dxa"/>
            <w:tcBorders>
              <w:top w:val="nil"/>
              <w:bottom w:val="single" w:sz="4" w:space="0" w:color="auto"/>
            </w:tcBorders>
            <w:noWrap/>
            <w:hideMark/>
          </w:tcPr>
          <w:p w14:paraId="5397BA1B" w14:textId="77777777" w:rsidR="004D4D35" w:rsidRPr="00067767" w:rsidRDefault="004D4D35" w:rsidP="004B37D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180" w:type="dxa"/>
            <w:tcBorders>
              <w:top w:val="nil"/>
              <w:bottom w:val="single" w:sz="4" w:space="0" w:color="auto"/>
            </w:tcBorders>
            <w:noWrap/>
            <w:hideMark/>
          </w:tcPr>
          <w:p w14:paraId="7ECB83A2" w14:textId="77777777" w:rsidR="004D4D35" w:rsidRPr="00067767" w:rsidRDefault="004D4D35" w:rsidP="004B37D4">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r>
      <w:tr w:rsidR="002043D7" w:rsidRPr="00067767" w14:paraId="6AEE131E" w14:textId="77777777" w:rsidTr="00AE7E4B">
        <w:trPr>
          <w:trHeight w:val="240"/>
        </w:trPr>
        <w:tc>
          <w:tcPr>
            <w:cnfStyle w:val="001000000000" w:firstRow="0" w:lastRow="0" w:firstColumn="1" w:lastColumn="0" w:oddVBand="0" w:evenVBand="0" w:oddHBand="0" w:evenHBand="0" w:firstRowFirstColumn="0" w:firstRowLastColumn="0" w:lastRowFirstColumn="0" w:lastRowLastColumn="0"/>
            <w:tcW w:w="7520" w:type="dxa"/>
            <w:gridSpan w:val="4"/>
            <w:tcBorders>
              <w:top w:val="single" w:sz="4" w:space="0" w:color="auto"/>
              <w:bottom w:val="nil"/>
            </w:tcBorders>
            <w:noWrap/>
            <w:hideMark/>
          </w:tcPr>
          <w:p w14:paraId="5A68360A" w14:textId="70EE1BE0" w:rsidR="002043D7" w:rsidRPr="00067767" w:rsidRDefault="002043D7" w:rsidP="004B37D4">
            <w:pPr>
              <w:jc w:val="left"/>
              <w:rPr>
                <w:rFonts w:eastAsia="Times New Roman" w:cs="Times New Roman"/>
                <w:sz w:val="20"/>
                <w:szCs w:val="20"/>
              </w:rPr>
            </w:pPr>
            <w:r w:rsidRPr="00067767">
              <w:rPr>
                <w:rFonts w:eastAsia="Times New Roman" w:cs="Times New Roman"/>
                <w:b w:val="0"/>
                <w:i/>
                <w:iCs/>
                <w:color w:val="000000"/>
                <w:sz w:val="18"/>
                <w:szCs w:val="18"/>
              </w:rPr>
              <w:t>Source:</w:t>
            </w:r>
            <w:r w:rsidRPr="00067767">
              <w:rPr>
                <w:rFonts w:eastAsia="Times New Roman" w:cs="Times New Roman"/>
                <w:b w:val="0"/>
                <w:color w:val="000000"/>
                <w:sz w:val="18"/>
                <w:szCs w:val="18"/>
              </w:rPr>
              <w:t xml:space="preserve"> Based on data of Government Finance Statistics, International Monetary Fund.</w:t>
            </w:r>
          </w:p>
        </w:tc>
      </w:tr>
    </w:tbl>
    <w:p w14:paraId="5049A8EB" w14:textId="77777777" w:rsidR="00C959BF" w:rsidRDefault="00C959BF" w:rsidP="002E6831"/>
    <w:p w14:paraId="339DE516" w14:textId="6C53714C" w:rsidR="00F067F6" w:rsidRPr="0006394F" w:rsidRDefault="005B1F93" w:rsidP="0006394F">
      <w:r>
        <w:rPr>
          <w:b/>
        </w:rPr>
        <w:t xml:space="preserve">In </w:t>
      </w:r>
      <w:r w:rsidR="00AA49F5" w:rsidRPr="0006394F">
        <w:rPr>
          <w:b/>
        </w:rPr>
        <w:t>Mauritius</w:t>
      </w:r>
      <w:r>
        <w:rPr>
          <w:b/>
        </w:rPr>
        <w:t>,</w:t>
      </w:r>
      <w:r w:rsidR="00AA49F5" w:rsidRPr="0006394F">
        <w:rPr>
          <w:b/>
        </w:rPr>
        <w:t xml:space="preserve"> about </w:t>
      </w:r>
      <w:r w:rsidR="00FC118C" w:rsidRPr="0006394F">
        <w:rPr>
          <w:b/>
        </w:rPr>
        <w:t xml:space="preserve">10 percent of total public expenditure and 2.6 percent of GDP </w:t>
      </w:r>
      <w:r>
        <w:rPr>
          <w:b/>
        </w:rPr>
        <w:t xml:space="preserve">are accounted for by </w:t>
      </w:r>
      <w:r w:rsidR="00FC118C" w:rsidRPr="0006394F">
        <w:rPr>
          <w:b/>
        </w:rPr>
        <w:t>health</w:t>
      </w:r>
      <w:r w:rsidR="008B6CC3">
        <w:rPr>
          <w:b/>
        </w:rPr>
        <w:t xml:space="preserve"> care</w:t>
      </w:r>
      <w:r w:rsidR="00FC118C" w:rsidRPr="0006394F">
        <w:rPr>
          <w:b/>
        </w:rPr>
        <w:t>.</w:t>
      </w:r>
      <w:r w:rsidR="004E2C71" w:rsidRPr="0006394F">
        <w:t xml:space="preserve"> </w:t>
      </w:r>
      <w:r w:rsidR="00C51DC8" w:rsidRPr="0006394F">
        <w:t>In 2016, t</w:t>
      </w:r>
      <w:r w:rsidR="00CE5E2F" w:rsidRPr="0006394F">
        <w:t>he lion</w:t>
      </w:r>
      <w:r>
        <w:t>’s</w:t>
      </w:r>
      <w:r w:rsidR="00CE5E2F" w:rsidRPr="0006394F">
        <w:t xml:space="preserve"> share of public health expenditure </w:t>
      </w:r>
      <w:r>
        <w:t>wa</w:t>
      </w:r>
      <w:r w:rsidR="00CE5E2F" w:rsidRPr="0006394F">
        <w:t>s consumed by h</w:t>
      </w:r>
      <w:r w:rsidR="00965867" w:rsidRPr="0006394F">
        <w:t xml:space="preserve">ospital services </w:t>
      </w:r>
      <w:r w:rsidR="00CE5E2F" w:rsidRPr="0006394F">
        <w:t>(</w:t>
      </w:r>
      <w:r w:rsidR="00965867" w:rsidRPr="0006394F">
        <w:t>estimated expenditure</w:t>
      </w:r>
      <w:r>
        <w:t>,</w:t>
      </w:r>
      <w:r w:rsidR="00965867" w:rsidRPr="0006394F">
        <w:t xml:space="preserve"> </w:t>
      </w:r>
      <w:r w:rsidR="00C465B1">
        <w:t>MUR</w:t>
      </w:r>
      <w:r w:rsidR="00965867" w:rsidRPr="0006394F">
        <w:t xml:space="preserve"> 7.2 billion</w:t>
      </w:r>
      <w:r w:rsidR="0099647F" w:rsidRPr="0006394F">
        <w:t>), followed by pharmaceutical products (</w:t>
      </w:r>
      <w:r w:rsidR="00C465B1">
        <w:t>MUR</w:t>
      </w:r>
      <w:r w:rsidR="0099647F" w:rsidRPr="0006394F">
        <w:t xml:space="preserve"> 1.0 billion), </w:t>
      </w:r>
      <w:r>
        <w:t xml:space="preserve">and </w:t>
      </w:r>
      <w:r w:rsidR="0099647F" w:rsidRPr="0006394F">
        <w:t>o</w:t>
      </w:r>
      <w:r w:rsidR="00965867" w:rsidRPr="0006394F">
        <w:t xml:space="preserve">utpatient curative care services </w:t>
      </w:r>
      <w:r>
        <w:t xml:space="preserve">in </w:t>
      </w:r>
      <w:r w:rsidR="00965867" w:rsidRPr="0006394F">
        <w:t xml:space="preserve">primary care </w:t>
      </w:r>
      <w:r w:rsidR="0099647F" w:rsidRPr="0006394F">
        <w:t>(</w:t>
      </w:r>
      <w:r w:rsidR="00C465B1">
        <w:t>MUR</w:t>
      </w:r>
      <w:r w:rsidR="0099647F" w:rsidRPr="0006394F">
        <w:t xml:space="preserve"> 673 million), </w:t>
      </w:r>
      <w:r>
        <w:t xml:space="preserve">while </w:t>
      </w:r>
      <w:r w:rsidR="00283E48" w:rsidRPr="0006394F">
        <w:t xml:space="preserve">the rest </w:t>
      </w:r>
      <w:r>
        <w:t xml:space="preserve">was </w:t>
      </w:r>
      <w:r w:rsidR="00283E48" w:rsidRPr="0006394F">
        <w:t>allocated to</w:t>
      </w:r>
      <w:r w:rsidR="00965867" w:rsidRPr="0006394F">
        <w:t xml:space="preserve"> governance and health system</w:t>
      </w:r>
      <w:r w:rsidR="00283E48" w:rsidRPr="0006394F">
        <w:t xml:space="preserve"> </w:t>
      </w:r>
      <w:r w:rsidR="00965867" w:rsidRPr="0006394F">
        <w:t>administration</w:t>
      </w:r>
      <w:r w:rsidR="00283E48" w:rsidRPr="0006394F">
        <w:t>.</w:t>
      </w:r>
      <w:r w:rsidR="0006394F">
        <w:rPr>
          <w:rStyle w:val="FootnoteReference"/>
        </w:rPr>
        <w:footnoteReference w:id="8"/>
      </w:r>
      <w:r w:rsidR="00F067F6" w:rsidRPr="0006394F">
        <w:t xml:space="preserve"> However, </w:t>
      </w:r>
      <w:r w:rsidR="002C0E89" w:rsidRPr="0006394F">
        <w:t xml:space="preserve">public heath expenditure represents </w:t>
      </w:r>
      <w:r w:rsidR="00925264" w:rsidRPr="0006394F">
        <w:t>about 45</w:t>
      </w:r>
      <w:r w:rsidR="002C0E89" w:rsidRPr="0006394F">
        <w:t xml:space="preserve"> percent of total health expenditure, w</w:t>
      </w:r>
      <w:r w:rsidR="00925264" w:rsidRPr="0006394F">
        <w:t>hile</w:t>
      </w:r>
      <w:r w:rsidR="002C0E89" w:rsidRPr="0006394F">
        <w:t xml:space="preserve"> the rest </w:t>
      </w:r>
      <w:r w:rsidR="00925264" w:rsidRPr="0006394F">
        <w:t>is spent</w:t>
      </w:r>
      <w:r w:rsidR="00276C2A" w:rsidRPr="0006394F">
        <w:t xml:space="preserve"> in the private sector </w:t>
      </w:r>
      <w:r w:rsidR="00925264" w:rsidRPr="0006394F">
        <w:t xml:space="preserve">and </w:t>
      </w:r>
      <w:r>
        <w:t xml:space="preserve">is </w:t>
      </w:r>
      <w:r w:rsidR="00276C2A" w:rsidRPr="0006394F">
        <w:t>covered by private insurance and out-of-pocket expenditures by households.</w:t>
      </w:r>
    </w:p>
    <w:p w14:paraId="1CB3B734" w14:textId="62AB97B6" w:rsidR="00D61B37" w:rsidRPr="00EA1734" w:rsidRDefault="00742BDE" w:rsidP="00D61B37">
      <w:r w:rsidRPr="00BA50B6">
        <w:rPr>
          <w:b/>
        </w:rPr>
        <w:t>Th</w:t>
      </w:r>
      <w:r>
        <w:rPr>
          <w:b/>
        </w:rPr>
        <w:t>is</w:t>
      </w:r>
      <w:r w:rsidRPr="00BA50B6">
        <w:rPr>
          <w:b/>
        </w:rPr>
        <w:t xml:space="preserve"> fiscal incidence </w:t>
      </w:r>
      <w:r>
        <w:rPr>
          <w:b/>
        </w:rPr>
        <w:t xml:space="preserve">analysis </w:t>
      </w:r>
      <w:r w:rsidRPr="00837224">
        <w:rPr>
          <w:b/>
        </w:rPr>
        <w:t xml:space="preserve">covers </w:t>
      </w:r>
      <w:r>
        <w:rPr>
          <w:b/>
        </w:rPr>
        <w:t>over 60</w:t>
      </w:r>
      <w:r w:rsidRPr="00837224">
        <w:rPr>
          <w:b/>
        </w:rPr>
        <w:t xml:space="preserve"> percent of </w:t>
      </w:r>
      <w:r>
        <w:rPr>
          <w:b/>
        </w:rPr>
        <w:t xml:space="preserve">tax </w:t>
      </w:r>
      <w:r w:rsidRPr="00837224">
        <w:rPr>
          <w:b/>
        </w:rPr>
        <w:t>revenue</w:t>
      </w:r>
      <w:r>
        <w:rPr>
          <w:b/>
        </w:rPr>
        <w:t>s</w:t>
      </w:r>
      <w:r w:rsidRPr="00837224">
        <w:rPr>
          <w:b/>
        </w:rPr>
        <w:t xml:space="preserve"> and </w:t>
      </w:r>
      <w:r>
        <w:rPr>
          <w:b/>
        </w:rPr>
        <w:t>almost 50</w:t>
      </w:r>
      <w:r w:rsidRPr="00837224">
        <w:rPr>
          <w:b/>
        </w:rPr>
        <w:t xml:space="preserve"> percent of public spending.</w:t>
      </w:r>
      <w:r w:rsidRPr="00837224">
        <w:t xml:space="preserve"> Th</w:t>
      </w:r>
      <w:r>
        <w:t xml:space="preserve">e exercise </w:t>
      </w:r>
      <w:r w:rsidRPr="00837224">
        <w:t>analyze</w:t>
      </w:r>
      <w:r>
        <w:t>s</w:t>
      </w:r>
      <w:r w:rsidRPr="00837224">
        <w:t xml:space="preserve"> the impacts of a large share of </w:t>
      </w:r>
      <w:r w:rsidR="005B1F93">
        <w:t xml:space="preserve">the </w:t>
      </w:r>
      <w:r w:rsidRPr="00837224">
        <w:t>direct taxes collected from individuals, VAT, and excise taxes</w:t>
      </w:r>
      <w:r>
        <w:t xml:space="preserve"> on the distribution of household income</w:t>
      </w:r>
      <w:r w:rsidRPr="00837224">
        <w:t xml:space="preserve">. </w:t>
      </w:r>
      <w:r>
        <w:t>T</w:t>
      </w:r>
      <w:r w:rsidRPr="00837224">
        <w:t xml:space="preserve">hese taxes </w:t>
      </w:r>
      <w:r>
        <w:t>contribute more than</w:t>
      </w:r>
      <w:r w:rsidRPr="00837224">
        <w:t xml:space="preserve"> 60 percent of the revenue side of the </w:t>
      </w:r>
      <w:r>
        <w:t>fiscal</w:t>
      </w:r>
      <w:r w:rsidRPr="00837224">
        <w:t xml:space="preserve"> system. On the </w:t>
      </w:r>
      <w:r>
        <w:t>public expenditure</w:t>
      </w:r>
      <w:r w:rsidRPr="00837224">
        <w:t xml:space="preserve"> side, </w:t>
      </w:r>
      <w:r>
        <w:t>the analysis covers social protection spending</w:t>
      </w:r>
      <w:r w:rsidR="005B1F93">
        <w:t>,</w:t>
      </w:r>
      <w:r>
        <w:t xml:space="preserve"> including n</w:t>
      </w:r>
      <w:r w:rsidR="004C6E0D">
        <w:t>on</w:t>
      </w:r>
      <w:r>
        <w:t>contributory pensions, Social Aid, and other cash</w:t>
      </w:r>
      <w:r w:rsidRPr="00837224">
        <w:t xml:space="preserve"> transfer schemes</w:t>
      </w:r>
      <w:r w:rsidR="005B1F93">
        <w:t>,</w:t>
      </w:r>
      <w:r w:rsidRPr="00837224">
        <w:t xml:space="preserve"> </w:t>
      </w:r>
      <w:r w:rsidRPr="00EA1734">
        <w:t>in addition to public spending on education and health</w:t>
      </w:r>
      <w:r w:rsidR="005B1F93">
        <w:t xml:space="preserve"> care</w:t>
      </w:r>
      <w:r w:rsidRPr="00EA1734">
        <w:t xml:space="preserve">. This represents about 50 percent of the spending side. </w:t>
      </w:r>
      <w:r w:rsidR="00D37202" w:rsidRPr="00EA1734">
        <w:t>The imbalance that results from covering a l</w:t>
      </w:r>
      <w:r w:rsidR="00D37202" w:rsidRPr="00837224">
        <w:t xml:space="preserve">arger share of the revenue side is not unusual for </w:t>
      </w:r>
      <w:r w:rsidR="00D37202">
        <w:t>this type of analy</w:t>
      </w:r>
      <w:r w:rsidR="005B1F93">
        <w:t>sis</w:t>
      </w:r>
      <w:r w:rsidR="00D37202">
        <w:t xml:space="preserve"> and is largely ascribable to the fact that a large part of public</w:t>
      </w:r>
      <w:r w:rsidR="00D37202" w:rsidRPr="00837224">
        <w:t xml:space="preserve"> spending </w:t>
      </w:r>
      <w:r w:rsidR="00D37202">
        <w:t xml:space="preserve">consists </w:t>
      </w:r>
      <w:r w:rsidR="00D37202" w:rsidRPr="00837224">
        <w:t xml:space="preserve">of public goods that cannot easily be allocated to specific households. </w:t>
      </w:r>
      <w:r w:rsidR="00D37202">
        <w:t>T</w:t>
      </w:r>
      <w:r w:rsidR="00D37202" w:rsidRPr="00837224">
        <w:t xml:space="preserve">axes </w:t>
      </w:r>
      <w:r w:rsidR="00D37202">
        <w:t xml:space="preserve">tend to increase poverty with respect to </w:t>
      </w:r>
      <w:r w:rsidR="00C11058">
        <w:t>pre</w:t>
      </w:r>
      <w:r w:rsidR="00D37202">
        <w:t>tax income,</w:t>
      </w:r>
      <w:r w:rsidR="00D37202" w:rsidRPr="00837224">
        <w:t xml:space="preserve"> while transfers</w:t>
      </w:r>
      <w:r w:rsidR="00D37202">
        <w:t xml:space="preserve">, particularly if well targeted, have a poverty reducing effect. Therefore, the imbalance in the coverage of taxes and transfers is expected to </w:t>
      </w:r>
      <w:r w:rsidR="00D37202" w:rsidRPr="00837224">
        <w:t>show increasing poverty.</w:t>
      </w:r>
      <w:r w:rsidR="00122D40">
        <w:t xml:space="preserve"> </w:t>
      </w:r>
      <w:r w:rsidR="00D61B37" w:rsidRPr="00EA1734">
        <w:t xml:space="preserve">The assumptions </w:t>
      </w:r>
      <w:r w:rsidR="007F5957" w:rsidRPr="00EA1734">
        <w:t xml:space="preserve">of the exercise </w:t>
      </w:r>
      <w:r w:rsidR="00D61B37" w:rsidRPr="00EA1734">
        <w:t xml:space="preserve">are assessed by comparing the ratio of </w:t>
      </w:r>
      <w:r w:rsidR="007F5957" w:rsidRPr="00EA1734">
        <w:t xml:space="preserve">the value of </w:t>
      </w:r>
      <w:r w:rsidR="00D61B37" w:rsidRPr="00EA1734">
        <w:t>each fiscal element</w:t>
      </w:r>
      <w:r w:rsidR="007F5957" w:rsidRPr="00EA1734">
        <w:t xml:space="preserve"> </w:t>
      </w:r>
      <w:r w:rsidR="00D61B37" w:rsidRPr="00EA1734">
        <w:t xml:space="preserve">to total </w:t>
      </w:r>
      <w:r w:rsidR="000D76A4" w:rsidRPr="00EA1734">
        <w:t>disposable income</w:t>
      </w:r>
      <w:r w:rsidR="00D61B37" w:rsidRPr="00EA1734">
        <w:t xml:space="preserve"> in the survey, with the same ratio from national accounts. </w:t>
      </w:r>
      <w:r w:rsidR="000D76A4" w:rsidRPr="00EA1734">
        <w:t>I</w:t>
      </w:r>
      <w:r w:rsidR="00D61B37" w:rsidRPr="00EA1734">
        <w:t xml:space="preserve">t is important to assess whether the relative size of the fiscal element in the economy is equal or close to the relative value of that element </w:t>
      </w:r>
      <w:r w:rsidR="000D76A4" w:rsidRPr="00EA1734">
        <w:t>as captured or simulated in</w:t>
      </w:r>
      <w:r w:rsidR="00D61B37" w:rsidRPr="00EA1734">
        <w:t xml:space="preserve"> the </w:t>
      </w:r>
      <w:r w:rsidR="008C5020">
        <w:t>Household Budget Survey (</w:t>
      </w:r>
      <w:r w:rsidR="00D61B37" w:rsidRPr="00EA1734">
        <w:t>HBS</w:t>
      </w:r>
      <w:r w:rsidR="008C5020">
        <w:t>)</w:t>
      </w:r>
      <w:r w:rsidR="00D61B37" w:rsidRPr="00EA1734">
        <w:t xml:space="preserve">. </w:t>
      </w:r>
      <w:r w:rsidR="004226F1">
        <w:t xml:space="preserve">Annex B, </w:t>
      </w:r>
      <w:r w:rsidR="00EA1734">
        <w:fldChar w:fldCharType="begin"/>
      </w:r>
      <w:r w:rsidR="00EA1734">
        <w:instrText xml:space="preserve"> REF _Ref11254279 \h  \* MERGEFORMAT </w:instrText>
      </w:r>
      <w:r w:rsidR="00EA1734">
        <w:fldChar w:fldCharType="separate"/>
      </w:r>
      <w:r w:rsidR="00EA1734" w:rsidRPr="00EA1734">
        <w:t>Table B</w:t>
      </w:r>
      <w:r w:rsidR="004226F1">
        <w:t>.</w:t>
      </w:r>
      <w:r w:rsidR="00EA1734" w:rsidRPr="00EA1734">
        <w:t>1</w:t>
      </w:r>
      <w:r w:rsidR="00EA1734">
        <w:fldChar w:fldCharType="end"/>
      </w:r>
      <w:r w:rsidR="002C58A2" w:rsidRPr="00EA1734">
        <w:t xml:space="preserve"> illustrates these checks and compares</w:t>
      </w:r>
      <w:r w:rsidR="00D61B37" w:rsidRPr="00EA1734">
        <w:t xml:space="preserve"> </w:t>
      </w:r>
      <w:r w:rsidR="00E94A97" w:rsidRPr="00EA1734">
        <w:t>the share of the amount of each fiscal element in the survey to the revenue</w:t>
      </w:r>
      <w:r w:rsidR="008830F1">
        <w:t xml:space="preserve"> or </w:t>
      </w:r>
      <w:r w:rsidR="00E94A97" w:rsidRPr="00EA1734">
        <w:t>transfer in the national accounts</w:t>
      </w:r>
      <w:r w:rsidR="00D61B37" w:rsidRPr="00EA1734">
        <w:t xml:space="preserve">. </w:t>
      </w:r>
      <w:r w:rsidR="006945F8">
        <w:t>T</w:t>
      </w:r>
      <w:r w:rsidR="00D61B37" w:rsidRPr="00EA1734">
        <w:t>he model performs relatively well</w:t>
      </w:r>
      <w:r w:rsidR="006945F8">
        <w:t xml:space="preserve"> for most fiscal instruments</w:t>
      </w:r>
      <w:r w:rsidR="00D61B37" w:rsidRPr="00EA1734">
        <w:t xml:space="preserve">. </w:t>
      </w:r>
      <w:r w:rsidR="005F2A82">
        <w:t>Two</w:t>
      </w:r>
      <w:r w:rsidR="00932ADF">
        <w:t xml:space="preserve"> exception</w:t>
      </w:r>
      <w:r w:rsidR="005F2A82">
        <w:t>s are</w:t>
      </w:r>
      <w:r w:rsidR="00932ADF">
        <w:t xml:space="preserve"> </w:t>
      </w:r>
      <w:r w:rsidR="00805D33">
        <w:t xml:space="preserve">the </w:t>
      </w:r>
      <w:r w:rsidR="00932ADF">
        <w:t xml:space="preserve">PIT </w:t>
      </w:r>
      <w:r w:rsidR="005F2A82">
        <w:t xml:space="preserve">and VAT. </w:t>
      </w:r>
      <w:r w:rsidR="00805D33">
        <w:t xml:space="preserve">The </w:t>
      </w:r>
      <w:r w:rsidR="005F2A82">
        <w:t>PIT</w:t>
      </w:r>
      <w:r w:rsidR="00932ADF">
        <w:t xml:space="preserve"> is underestimated in the survey </w:t>
      </w:r>
      <w:r w:rsidR="008830F1">
        <w:t xml:space="preserve">because of the </w:t>
      </w:r>
      <w:r w:rsidR="00932ADF">
        <w:t>inability of household surveys to capture top incomes</w:t>
      </w:r>
      <w:r w:rsidR="00B215E6">
        <w:t xml:space="preserve">; </w:t>
      </w:r>
      <w:r w:rsidR="008830F1">
        <w:t xml:space="preserve">the </w:t>
      </w:r>
      <w:r w:rsidR="00B215E6">
        <w:t>VAT</w:t>
      </w:r>
      <w:r w:rsidR="008064EE">
        <w:t xml:space="preserve"> </w:t>
      </w:r>
      <w:r w:rsidR="00542C5F">
        <w:t xml:space="preserve">is paid </w:t>
      </w:r>
      <w:r w:rsidR="008830F1">
        <w:t xml:space="preserve">partly </w:t>
      </w:r>
      <w:r w:rsidR="00542C5F">
        <w:t>by</w:t>
      </w:r>
      <w:r w:rsidR="008064EE">
        <w:t xml:space="preserve"> firms and </w:t>
      </w:r>
      <w:r w:rsidR="008830F1">
        <w:t xml:space="preserve">partly </w:t>
      </w:r>
      <w:r w:rsidR="008064EE">
        <w:t>by tourists</w:t>
      </w:r>
      <w:r w:rsidR="008830F1">
        <w:t>,</w:t>
      </w:r>
      <w:r w:rsidR="008064EE">
        <w:t xml:space="preserve"> </w:t>
      </w:r>
      <w:r w:rsidR="008830F1">
        <w:t xml:space="preserve">who </w:t>
      </w:r>
      <w:r w:rsidR="008064EE">
        <w:t>are not captured in the household survey</w:t>
      </w:r>
      <w:r w:rsidR="00B215E6">
        <w:t xml:space="preserve">. By contrast, the </w:t>
      </w:r>
      <w:r w:rsidR="00D37202">
        <w:t>survey</w:t>
      </w:r>
      <w:r w:rsidR="00B215E6">
        <w:t xml:space="preserve"> slightly overestimates the</w:t>
      </w:r>
      <w:r w:rsidR="00D37202">
        <w:t xml:space="preserve"> total</w:t>
      </w:r>
      <w:r w:rsidR="00B215E6">
        <w:t xml:space="preserve"> amount of</w:t>
      </w:r>
      <w:r w:rsidR="00D37202">
        <w:t xml:space="preserve"> </w:t>
      </w:r>
      <w:r w:rsidR="00F55CB3">
        <w:t xml:space="preserve">the basic retirement pension (BRP) </w:t>
      </w:r>
      <w:r w:rsidR="00D37202">
        <w:t>paid to beneficiaries.</w:t>
      </w:r>
    </w:p>
    <w:tbl>
      <w:tblPr>
        <w:tblW w:w="9360" w:type="dxa"/>
        <w:tblLayout w:type="fixed"/>
        <w:tblCellMar>
          <w:left w:w="0" w:type="dxa"/>
          <w:right w:w="0" w:type="dxa"/>
        </w:tblCellMar>
        <w:tblLook w:val="04A0" w:firstRow="1" w:lastRow="0" w:firstColumn="1" w:lastColumn="0" w:noHBand="0" w:noVBand="1"/>
      </w:tblPr>
      <w:tblGrid>
        <w:gridCol w:w="9360"/>
      </w:tblGrid>
      <w:tr w:rsidR="004D4D35" w:rsidRPr="002B0033" w14:paraId="7582FF81" w14:textId="77777777" w:rsidTr="004B37D4">
        <w:trPr>
          <w:cantSplit/>
        </w:trPr>
        <w:tc>
          <w:tcPr>
            <w:tcW w:w="9360" w:type="dxa"/>
          </w:tcPr>
          <w:p w14:paraId="5AA13534" w14:textId="3C634EFF" w:rsidR="004D4D35" w:rsidRPr="002B0033" w:rsidRDefault="004D4D35" w:rsidP="004B37D4">
            <w:pPr>
              <w:pStyle w:val="FigureandTable"/>
              <w:rPr>
                <w:lang w:eastAsia="en-GB"/>
              </w:rPr>
            </w:pPr>
            <w:bookmarkStart w:id="43" w:name="_Ref8756925"/>
            <w:bookmarkStart w:id="44" w:name="_Toc4496473"/>
            <w:bookmarkStart w:id="45" w:name="_Toc11255065"/>
            <w:r w:rsidRPr="002B0033">
              <w:rPr>
                <w:lang w:eastAsia="en-GB"/>
              </w:rPr>
              <w:t xml:space="preserve">Figure </w:t>
            </w:r>
            <w:r>
              <w:rPr>
                <w:lang w:eastAsia="en-GB"/>
              </w:rPr>
              <w:fldChar w:fldCharType="begin"/>
            </w:r>
            <w:r>
              <w:rPr>
                <w:lang w:eastAsia="en-GB"/>
              </w:rPr>
              <w:instrText xml:space="preserve"> STYLEREF 1 \s </w:instrText>
            </w:r>
            <w:r>
              <w:rPr>
                <w:lang w:eastAsia="en-GB"/>
              </w:rPr>
              <w:fldChar w:fldCharType="separate"/>
            </w:r>
            <w:r w:rsidR="00C37C80">
              <w:rPr>
                <w:noProof/>
                <w:lang w:eastAsia="en-GB"/>
              </w:rPr>
              <w:t>3</w:t>
            </w:r>
            <w:r>
              <w:rPr>
                <w:lang w:eastAsia="en-GB"/>
              </w:rPr>
              <w:fldChar w:fldCharType="end"/>
            </w:r>
            <w:r>
              <w:rPr>
                <w:lang w:eastAsia="en-GB"/>
              </w:rPr>
              <w:t>.</w:t>
            </w:r>
            <w:r>
              <w:rPr>
                <w:lang w:eastAsia="en-GB"/>
              </w:rPr>
              <w:fldChar w:fldCharType="begin"/>
            </w:r>
            <w:r>
              <w:rPr>
                <w:lang w:eastAsia="en-GB"/>
              </w:rPr>
              <w:instrText xml:space="preserve"> SEQ Figure \* ARABIC \s 1 </w:instrText>
            </w:r>
            <w:r>
              <w:rPr>
                <w:lang w:eastAsia="en-GB"/>
              </w:rPr>
              <w:fldChar w:fldCharType="separate"/>
            </w:r>
            <w:r w:rsidR="00C37C80">
              <w:rPr>
                <w:noProof/>
                <w:lang w:eastAsia="en-GB"/>
              </w:rPr>
              <w:t>2</w:t>
            </w:r>
            <w:r>
              <w:rPr>
                <w:lang w:eastAsia="en-GB"/>
              </w:rPr>
              <w:fldChar w:fldCharType="end"/>
            </w:r>
            <w:bookmarkEnd w:id="43"/>
            <w:r w:rsidRPr="002B0033">
              <w:rPr>
                <w:lang w:eastAsia="en-GB"/>
              </w:rPr>
              <w:t xml:space="preserve">. </w:t>
            </w:r>
            <w:r w:rsidR="008B6CC3" w:rsidRPr="00F11201">
              <w:t>Public Spending</w:t>
            </w:r>
            <w:r w:rsidR="008B6CC3">
              <w:t>,</w:t>
            </w:r>
            <w:r w:rsidR="008B6CC3" w:rsidRPr="00F11201">
              <w:t xml:space="preserve"> </w:t>
            </w:r>
            <w:r w:rsidR="008830F1">
              <w:t xml:space="preserve">by </w:t>
            </w:r>
            <w:r w:rsidR="008B6CC3">
              <w:t>S</w:t>
            </w:r>
            <w:r w:rsidR="00374FFA">
              <w:t>hare of GDP</w:t>
            </w:r>
            <w:r w:rsidR="008B6CC3">
              <w:t>,</w:t>
            </w:r>
            <w:r w:rsidR="00374FFA">
              <w:t xml:space="preserve"> </w:t>
            </w:r>
            <w:r w:rsidR="008B6CC3">
              <w:t>S</w:t>
            </w:r>
            <w:bookmarkEnd w:id="44"/>
            <w:r w:rsidR="008B6CC3">
              <w:t>elected Functions</w:t>
            </w:r>
            <w:bookmarkEnd w:id="45"/>
            <w:r w:rsidR="008B6CC3">
              <w:t>,</w:t>
            </w:r>
            <w:r w:rsidR="008B6CC3" w:rsidRPr="00F11201">
              <w:t xml:space="preserve"> </w:t>
            </w:r>
            <w:r w:rsidR="008B6CC3">
              <w:t>Mauritius and Middle-Income Countries, Circa</w:t>
            </w:r>
            <w:r w:rsidR="008B6CC3" w:rsidRPr="003212F5">
              <w:t xml:space="preserve"> 2017</w:t>
            </w:r>
          </w:p>
        </w:tc>
      </w:tr>
      <w:tr w:rsidR="004D4D35" w:rsidRPr="002B0033" w14:paraId="7959463C" w14:textId="77777777" w:rsidTr="004B37D4">
        <w:tblPrEx>
          <w:tblCellMar>
            <w:left w:w="108" w:type="dxa"/>
            <w:right w:w="108" w:type="dxa"/>
          </w:tblCellMar>
        </w:tblPrEx>
        <w:trPr>
          <w:cantSplit/>
        </w:trPr>
        <w:tc>
          <w:tcPr>
            <w:tcW w:w="9360" w:type="dxa"/>
          </w:tcPr>
          <w:p w14:paraId="3D90DC1E" w14:textId="273B8C4A" w:rsidR="004D4D35" w:rsidRPr="002B0033" w:rsidRDefault="00615B4B" w:rsidP="004B37D4">
            <w:pPr>
              <w:spacing w:after="120"/>
              <w:rPr>
                <w:rFonts w:cs="Times New Roman"/>
                <w:sz w:val="16"/>
                <w:szCs w:val="16"/>
              </w:rPr>
            </w:pPr>
            <w:r>
              <w:rPr>
                <w:rFonts w:cs="Times New Roman"/>
                <w:noProof/>
                <w:sz w:val="16"/>
                <w:szCs w:val="16"/>
              </w:rPr>
              <w:drawing>
                <wp:inline distT="0" distB="0" distL="0" distR="0" wp14:anchorId="3281AC21" wp14:editId="7EA03A07">
                  <wp:extent cx="4416552" cy="3218688"/>
                  <wp:effectExtent l="0" t="0" r="3175" b="1270"/>
                  <wp:docPr id="3" name="Picture 3" descr="A pencil and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untry_spending.png"/>
                          <pic:cNvPicPr/>
                        </pic:nvPicPr>
                        <pic:blipFill>
                          <a:blip r:embed="rId11">
                            <a:extLst>
                              <a:ext uri="{28A0092B-C50C-407E-A947-70E740481C1C}">
                                <a14:useLocalDpi xmlns:a14="http://schemas.microsoft.com/office/drawing/2010/main" val="0"/>
                              </a:ext>
                            </a:extLst>
                          </a:blip>
                          <a:stretch>
                            <a:fillRect/>
                          </a:stretch>
                        </pic:blipFill>
                        <pic:spPr>
                          <a:xfrm>
                            <a:off x="0" y="0"/>
                            <a:ext cx="4416552" cy="3218688"/>
                          </a:xfrm>
                          <a:prstGeom prst="rect">
                            <a:avLst/>
                          </a:prstGeom>
                        </pic:spPr>
                      </pic:pic>
                    </a:graphicData>
                  </a:graphic>
                </wp:inline>
              </w:drawing>
            </w:r>
          </w:p>
        </w:tc>
      </w:tr>
      <w:tr w:rsidR="004D4D35" w:rsidRPr="002B0033" w14:paraId="38623F2A" w14:textId="77777777" w:rsidTr="004B37D4">
        <w:tblPrEx>
          <w:tblCellMar>
            <w:left w:w="108" w:type="dxa"/>
            <w:right w:w="108" w:type="dxa"/>
          </w:tblCellMar>
        </w:tblPrEx>
        <w:trPr>
          <w:cantSplit/>
        </w:trPr>
        <w:tc>
          <w:tcPr>
            <w:tcW w:w="9360" w:type="dxa"/>
            <w:tcBorders>
              <w:top w:val="nil"/>
              <w:left w:val="nil"/>
              <w:bottom w:val="nil"/>
              <w:right w:val="nil"/>
            </w:tcBorders>
          </w:tcPr>
          <w:p w14:paraId="1C2E543C" w14:textId="64C4309E" w:rsidR="004D4D35" w:rsidRPr="005C35CD" w:rsidRDefault="004D4D35" w:rsidP="004B37D4">
            <w:pPr>
              <w:widowControl w:val="0"/>
              <w:spacing w:after="0"/>
              <w:rPr>
                <w:rFonts w:cs="Times New Roman"/>
                <w:sz w:val="18"/>
                <w:szCs w:val="18"/>
              </w:rPr>
            </w:pPr>
            <w:r w:rsidRPr="002B0033">
              <w:rPr>
                <w:rFonts w:cs="Times New Roman"/>
                <w:i/>
                <w:sz w:val="18"/>
                <w:szCs w:val="18"/>
              </w:rPr>
              <w:t>Source:</w:t>
            </w:r>
            <w:r w:rsidRPr="002B0033">
              <w:rPr>
                <w:rFonts w:cs="Times New Roman"/>
                <w:sz w:val="18"/>
                <w:szCs w:val="18"/>
              </w:rPr>
              <w:t xml:space="preserve"> </w:t>
            </w:r>
            <w:r w:rsidRPr="00661FAA">
              <w:rPr>
                <w:rFonts w:cs="Times New Roman"/>
                <w:sz w:val="18"/>
                <w:szCs w:val="18"/>
              </w:rPr>
              <w:t xml:space="preserve">Based on data of the </w:t>
            </w:r>
            <w:r>
              <w:rPr>
                <w:rFonts w:cs="Times New Roman"/>
                <w:sz w:val="18"/>
                <w:szCs w:val="18"/>
              </w:rPr>
              <w:t>Government Finance Statistics</w:t>
            </w:r>
            <w:r w:rsidRPr="00661FAA">
              <w:rPr>
                <w:rFonts w:cs="Times New Roman"/>
                <w:sz w:val="18"/>
                <w:szCs w:val="18"/>
              </w:rPr>
              <w:t xml:space="preserve">, </w:t>
            </w:r>
            <w:r>
              <w:rPr>
                <w:rFonts w:cs="Times New Roman"/>
                <w:sz w:val="18"/>
                <w:szCs w:val="18"/>
              </w:rPr>
              <w:t>International Monetary Fund</w:t>
            </w:r>
            <w:r w:rsidRPr="00661FAA">
              <w:rPr>
                <w:rFonts w:cs="Times New Roman"/>
                <w:sz w:val="18"/>
                <w:szCs w:val="18"/>
              </w:rPr>
              <w:t>.</w:t>
            </w:r>
          </w:p>
        </w:tc>
      </w:tr>
    </w:tbl>
    <w:p w14:paraId="4B93A777" w14:textId="77777777" w:rsidR="00021BB9" w:rsidRDefault="00021BB9" w:rsidP="002E6831"/>
    <w:p w14:paraId="7C097A3A" w14:textId="2C61D7A4" w:rsidR="00E34780" w:rsidRDefault="00E34780" w:rsidP="002B019D">
      <w:pPr>
        <w:pStyle w:val="Heading2"/>
        <w:numPr>
          <w:ilvl w:val="1"/>
          <w:numId w:val="2"/>
        </w:numPr>
      </w:pPr>
      <w:bookmarkStart w:id="46" w:name="_Toc8812797"/>
      <w:bookmarkStart w:id="47" w:name="_Toc10824870"/>
      <w:bookmarkStart w:id="48" w:name="_Toc10824942"/>
      <w:r>
        <w:t>Direct Taxes</w:t>
      </w:r>
      <w:r w:rsidR="00EC45CF">
        <w:t xml:space="preserve"> and Transfers</w:t>
      </w:r>
      <w:bookmarkEnd w:id="46"/>
      <w:bookmarkEnd w:id="47"/>
      <w:bookmarkEnd w:id="48"/>
    </w:p>
    <w:p w14:paraId="0738E27B" w14:textId="06222A95" w:rsidR="00EC45CF" w:rsidRDefault="00EC45CF" w:rsidP="00EC45CF">
      <w:pPr>
        <w:pStyle w:val="Heading3"/>
      </w:pPr>
      <w:bookmarkStart w:id="49" w:name="_Toc8812798"/>
      <w:bookmarkStart w:id="50" w:name="_Toc10824871"/>
      <w:bookmarkStart w:id="51" w:name="_Toc10824943"/>
      <w:r>
        <w:t>Direct Taxes</w:t>
      </w:r>
      <w:bookmarkEnd w:id="49"/>
      <w:bookmarkEnd w:id="50"/>
      <w:bookmarkEnd w:id="51"/>
    </w:p>
    <w:p w14:paraId="67DB11EF" w14:textId="5DBAEB6E" w:rsidR="00242968" w:rsidRDefault="00730053" w:rsidP="00FE2444">
      <w:pPr>
        <w:shd w:val="clear" w:color="auto" w:fill="FFFFFF"/>
        <w:spacing w:before="15" w:after="15" w:line="270" w:lineRule="atLeast"/>
      </w:pPr>
      <w:r>
        <w:rPr>
          <w:b/>
        </w:rPr>
        <w:t xml:space="preserve">The PIT </w:t>
      </w:r>
      <w:r w:rsidR="009249B9" w:rsidRPr="007C3F88">
        <w:rPr>
          <w:b/>
        </w:rPr>
        <w:t>is flat</w:t>
      </w:r>
      <w:r w:rsidR="00106FD3">
        <w:rPr>
          <w:b/>
        </w:rPr>
        <w:t xml:space="preserve"> </w:t>
      </w:r>
      <w:r w:rsidR="00810DCF" w:rsidRPr="007C3F88">
        <w:rPr>
          <w:b/>
        </w:rPr>
        <w:t xml:space="preserve">and embeds a progressive element through a system of </w:t>
      </w:r>
      <w:r w:rsidR="00FA6C7E" w:rsidRPr="007C3F88">
        <w:rPr>
          <w:b/>
        </w:rPr>
        <w:t>exemption thresholds</w:t>
      </w:r>
      <w:r w:rsidR="00810DCF" w:rsidRPr="007C3F88">
        <w:rPr>
          <w:b/>
        </w:rPr>
        <w:t xml:space="preserve"> and deductions</w:t>
      </w:r>
      <w:r w:rsidR="004F4EF1" w:rsidRPr="007C3F88">
        <w:rPr>
          <w:b/>
        </w:rPr>
        <w:t>.</w:t>
      </w:r>
      <w:r w:rsidR="004F4EF1" w:rsidRPr="004F4EF1">
        <w:t xml:space="preserve"> </w:t>
      </w:r>
      <w:r>
        <w:t xml:space="preserve">The </w:t>
      </w:r>
      <w:r w:rsidR="00846FC3">
        <w:t xml:space="preserve">PIT </w:t>
      </w:r>
      <w:r w:rsidR="00794DF1" w:rsidRPr="004F4EF1">
        <w:t xml:space="preserve">is governed by the Income Tax Act </w:t>
      </w:r>
      <w:r w:rsidR="001C4B94">
        <w:t>of 1995</w:t>
      </w:r>
      <w:r w:rsidR="00C24C83">
        <w:t>, which is</w:t>
      </w:r>
      <w:r w:rsidR="006D3013">
        <w:t xml:space="preserve"> consolidated every year</w:t>
      </w:r>
      <w:r w:rsidR="00C24C83">
        <w:t xml:space="preserve"> by the Finance Act </w:t>
      </w:r>
      <w:r w:rsidR="00794DF1">
        <w:t>and</w:t>
      </w:r>
      <w:r w:rsidR="006A16F1">
        <w:t xml:space="preserve"> </w:t>
      </w:r>
      <w:r w:rsidR="006D3013">
        <w:t xml:space="preserve">is </w:t>
      </w:r>
      <w:r w:rsidR="004F4EF1" w:rsidRPr="004F4EF1">
        <w:t xml:space="preserve">imposed </w:t>
      </w:r>
      <w:r w:rsidR="00E10E09">
        <w:t>on chargeable income</w:t>
      </w:r>
      <w:r w:rsidR="008830F1">
        <w:t>,</w:t>
      </w:r>
      <w:r w:rsidR="00E10E09">
        <w:t xml:space="preserve"> includ</w:t>
      </w:r>
      <w:r w:rsidR="008830F1">
        <w:t xml:space="preserve">ing </w:t>
      </w:r>
      <w:r w:rsidR="001E49F0" w:rsidRPr="00D80376">
        <w:t>salaries and wages, annuit</w:t>
      </w:r>
      <w:r w:rsidR="008830F1">
        <w:t>ies</w:t>
      </w:r>
      <w:r w:rsidR="001E49F0" w:rsidRPr="00D80376">
        <w:t>, pension</w:t>
      </w:r>
      <w:r w:rsidR="008830F1">
        <w:t>s</w:t>
      </w:r>
      <w:r w:rsidR="001E49F0" w:rsidRPr="00D80376">
        <w:t>, income from business, income from property, foreign dividends, royalt</w:t>
      </w:r>
      <w:r w:rsidR="008830F1">
        <w:t xml:space="preserve">ies, </w:t>
      </w:r>
      <w:r w:rsidR="00794DF1" w:rsidRPr="00D80376">
        <w:t>and</w:t>
      </w:r>
      <w:r w:rsidR="001E49F0" w:rsidRPr="00D80376">
        <w:t xml:space="preserve"> interest.</w:t>
      </w:r>
      <w:r w:rsidR="00794DF1" w:rsidRPr="00D80376">
        <w:t xml:space="preserve"> </w:t>
      </w:r>
      <w:r w:rsidR="00B639F9" w:rsidRPr="00D80376">
        <w:t>For a number of years until fiscal year 201</w:t>
      </w:r>
      <w:r w:rsidR="00D80376" w:rsidRPr="00D80376">
        <w:t>6</w:t>
      </w:r>
      <w:r w:rsidR="00B639F9" w:rsidRPr="00D80376">
        <w:t>/1</w:t>
      </w:r>
      <w:r w:rsidR="00D80376" w:rsidRPr="00D80376">
        <w:t>7</w:t>
      </w:r>
      <w:r w:rsidR="00B639F9" w:rsidRPr="00D80376">
        <w:t xml:space="preserve">, </w:t>
      </w:r>
      <w:r w:rsidR="008830F1">
        <w:t xml:space="preserve">there was only </w:t>
      </w:r>
      <w:r w:rsidR="00B639F9" w:rsidRPr="00D80376">
        <w:t>o</w:t>
      </w:r>
      <w:r w:rsidR="00D80376" w:rsidRPr="00D80376">
        <w:t xml:space="preserve">ne </w:t>
      </w:r>
      <w:r w:rsidR="00B639F9" w:rsidRPr="00D80376">
        <w:t>tax rate</w:t>
      </w:r>
      <w:r w:rsidR="008830F1">
        <w:t>,</w:t>
      </w:r>
      <w:r w:rsidR="00D80376" w:rsidRPr="00D80376">
        <w:t xml:space="preserve"> at 15 percent</w:t>
      </w:r>
      <w:r w:rsidR="000C364C">
        <w:t xml:space="preserve"> (</w:t>
      </w:r>
      <w:r w:rsidR="000C364C">
        <w:fldChar w:fldCharType="begin"/>
      </w:r>
      <w:r w:rsidR="000C364C">
        <w:instrText xml:space="preserve"> REF _Ref8231291 \h </w:instrText>
      </w:r>
      <w:r w:rsidR="008C0745">
        <w:instrText xml:space="preserve"> \* MERGEFORMAT </w:instrText>
      </w:r>
      <w:r w:rsidR="000C364C">
        <w:fldChar w:fldCharType="separate"/>
      </w:r>
      <w:r w:rsidR="00C37C80" w:rsidRPr="00C37C80">
        <w:t>Table 3.3</w:t>
      </w:r>
      <w:r w:rsidR="000C364C">
        <w:fldChar w:fldCharType="end"/>
      </w:r>
      <w:r w:rsidR="000C364C">
        <w:t>)</w:t>
      </w:r>
      <w:r w:rsidR="00D80376" w:rsidRPr="00D80376">
        <w:t>.</w:t>
      </w:r>
      <w:r w:rsidR="00D80376">
        <w:rPr>
          <w:rStyle w:val="FootnoteReference"/>
        </w:rPr>
        <w:footnoteReference w:id="9"/>
      </w:r>
      <w:r w:rsidR="00D80376" w:rsidRPr="00D80376">
        <w:t xml:space="preserve"> </w:t>
      </w:r>
      <w:r w:rsidR="002F1ECE">
        <w:t>In fiscal year</w:t>
      </w:r>
      <w:r w:rsidR="00437336">
        <w:t xml:space="preserve"> 2017/18, a solidarity levy was introduced at a rate of 5 percent</w:t>
      </w:r>
      <w:r w:rsidR="00647247">
        <w:t xml:space="preserve"> to be </w:t>
      </w:r>
      <w:r w:rsidR="00F56596">
        <w:t>levied</w:t>
      </w:r>
      <w:r w:rsidR="00647247">
        <w:t xml:space="preserve"> on </w:t>
      </w:r>
      <w:r w:rsidR="00173E50">
        <w:t>chargeable</w:t>
      </w:r>
      <w:r w:rsidR="00647247">
        <w:t xml:space="preserve"> income (plus dividends) in excess of </w:t>
      </w:r>
      <w:r w:rsidR="00C465B1">
        <w:t>MUR</w:t>
      </w:r>
      <w:r w:rsidR="00647247">
        <w:t xml:space="preserve"> 3</w:t>
      </w:r>
      <w:r w:rsidR="00C465B1">
        <w:t>.</w:t>
      </w:r>
      <w:r w:rsidR="00647247">
        <w:t>5 million a year</w:t>
      </w:r>
      <w:r w:rsidR="00173E50">
        <w:t xml:space="preserve">. In fiscal year 2018/19, the </w:t>
      </w:r>
      <w:r w:rsidR="00F56596">
        <w:t xml:space="preserve">flat tax system was </w:t>
      </w:r>
      <w:r w:rsidR="00425EDB">
        <w:t>amended,</w:t>
      </w:r>
      <w:r w:rsidR="005E12E9">
        <w:t xml:space="preserve"> and two PIT brackets were introduced: 10 percent on </w:t>
      </w:r>
      <w:r w:rsidR="00425EDB">
        <w:t xml:space="preserve">chargeable </w:t>
      </w:r>
      <w:r w:rsidR="005E12E9">
        <w:t>income</w:t>
      </w:r>
      <w:r w:rsidR="00C227C1">
        <w:t>s</w:t>
      </w:r>
      <w:r w:rsidR="005E12E9">
        <w:t xml:space="preserve"> up to </w:t>
      </w:r>
      <w:r w:rsidR="00C465B1">
        <w:t>MUR</w:t>
      </w:r>
      <w:r w:rsidR="005E12E9">
        <w:t xml:space="preserve"> 650,000 a year and 15 percent on incomes above that </w:t>
      </w:r>
      <w:r w:rsidR="00425EDB">
        <w:t>threshold</w:t>
      </w:r>
      <w:r w:rsidR="005E12E9">
        <w:t>.</w:t>
      </w:r>
      <w:r w:rsidR="00425EDB">
        <w:t xml:space="preserve"> Although</w:t>
      </w:r>
      <w:r w:rsidR="00C227C1">
        <w:t>,</w:t>
      </w:r>
      <w:r w:rsidR="00425EDB">
        <w:t xml:space="preserve"> for many years</w:t>
      </w:r>
      <w:r w:rsidR="00C227C1">
        <w:t>,</w:t>
      </w:r>
      <w:r w:rsidR="00425EDB">
        <w:t xml:space="preserve"> </w:t>
      </w:r>
      <w:r w:rsidR="00846FC3">
        <w:t>PIT featured</w:t>
      </w:r>
      <w:r w:rsidR="00425EDB">
        <w:t xml:space="preserve"> </w:t>
      </w:r>
      <w:r w:rsidR="00C227C1">
        <w:t xml:space="preserve">only </w:t>
      </w:r>
      <w:r w:rsidR="00425EDB">
        <w:t xml:space="preserve">one tax rate, an element of progressivity was </w:t>
      </w:r>
      <w:r w:rsidR="00846FC3">
        <w:t xml:space="preserve">embedded in the system </w:t>
      </w:r>
      <w:r w:rsidR="00C227C1">
        <w:t xml:space="preserve">through </w:t>
      </w:r>
      <w:r w:rsidR="00FA6C7E">
        <w:t>exemptions</w:t>
      </w:r>
      <w:r w:rsidR="007366B8">
        <w:t xml:space="preserve"> and </w:t>
      </w:r>
      <w:r w:rsidR="00FA6C7E">
        <w:t>deductions</w:t>
      </w:r>
      <w:r w:rsidR="007366B8">
        <w:t>.</w:t>
      </w:r>
      <w:r w:rsidR="00FA6C7E">
        <w:t xml:space="preserve"> </w:t>
      </w:r>
      <w:r w:rsidR="00536414">
        <w:t>Exemptions thresholds vary with</w:t>
      </w:r>
      <w:r w:rsidR="00620572">
        <w:t xml:space="preserve"> </w:t>
      </w:r>
      <w:r w:rsidR="00047FC3">
        <w:t>the demographic composition of tax units</w:t>
      </w:r>
      <w:r w:rsidR="00C822D0">
        <w:t>,</w:t>
      </w:r>
      <w:r w:rsidR="00047FC3">
        <w:t xml:space="preserve"> and deductions are allowed for expenditures </w:t>
      </w:r>
      <w:r w:rsidR="00E758AB">
        <w:t xml:space="preserve">on </w:t>
      </w:r>
      <w:r w:rsidR="00C822D0">
        <w:t xml:space="preserve">mortgage </w:t>
      </w:r>
      <w:r w:rsidR="00E758AB">
        <w:t>interest, tuition fees</w:t>
      </w:r>
      <w:r w:rsidR="00EB037D">
        <w:t xml:space="preserve"> for </w:t>
      </w:r>
      <w:r w:rsidR="00E758AB">
        <w:t>tertiary education</w:t>
      </w:r>
      <w:r w:rsidR="00047FC3">
        <w:t xml:space="preserve"> </w:t>
      </w:r>
      <w:r w:rsidR="00C822D0">
        <w:t xml:space="preserve">among </w:t>
      </w:r>
      <w:r w:rsidR="00EB037D">
        <w:t>dependent children, medical insurance premium</w:t>
      </w:r>
      <w:r w:rsidR="00C822D0">
        <w:t>s</w:t>
      </w:r>
      <w:r w:rsidR="00EB037D">
        <w:t xml:space="preserve">, and </w:t>
      </w:r>
      <w:r w:rsidR="007C3F88">
        <w:t xml:space="preserve">wages paid to household employees </w:t>
      </w:r>
      <w:r w:rsidR="00AB60C2">
        <w:t>(introduced in fiscal year 2017/18)</w:t>
      </w:r>
      <w:r w:rsidR="000845B0">
        <w:t xml:space="preserve"> (</w:t>
      </w:r>
      <w:r w:rsidR="000845B0">
        <w:fldChar w:fldCharType="begin"/>
      </w:r>
      <w:r w:rsidR="000845B0">
        <w:instrText xml:space="preserve"> REF _Ref8231291 \h </w:instrText>
      </w:r>
      <w:r w:rsidR="008C0745">
        <w:instrText xml:space="preserve"> \* MERGEFORMAT </w:instrText>
      </w:r>
      <w:r w:rsidR="000845B0">
        <w:fldChar w:fldCharType="separate"/>
      </w:r>
      <w:r w:rsidR="00C37C80" w:rsidRPr="00C37C80">
        <w:t>Table 3.3</w:t>
      </w:r>
      <w:r w:rsidR="000845B0">
        <w:fldChar w:fldCharType="end"/>
      </w:r>
      <w:r w:rsidR="000845B0">
        <w:t>)</w:t>
      </w:r>
      <w:r w:rsidR="00047FC3">
        <w:t xml:space="preserve">. </w:t>
      </w:r>
      <w:r w:rsidR="00AB60C2">
        <w:t xml:space="preserve">Exemption thresholds and </w:t>
      </w:r>
      <w:r w:rsidR="00C822D0">
        <w:t xml:space="preserve">the </w:t>
      </w:r>
      <w:r w:rsidR="00AB60C2">
        <w:t>amount</w:t>
      </w:r>
      <w:r w:rsidR="00C822D0">
        <w:t>s</w:t>
      </w:r>
      <w:r w:rsidR="00AB60C2">
        <w:t xml:space="preserve"> of deductions</w:t>
      </w:r>
      <w:r w:rsidR="00047FC3">
        <w:t xml:space="preserve"> </w:t>
      </w:r>
      <w:r w:rsidR="004F4EF1" w:rsidRPr="004F4EF1">
        <w:t xml:space="preserve">are </w:t>
      </w:r>
      <w:r w:rsidR="00AB60C2">
        <w:t>periodically</w:t>
      </w:r>
      <w:r w:rsidR="004F4EF1" w:rsidRPr="004F4EF1">
        <w:t xml:space="preserve"> adjusted. The analysis uses the tax bracket</w:t>
      </w:r>
      <w:r w:rsidR="00AB60C2">
        <w:t>s, rates, exemptions</w:t>
      </w:r>
      <w:r w:rsidR="00C822D0">
        <w:t>,</w:t>
      </w:r>
      <w:r w:rsidR="00AB60C2">
        <w:t xml:space="preserve"> and deduction</w:t>
      </w:r>
      <w:r w:rsidR="00724869">
        <w:t>s</w:t>
      </w:r>
      <w:r w:rsidR="004F4EF1" w:rsidRPr="004F4EF1">
        <w:t xml:space="preserve"> as applied in </w:t>
      </w:r>
      <w:r w:rsidR="00A1568E">
        <w:t>fiscal year 2016/17</w:t>
      </w:r>
      <w:r w:rsidR="004F4EF1" w:rsidRPr="004F4EF1">
        <w:t>.</w:t>
      </w:r>
    </w:p>
    <w:p w14:paraId="3835510A" w14:textId="77777777" w:rsidR="00FE2444" w:rsidRPr="00FE2444" w:rsidRDefault="00FE2444" w:rsidP="00FE2444">
      <w:pPr>
        <w:shd w:val="clear" w:color="auto" w:fill="FFFFFF"/>
        <w:spacing w:before="15" w:after="15" w:line="270" w:lineRule="atLeast"/>
        <w:rPr>
          <w:rFonts w:ascii="Arial" w:eastAsia="Times New Roman" w:hAnsi="Arial" w:cs="Arial"/>
          <w:color w:val="333333"/>
          <w:sz w:val="18"/>
          <w:szCs w:val="18"/>
        </w:rPr>
      </w:pPr>
    </w:p>
    <w:tbl>
      <w:tblPr>
        <w:tblStyle w:val="PlainTable2"/>
        <w:tblW w:w="8640" w:type="dxa"/>
        <w:tblLook w:val="04A0" w:firstRow="1" w:lastRow="0" w:firstColumn="1" w:lastColumn="0" w:noHBand="0" w:noVBand="1"/>
      </w:tblPr>
      <w:tblGrid>
        <w:gridCol w:w="4770"/>
        <w:gridCol w:w="1017"/>
        <w:gridCol w:w="2853"/>
      </w:tblGrid>
      <w:tr w:rsidR="001D1155" w:rsidRPr="001D1155" w14:paraId="67F1AD9B" w14:textId="77777777" w:rsidTr="000C18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3"/>
            <w:tcBorders>
              <w:top w:val="nil"/>
            </w:tcBorders>
            <w:noWrap/>
          </w:tcPr>
          <w:p w14:paraId="7F54814F" w14:textId="427E7E22" w:rsidR="00242968" w:rsidRPr="001D1155" w:rsidRDefault="00242968" w:rsidP="00242968">
            <w:pPr>
              <w:pStyle w:val="Caption"/>
              <w:keepNext/>
              <w:rPr>
                <w:b/>
                <w:color w:val="auto"/>
                <w:sz w:val="18"/>
                <w:szCs w:val="18"/>
              </w:rPr>
            </w:pPr>
            <w:bookmarkStart w:id="52" w:name="_Ref8231291"/>
            <w:bookmarkStart w:id="53" w:name="_Toc11255086"/>
            <w:r w:rsidRPr="001D1155">
              <w:rPr>
                <w:b/>
                <w:color w:val="auto"/>
                <w:sz w:val="18"/>
                <w:szCs w:val="18"/>
              </w:rPr>
              <w:t xml:space="preserve">Table </w:t>
            </w:r>
            <w:r w:rsidR="00275542">
              <w:rPr>
                <w:color w:val="auto"/>
                <w:sz w:val="18"/>
                <w:szCs w:val="18"/>
              </w:rPr>
              <w:fldChar w:fldCharType="begin"/>
            </w:r>
            <w:r w:rsidR="00275542">
              <w:rPr>
                <w:b/>
                <w:color w:val="auto"/>
                <w:sz w:val="18"/>
                <w:szCs w:val="18"/>
              </w:rPr>
              <w:instrText xml:space="preserve"> STYLEREF 1 \s </w:instrText>
            </w:r>
            <w:r w:rsidR="00275542">
              <w:rPr>
                <w:color w:val="auto"/>
                <w:sz w:val="18"/>
                <w:szCs w:val="18"/>
              </w:rPr>
              <w:fldChar w:fldCharType="separate"/>
            </w:r>
            <w:r w:rsidR="00C37C80">
              <w:rPr>
                <w:b/>
                <w:noProof/>
                <w:color w:val="auto"/>
                <w:sz w:val="18"/>
                <w:szCs w:val="18"/>
              </w:rPr>
              <w:t>3</w:t>
            </w:r>
            <w:r w:rsidR="00275542">
              <w:rPr>
                <w:color w:val="auto"/>
                <w:sz w:val="18"/>
                <w:szCs w:val="18"/>
              </w:rPr>
              <w:fldChar w:fldCharType="end"/>
            </w:r>
            <w:r w:rsidR="00275542">
              <w:rPr>
                <w:b/>
                <w:color w:val="auto"/>
                <w:sz w:val="18"/>
                <w:szCs w:val="18"/>
              </w:rPr>
              <w:t>.</w:t>
            </w:r>
            <w:r w:rsidR="00275542">
              <w:rPr>
                <w:color w:val="auto"/>
                <w:sz w:val="18"/>
                <w:szCs w:val="18"/>
              </w:rPr>
              <w:fldChar w:fldCharType="begin"/>
            </w:r>
            <w:r w:rsidR="00275542">
              <w:rPr>
                <w:b/>
                <w:color w:val="auto"/>
                <w:sz w:val="18"/>
                <w:szCs w:val="18"/>
              </w:rPr>
              <w:instrText xml:space="preserve"> SEQ Table \* ARABIC \s 1 </w:instrText>
            </w:r>
            <w:r w:rsidR="00275542">
              <w:rPr>
                <w:color w:val="auto"/>
                <w:sz w:val="18"/>
                <w:szCs w:val="18"/>
              </w:rPr>
              <w:fldChar w:fldCharType="separate"/>
            </w:r>
            <w:r w:rsidR="00C37C80">
              <w:rPr>
                <w:b/>
                <w:noProof/>
                <w:color w:val="auto"/>
                <w:sz w:val="18"/>
                <w:szCs w:val="18"/>
              </w:rPr>
              <w:t>3</w:t>
            </w:r>
            <w:r w:rsidR="00275542">
              <w:rPr>
                <w:color w:val="auto"/>
                <w:sz w:val="18"/>
                <w:szCs w:val="18"/>
              </w:rPr>
              <w:fldChar w:fldCharType="end"/>
            </w:r>
            <w:bookmarkEnd w:id="52"/>
            <w:r w:rsidRPr="001D1155">
              <w:rPr>
                <w:b/>
                <w:color w:val="auto"/>
                <w:sz w:val="18"/>
                <w:szCs w:val="18"/>
              </w:rPr>
              <w:t xml:space="preserve"> Personal Income Taxation Rate</w:t>
            </w:r>
            <w:r w:rsidR="001D1155" w:rsidRPr="001D1155">
              <w:rPr>
                <w:b/>
                <w:color w:val="auto"/>
                <w:sz w:val="18"/>
                <w:szCs w:val="18"/>
              </w:rPr>
              <w:t>, Solidarity Levy Rate</w:t>
            </w:r>
            <w:r w:rsidR="008C5020">
              <w:rPr>
                <w:b/>
                <w:color w:val="auto"/>
                <w:sz w:val="18"/>
                <w:szCs w:val="18"/>
              </w:rPr>
              <w:t>,</w:t>
            </w:r>
            <w:r w:rsidR="001D1155" w:rsidRPr="001D1155">
              <w:rPr>
                <w:b/>
                <w:color w:val="auto"/>
                <w:sz w:val="18"/>
                <w:szCs w:val="18"/>
              </w:rPr>
              <w:t xml:space="preserve"> and </w:t>
            </w:r>
            <w:r w:rsidR="00FE2444">
              <w:rPr>
                <w:b/>
                <w:color w:val="auto"/>
                <w:sz w:val="18"/>
                <w:szCs w:val="18"/>
              </w:rPr>
              <w:t>Exemption Thresholds</w:t>
            </w:r>
            <w:r w:rsidR="001D1155">
              <w:rPr>
                <w:b/>
                <w:color w:val="auto"/>
                <w:sz w:val="18"/>
                <w:szCs w:val="18"/>
              </w:rPr>
              <w:t>, 2016</w:t>
            </w:r>
            <w:r w:rsidR="00394625">
              <w:rPr>
                <w:b/>
                <w:color w:val="auto"/>
                <w:sz w:val="18"/>
                <w:szCs w:val="18"/>
              </w:rPr>
              <w:t>/</w:t>
            </w:r>
            <w:r w:rsidR="001D1155">
              <w:rPr>
                <w:b/>
                <w:color w:val="auto"/>
                <w:sz w:val="18"/>
                <w:szCs w:val="18"/>
              </w:rPr>
              <w:t>17 and 2017/18</w:t>
            </w:r>
            <w:bookmarkEnd w:id="53"/>
          </w:p>
        </w:tc>
      </w:tr>
      <w:tr w:rsidR="00242968" w:rsidRPr="00242968" w14:paraId="6FABD0FB"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41AE0FD" w14:textId="3D234175" w:rsidR="00242968" w:rsidRPr="00727D48" w:rsidRDefault="00C822D0" w:rsidP="00242968">
            <w:pPr>
              <w:jc w:val="left"/>
              <w:rPr>
                <w:rFonts w:asciiTheme="majorHAnsi" w:eastAsia="Times New Roman" w:hAnsiTheme="majorHAnsi" w:cstheme="majorHAnsi"/>
                <w:b w:val="0"/>
                <w:i/>
                <w:sz w:val="18"/>
                <w:szCs w:val="18"/>
              </w:rPr>
            </w:pPr>
            <w:r>
              <w:rPr>
                <w:rFonts w:asciiTheme="majorHAnsi" w:eastAsia="Times New Roman" w:hAnsiTheme="majorHAnsi" w:cstheme="majorHAnsi"/>
                <w:b w:val="0"/>
                <w:i/>
                <w:sz w:val="18"/>
                <w:szCs w:val="18"/>
              </w:rPr>
              <w:t>Indicator</w:t>
            </w:r>
          </w:p>
        </w:tc>
        <w:tc>
          <w:tcPr>
            <w:tcW w:w="1017" w:type="dxa"/>
            <w:noWrap/>
            <w:hideMark/>
          </w:tcPr>
          <w:p w14:paraId="46364B29" w14:textId="485DCDA5" w:rsidR="00242968" w:rsidRPr="00727D48" w:rsidRDefault="00242968" w:rsidP="000C18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sz w:val="18"/>
                <w:szCs w:val="18"/>
              </w:rPr>
            </w:pPr>
            <w:r w:rsidRPr="00727D48">
              <w:rPr>
                <w:rFonts w:asciiTheme="majorHAnsi" w:eastAsia="Times New Roman" w:hAnsiTheme="majorHAnsi" w:cstheme="majorHAnsi"/>
                <w:i/>
                <w:color w:val="000000"/>
                <w:sz w:val="18"/>
                <w:szCs w:val="18"/>
              </w:rPr>
              <w:t>FY2016/17</w:t>
            </w:r>
          </w:p>
        </w:tc>
        <w:tc>
          <w:tcPr>
            <w:tcW w:w="2853" w:type="dxa"/>
            <w:noWrap/>
            <w:hideMark/>
          </w:tcPr>
          <w:p w14:paraId="2BEE4A79" w14:textId="479D8479" w:rsidR="00242968" w:rsidRPr="00727D48" w:rsidRDefault="00242968" w:rsidP="000C187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sz w:val="18"/>
                <w:szCs w:val="18"/>
              </w:rPr>
            </w:pPr>
            <w:r w:rsidRPr="00727D48">
              <w:rPr>
                <w:rFonts w:asciiTheme="majorHAnsi" w:eastAsia="Times New Roman" w:hAnsiTheme="majorHAnsi" w:cstheme="majorHAnsi"/>
                <w:i/>
                <w:color w:val="000000"/>
                <w:sz w:val="18"/>
                <w:szCs w:val="18"/>
              </w:rPr>
              <w:t>FY017/18</w:t>
            </w:r>
          </w:p>
        </w:tc>
      </w:tr>
      <w:tr w:rsidR="00242968" w:rsidRPr="00242968" w14:paraId="3238040A" w14:textId="77777777" w:rsidTr="000C1872">
        <w:trPr>
          <w:trHeight w:val="300"/>
        </w:trPr>
        <w:tc>
          <w:tcPr>
            <w:cnfStyle w:val="001000000000" w:firstRow="0" w:lastRow="0" w:firstColumn="1" w:lastColumn="0" w:oddVBand="0" w:evenVBand="0" w:oddHBand="0" w:evenHBand="0" w:firstRowFirstColumn="0" w:firstRowLastColumn="0" w:lastRowFirstColumn="0" w:lastRowLastColumn="0"/>
            <w:tcW w:w="4770" w:type="dxa"/>
            <w:tcBorders>
              <w:bottom w:val="nil"/>
            </w:tcBorders>
            <w:noWrap/>
            <w:hideMark/>
          </w:tcPr>
          <w:p w14:paraId="2D7D22E6" w14:textId="3847915C"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PIT</w:t>
            </w:r>
          </w:p>
        </w:tc>
        <w:tc>
          <w:tcPr>
            <w:tcW w:w="1017" w:type="dxa"/>
            <w:tcBorders>
              <w:bottom w:val="nil"/>
            </w:tcBorders>
            <w:noWrap/>
            <w:hideMark/>
          </w:tcPr>
          <w:p w14:paraId="34B092D1" w14:textId="15BB9E6F" w:rsidR="00242968" w:rsidRPr="008C5020"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15%</w:t>
            </w:r>
          </w:p>
        </w:tc>
        <w:tc>
          <w:tcPr>
            <w:tcW w:w="2853" w:type="dxa"/>
            <w:tcBorders>
              <w:bottom w:val="nil"/>
            </w:tcBorders>
            <w:noWrap/>
            <w:hideMark/>
          </w:tcPr>
          <w:p w14:paraId="74FD3DC7" w14:textId="59B9BAC0" w:rsidR="00242968" w:rsidRPr="00242968"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15</w:t>
            </w:r>
            <w:r w:rsidRPr="001D1155">
              <w:rPr>
                <w:rFonts w:asciiTheme="majorHAnsi" w:eastAsia="Times New Roman" w:hAnsiTheme="majorHAnsi" w:cstheme="majorHAnsi"/>
                <w:color w:val="000000"/>
                <w:sz w:val="18"/>
                <w:szCs w:val="18"/>
              </w:rPr>
              <w:t>%</w:t>
            </w:r>
          </w:p>
        </w:tc>
      </w:tr>
      <w:tr w:rsidR="00242968" w:rsidRPr="00242968" w14:paraId="3484F2A7"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single" w:sz="4" w:space="0" w:color="auto"/>
            </w:tcBorders>
            <w:noWrap/>
            <w:hideMark/>
          </w:tcPr>
          <w:p w14:paraId="29FFBA24" w14:textId="3E7EADF1"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 xml:space="preserve">Solidarity Levy (over </w:t>
            </w:r>
            <w:r w:rsidR="00C465B1" w:rsidRPr="008C5020">
              <w:rPr>
                <w:rFonts w:asciiTheme="majorHAnsi" w:eastAsia="Times New Roman" w:hAnsiTheme="majorHAnsi" w:cstheme="majorHAnsi"/>
                <w:color w:val="000000"/>
                <w:sz w:val="18"/>
                <w:szCs w:val="18"/>
              </w:rPr>
              <w:t>MUR</w:t>
            </w:r>
            <w:r w:rsidRPr="008C5020">
              <w:rPr>
                <w:rFonts w:asciiTheme="majorHAnsi" w:eastAsia="Times New Roman" w:hAnsiTheme="majorHAnsi" w:cstheme="majorHAnsi"/>
                <w:color w:val="000000"/>
                <w:sz w:val="18"/>
                <w:szCs w:val="18"/>
              </w:rPr>
              <w:t xml:space="preserve"> 3</w:t>
            </w:r>
            <w:r w:rsidR="00C465B1" w:rsidRPr="008C5020">
              <w:rPr>
                <w:rFonts w:asciiTheme="majorHAnsi" w:eastAsia="Times New Roman" w:hAnsiTheme="majorHAnsi" w:cstheme="majorHAnsi"/>
                <w:color w:val="000000"/>
                <w:sz w:val="18"/>
                <w:szCs w:val="18"/>
              </w:rPr>
              <w:t>.</w:t>
            </w:r>
            <w:r w:rsidRPr="008C5020">
              <w:rPr>
                <w:rFonts w:asciiTheme="majorHAnsi" w:eastAsia="Times New Roman" w:hAnsiTheme="majorHAnsi" w:cstheme="majorHAnsi"/>
                <w:color w:val="000000"/>
                <w:sz w:val="18"/>
                <w:szCs w:val="18"/>
              </w:rPr>
              <w:t>5 million)</w:t>
            </w:r>
          </w:p>
        </w:tc>
        <w:tc>
          <w:tcPr>
            <w:tcW w:w="1017" w:type="dxa"/>
            <w:tcBorders>
              <w:top w:val="nil"/>
              <w:bottom w:val="single" w:sz="4" w:space="0" w:color="auto"/>
            </w:tcBorders>
            <w:noWrap/>
            <w:hideMark/>
          </w:tcPr>
          <w:p w14:paraId="5294CDFE" w14:textId="1CE3D99C" w:rsidR="00242968" w:rsidRPr="008C5020" w:rsidRDefault="00C822D0"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w:t>
            </w:r>
          </w:p>
        </w:tc>
        <w:tc>
          <w:tcPr>
            <w:tcW w:w="2853" w:type="dxa"/>
            <w:tcBorders>
              <w:top w:val="nil"/>
              <w:bottom w:val="single" w:sz="4" w:space="0" w:color="auto"/>
            </w:tcBorders>
            <w:noWrap/>
            <w:hideMark/>
          </w:tcPr>
          <w:p w14:paraId="31AF7E16" w14:textId="453E3AF4" w:rsidR="00242968" w:rsidRPr="00242968"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5</w:t>
            </w:r>
            <w:r w:rsidRPr="001D1155">
              <w:rPr>
                <w:rFonts w:asciiTheme="majorHAnsi" w:eastAsia="Times New Roman" w:hAnsiTheme="majorHAnsi" w:cstheme="majorHAnsi"/>
                <w:color w:val="000000"/>
                <w:sz w:val="18"/>
                <w:szCs w:val="18"/>
              </w:rPr>
              <w:t>%</w:t>
            </w:r>
          </w:p>
        </w:tc>
      </w:tr>
      <w:tr w:rsidR="00242968" w:rsidRPr="00242968" w14:paraId="3408192C" w14:textId="77777777" w:rsidTr="000C1872">
        <w:trPr>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auto"/>
              <w:bottom w:val="nil"/>
            </w:tcBorders>
            <w:noWrap/>
            <w:hideMark/>
          </w:tcPr>
          <w:p w14:paraId="6B5DB048" w14:textId="77777777"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A - individual with 0 dependents</w:t>
            </w:r>
          </w:p>
        </w:tc>
        <w:tc>
          <w:tcPr>
            <w:tcW w:w="1017" w:type="dxa"/>
            <w:tcBorders>
              <w:top w:val="single" w:sz="4" w:space="0" w:color="auto"/>
              <w:bottom w:val="nil"/>
            </w:tcBorders>
            <w:noWrap/>
            <w:hideMark/>
          </w:tcPr>
          <w:p w14:paraId="04409C2B" w14:textId="77777777" w:rsidR="00242968" w:rsidRPr="008C5020"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295,000</w:t>
            </w:r>
          </w:p>
        </w:tc>
        <w:tc>
          <w:tcPr>
            <w:tcW w:w="2853" w:type="dxa"/>
            <w:tcBorders>
              <w:top w:val="single" w:sz="4" w:space="0" w:color="auto"/>
              <w:bottom w:val="nil"/>
            </w:tcBorders>
            <w:noWrap/>
            <w:hideMark/>
          </w:tcPr>
          <w:p w14:paraId="3DB3C136" w14:textId="77777777" w:rsidR="00242968" w:rsidRPr="00242968"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300,000</w:t>
            </w:r>
          </w:p>
        </w:tc>
      </w:tr>
      <w:tr w:rsidR="00242968" w:rsidRPr="00242968" w14:paraId="0DB17CFD"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nil"/>
            </w:tcBorders>
            <w:noWrap/>
            <w:hideMark/>
          </w:tcPr>
          <w:p w14:paraId="35BA7DAF" w14:textId="787EF041"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B - individual with 1 dependent</w:t>
            </w:r>
          </w:p>
        </w:tc>
        <w:tc>
          <w:tcPr>
            <w:tcW w:w="1017" w:type="dxa"/>
            <w:tcBorders>
              <w:top w:val="nil"/>
              <w:bottom w:val="nil"/>
            </w:tcBorders>
            <w:noWrap/>
            <w:hideMark/>
          </w:tcPr>
          <w:p w14:paraId="4E746E1A" w14:textId="77777777" w:rsidR="00242968" w:rsidRPr="008C5020"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405,000</w:t>
            </w:r>
          </w:p>
        </w:tc>
        <w:tc>
          <w:tcPr>
            <w:tcW w:w="2853" w:type="dxa"/>
            <w:tcBorders>
              <w:top w:val="nil"/>
              <w:bottom w:val="nil"/>
            </w:tcBorders>
            <w:noWrap/>
            <w:hideMark/>
          </w:tcPr>
          <w:p w14:paraId="63B0B8E1" w14:textId="77777777" w:rsidR="00242968" w:rsidRPr="00242968"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410,000</w:t>
            </w:r>
          </w:p>
        </w:tc>
      </w:tr>
      <w:tr w:rsidR="00242968" w:rsidRPr="00242968" w14:paraId="40DFF119" w14:textId="77777777" w:rsidTr="000C1872">
        <w:trPr>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nil"/>
            </w:tcBorders>
            <w:noWrap/>
            <w:hideMark/>
          </w:tcPr>
          <w:p w14:paraId="6D14A2F1" w14:textId="77777777"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C - individual with 2 dependents</w:t>
            </w:r>
          </w:p>
        </w:tc>
        <w:tc>
          <w:tcPr>
            <w:tcW w:w="1017" w:type="dxa"/>
            <w:tcBorders>
              <w:top w:val="nil"/>
              <w:bottom w:val="nil"/>
            </w:tcBorders>
            <w:noWrap/>
            <w:hideMark/>
          </w:tcPr>
          <w:p w14:paraId="4BBBD7C2" w14:textId="77777777" w:rsidR="00242968" w:rsidRPr="008C5020"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465,000</w:t>
            </w:r>
          </w:p>
        </w:tc>
        <w:tc>
          <w:tcPr>
            <w:tcW w:w="2853" w:type="dxa"/>
            <w:tcBorders>
              <w:top w:val="nil"/>
              <w:bottom w:val="nil"/>
            </w:tcBorders>
            <w:noWrap/>
            <w:hideMark/>
          </w:tcPr>
          <w:p w14:paraId="00511003" w14:textId="77777777" w:rsidR="00242968" w:rsidRPr="00242968"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475,000</w:t>
            </w:r>
          </w:p>
        </w:tc>
      </w:tr>
      <w:tr w:rsidR="00242968" w:rsidRPr="00242968" w14:paraId="36F2F339"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nil"/>
            </w:tcBorders>
            <w:noWrap/>
            <w:hideMark/>
          </w:tcPr>
          <w:p w14:paraId="6A3113CA" w14:textId="6C1FEE17"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D - individual with 3 or more dependents</w:t>
            </w:r>
          </w:p>
        </w:tc>
        <w:tc>
          <w:tcPr>
            <w:tcW w:w="1017" w:type="dxa"/>
            <w:tcBorders>
              <w:top w:val="nil"/>
              <w:bottom w:val="nil"/>
            </w:tcBorders>
            <w:noWrap/>
            <w:hideMark/>
          </w:tcPr>
          <w:p w14:paraId="77D10E16" w14:textId="77777777" w:rsidR="00242968" w:rsidRPr="008C5020"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505,000</w:t>
            </w:r>
          </w:p>
        </w:tc>
        <w:tc>
          <w:tcPr>
            <w:tcW w:w="2853" w:type="dxa"/>
            <w:tcBorders>
              <w:top w:val="nil"/>
              <w:bottom w:val="nil"/>
            </w:tcBorders>
            <w:noWrap/>
            <w:hideMark/>
          </w:tcPr>
          <w:p w14:paraId="2A165CCD" w14:textId="77777777" w:rsidR="00242968" w:rsidRPr="00242968"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520,000</w:t>
            </w:r>
          </w:p>
        </w:tc>
      </w:tr>
      <w:tr w:rsidR="00242968" w:rsidRPr="00242968" w14:paraId="5E0B9B66" w14:textId="77777777" w:rsidTr="000C1872">
        <w:trPr>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nil"/>
            </w:tcBorders>
            <w:noWrap/>
            <w:hideMark/>
          </w:tcPr>
          <w:p w14:paraId="2169A7E0" w14:textId="77777777"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E - individual with 4 or more dependents</w:t>
            </w:r>
          </w:p>
        </w:tc>
        <w:tc>
          <w:tcPr>
            <w:tcW w:w="1017" w:type="dxa"/>
            <w:tcBorders>
              <w:top w:val="nil"/>
              <w:bottom w:val="nil"/>
            </w:tcBorders>
            <w:noWrap/>
            <w:hideMark/>
          </w:tcPr>
          <w:p w14:paraId="6D5A11DE" w14:textId="1FFDDFF1" w:rsidR="00242968" w:rsidRPr="008C5020" w:rsidRDefault="00C822D0"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w:t>
            </w:r>
          </w:p>
        </w:tc>
        <w:tc>
          <w:tcPr>
            <w:tcW w:w="2853" w:type="dxa"/>
            <w:tcBorders>
              <w:top w:val="nil"/>
              <w:bottom w:val="nil"/>
            </w:tcBorders>
            <w:noWrap/>
            <w:hideMark/>
          </w:tcPr>
          <w:p w14:paraId="336C5528" w14:textId="77777777" w:rsidR="00242968" w:rsidRPr="00242968"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550,000</w:t>
            </w:r>
          </w:p>
        </w:tc>
      </w:tr>
      <w:tr w:rsidR="00242968" w:rsidRPr="00242968" w14:paraId="078E3A88"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nil"/>
            </w:tcBorders>
            <w:noWrap/>
            <w:hideMark/>
          </w:tcPr>
          <w:p w14:paraId="7E5576E9" w14:textId="003C5619"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F - retired/disabl</w:t>
            </w:r>
            <w:r w:rsidRPr="00C80609">
              <w:rPr>
                <w:rFonts w:asciiTheme="majorHAnsi" w:eastAsia="Times New Roman" w:hAnsiTheme="majorHAnsi" w:cstheme="majorHAnsi"/>
                <w:color w:val="000000"/>
                <w:sz w:val="18"/>
                <w:szCs w:val="18"/>
              </w:rPr>
              <w:t xml:space="preserve">ed </w:t>
            </w:r>
            <w:r w:rsidR="00C822D0" w:rsidRPr="00C80609">
              <w:rPr>
                <w:rFonts w:asciiTheme="majorHAnsi" w:eastAsia="Times New Roman" w:hAnsiTheme="majorHAnsi" w:cstheme="majorHAnsi"/>
                <w:color w:val="000000"/>
                <w:sz w:val="18"/>
                <w:szCs w:val="18"/>
              </w:rPr>
              <w:t xml:space="preserve">individual </w:t>
            </w:r>
            <w:r w:rsidRPr="00C80609">
              <w:rPr>
                <w:rFonts w:asciiTheme="majorHAnsi" w:eastAsia="Times New Roman" w:hAnsiTheme="majorHAnsi" w:cstheme="majorHAnsi"/>
                <w:color w:val="000000"/>
                <w:sz w:val="18"/>
                <w:szCs w:val="18"/>
              </w:rPr>
              <w:t>wi</w:t>
            </w:r>
            <w:r w:rsidRPr="008C5020">
              <w:rPr>
                <w:rFonts w:asciiTheme="majorHAnsi" w:eastAsia="Times New Roman" w:hAnsiTheme="majorHAnsi" w:cstheme="majorHAnsi"/>
                <w:color w:val="000000"/>
                <w:sz w:val="18"/>
                <w:szCs w:val="18"/>
              </w:rPr>
              <w:t>th 0 dependents</w:t>
            </w:r>
          </w:p>
        </w:tc>
        <w:tc>
          <w:tcPr>
            <w:tcW w:w="1017" w:type="dxa"/>
            <w:tcBorders>
              <w:top w:val="nil"/>
              <w:bottom w:val="nil"/>
            </w:tcBorders>
            <w:noWrap/>
            <w:hideMark/>
          </w:tcPr>
          <w:p w14:paraId="2FBFC733" w14:textId="77777777" w:rsidR="00242968" w:rsidRPr="008C5020"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345,000</w:t>
            </w:r>
          </w:p>
        </w:tc>
        <w:tc>
          <w:tcPr>
            <w:tcW w:w="2853" w:type="dxa"/>
            <w:tcBorders>
              <w:top w:val="nil"/>
              <w:bottom w:val="nil"/>
            </w:tcBorders>
            <w:noWrap/>
            <w:hideMark/>
          </w:tcPr>
          <w:p w14:paraId="6B49C16C" w14:textId="77777777" w:rsidR="00242968" w:rsidRPr="00242968" w:rsidRDefault="00242968" w:rsidP="0024296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350,000</w:t>
            </w:r>
          </w:p>
        </w:tc>
      </w:tr>
      <w:tr w:rsidR="00242968" w:rsidRPr="00242968" w14:paraId="221E74B0" w14:textId="77777777" w:rsidTr="000C1872">
        <w:trPr>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nil"/>
              <w:bottom w:val="single" w:sz="4" w:space="0" w:color="auto"/>
            </w:tcBorders>
            <w:noWrap/>
            <w:hideMark/>
          </w:tcPr>
          <w:p w14:paraId="76683544" w14:textId="5B36039F" w:rsidR="00242968" w:rsidRPr="00727D48" w:rsidRDefault="00242968" w:rsidP="00242968">
            <w:pPr>
              <w:jc w:val="left"/>
              <w:rPr>
                <w:rFonts w:asciiTheme="majorHAnsi" w:eastAsia="Times New Roman" w:hAnsiTheme="majorHAnsi" w:cstheme="majorHAnsi"/>
                <w:b w:val="0"/>
                <w:color w:val="000000"/>
                <w:sz w:val="18"/>
                <w:szCs w:val="18"/>
              </w:rPr>
            </w:pPr>
            <w:r w:rsidRPr="008C5020">
              <w:rPr>
                <w:rFonts w:asciiTheme="majorHAnsi" w:eastAsia="Times New Roman" w:hAnsiTheme="majorHAnsi" w:cstheme="majorHAnsi"/>
                <w:color w:val="000000"/>
                <w:sz w:val="18"/>
                <w:szCs w:val="18"/>
              </w:rPr>
              <w:t>Category G - retired/disabl</w:t>
            </w:r>
            <w:r w:rsidRPr="00C80609">
              <w:rPr>
                <w:rFonts w:asciiTheme="majorHAnsi" w:eastAsia="Times New Roman" w:hAnsiTheme="majorHAnsi" w:cstheme="majorHAnsi"/>
                <w:color w:val="000000"/>
                <w:sz w:val="18"/>
                <w:szCs w:val="18"/>
              </w:rPr>
              <w:t xml:space="preserve">ed </w:t>
            </w:r>
            <w:r w:rsidR="00C822D0" w:rsidRPr="00C80609">
              <w:rPr>
                <w:rFonts w:asciiTheme="majorHAnsi" w:eastAsia="Times New Roman" w:hAnsiTheme="majorHAnsi" w:cstheme="majorHAnsi"/>
                <w:color w:val="000000"/>
                <w:sz w:val="18"/>
                <w:szCs w:val="18"/>
              </w:rPr>
              <w:t xml:space="preserve">individual </w:t>
            </w:r>
            <w:r w:rsidRPr="00C80609">
              <w:rPr>
                <w:rFonts w:asciiTheme="majorHAnsi" w:eastAsia="Times New Roman" w:hAnsiTheme="majorHAnsi" w:cstheme="majorHAnsi"/>
                <w:color w:val="000000"/>
                <w:sz w:val="18"/>
                <w:szCs w:val="18"/>
              </w:rPr>
              <w:t xml:space="preserve">with </w:t>
            </w:r>
            <w:r w:rsidRPr="008C5020">
              <w:rPr>
                <w:rFonts w:asciiTheme="majorHAnsi" w:eastAsia="Times New Roman" w:hAnsiTheme="majorHAnsi" w:cstheme="majorHAnsi"/>
                <w:color w:val="000000"/>
                <w:sz w:val="18"/>
                <w:szCs w:val="18"/>
              </w:rPr>
              <w:t>1 dependent</w:t>
            </w:r>
          </w:p>
        </w:tc>
        <w:tc>
          <w:tcPr>
            <w:tcW w:w="1017" w:type="dxa"/>
            <w:tcBorders>
              <w:top w:val="nil"/>
              <w:bottom w:val="single" w:sz="4" w:space="0" w:color="auto"/>
            </w:tcBorders>
            <w:noWrap/>
            <w:hideMark/>
          </w:tcPr>
          <w:p w14:paraId="16D064F2" w14:textId="77777777" w:rsidR="00242968" w:rsidRPr="008C5020"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C5020">
              <w:rPr>
                <w:rFonts w:asciiTheme="majorHAnsi" w:eastAsia="Times New Roman" w:hAnsiTheme="majorHAnsi" w:cstheme="majorHAnsi"/>
                <w:color w:val="000000"/>
                <w:sz w:val="18"/>
                <w:szCs w:val="18"/>
              </w:rPr>
              <w:t>455,000</w:t>
            </w:r>
          </w:p>
        </w:tc>
        <w:tc>
          <w:tcPr>
            <w:tcW w:w="2853" w:type="dxa"/>
            <w:tcBorders>
              <w:top w:val="nil"/>
              <w:bottom w:val="single" w:sz="4" w:space="0" w:color="auto"/>
            </w:tcBorders>
            <w:noWrap/>
            <w:hideMark/>
          </w:tcPr>
          <w:p w14:paraId="53BD597A" w14:textId="77777777" w:rsidR="00242968" w:rsidRPr="00242968" w:rsidRDefault="00242968" w:rsidP="002429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42968">
              <w:rPr>
                <w:rFonts w:asciiTheme="majorHAnsi" w:eastAsia="Times New Roman" w:hAnsiTheme="majorHAnsi" w:cstheme="majorHAnsi"/>
                <w:color w:val="000000"/>
                <w:sz w:val="18"/>
                <w:szCs w:val="18"/>
              </w:rPr>
              <w:t>460,000</w:t>
            </w:r>
          </w:p>
        </w:tc>
      </w:tr>
      <w:tr w:rsidR="00242968" w:rsidRPr="001D1155" w14:paraId="340952FF" w14:textId="77777777" w:rsidTr="000C1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3"/>
            <w:tcBorders>
              <w:top w:val="single" w:sz="4" w:space="0" w:color="auto"/>
              <w:bottom w:val="nil"/>
            </w:tcBorders>
            <w:noWrap/>
            <w:hideMark/>
          </w:tcPr>
          <w:p w14:paraId="03D240B7" w14:textId="7678F4EB" w:rsidR="00242968" w:rsidRPr="00242968" w:rsidRDefault="00242968" w:rsidP="00242968">
            <w:pPr>
              <w:widowControl w:val="0"/>
              <w:rPr>
                <w:rFonts w:cs="Times New Roman"/>
                <w:b w:val="0"/>
                <w:sz w:val="18"/>
                <w:szCs w:val="18"/>
              </w:rPr>
            </w:pPr>
            <w:r w:rsidRPr="001D1155">
              <w:rPr>
                <w:rFonts w:cs="Times New Roman"/>
                <w:b w:val="0"/>
                <w:i/>
                <w:sz w:val="18"/>
                <w:szCs w:val="18"/>
              </w:rPr>
              <w:t xml:space="preserve">Source: </w:t>
            </w:r>
            <w:r w:rsidRPr="001D1155">
              <w:rPr>
                <w:rFonts w:cs="Times New Roman"/>
                <w:b w:val="0"/>
                <w:sz w:val="18"/>
                <w:szCs w:val="18"/>
              </w:rPr>
              <w:t>Based on data of the Mauritius Revenue Authority.</w:t>
            </w:r>
          </w:p>
        </w:tc>
      </w:tr>
    </w:tbl>
    <w:p w14:paraId="350E27C2" w14:textId="4E899108" w:rsidR="00325B88" w:rsidRPr="00781144" w:rsidRDefault="009667FE" w:rsidP="00781144">
      <w:pPr>
        <w:shd w:val="clear" w:color="auto" w:fill="FFFFFF"/>
        <w:spacing w:before="15" w:after="15" w:line="270" w:lineRule="atLeast"/>
      </w:pPr>
      <w:r>
        <w:rPr>
          <w:b/>
        </w:rPr>
        <w:t>T</w:t>
      </w:r>
      <w:r w:rsidR="00436716" w:rsidRPr="00781144">
        <w:rPr>
          <w:b/>
        </w:rPr>
        <w:t xml:space="preserve">he </w:t>
      </w:r>
      <w:r w:rsidR="00082FAB" w:rsidRPr="00781144">
        <w:rPr>
          <w:b/>
        </w:rPr>
        <w:t>p</w:t>
      </w:r>
      <w:r w:rsidR="00436716" w:rsidRPr="00781144">
        <w:rPr>
          <w:b/>
        </w:rPr>
        <w:t xml:space="preserve">ension </w:t>
      </w:r>
      <w:r w:rsidR="00082FAB" w:rsidRPr="00781144">
        <w:rPr>
          <w:b/>
        </w:rPr>
        <w:t>s</w:t>
      </w:r>
      <w:r w:rsidR="00436716" w:rsidRPr="00781144">
        <w:rPr>
          <w:b/>
        </w:rPr>
        <w:t xml:space="preserve">ystem is </w:t>
      </w:r>
      <w:r w:rsidR="00DC53AB" w:rsidRPr="00781144">
        <w:rPr>
          <w:b/>
        </w:rPr>
        <w:t>organized around t</w:t>
      </w:r>
      <w:r w:rsidR="001E1198" w:rsidRPr="00781144">
        <w:rPr>
          <w:b/>
        </w:rPr>
        <w:t>hree pillars</w:t>
      </w:r>
      <w:r w:rsidR="00037BD0" w:rsidRPr="00781144">
        <w:rPr>
          <w:b/>
        </w:rPr>
        <w:t>.</w:t>
      </w:r>
      <w:r w:rsidR="00037BD0" w:rsidRPr="00781144">
        <w:t xml:space="preserve"> T</w:t>
      </w:r>
      <w:r w:rsidR="00436716" w:rsidRPr="00781144">
        <w:t>he zero pillar</w:t>
      </w:r>
      <w:r w:rsidR="00C822D0">
        <w:t>,</w:t>
      </w:r>
      <w:r w:rsidR="00436716" w:rsidRPr="00781144">
        <w:t xml:space="preserve"> which is a universal n</w:t>
      </w:r>
      <w:r w:rsidR="004C6E0D">
        <w:t>on</w:t>
      </w:r>
      <w:r w:rsidR="00436716" w:rsidRPr="00781144">
        <w:t xml:space="preserve">contributory </w:t>
      </w:r>
      <w:r w:rsidR="00082FAB" w:rsidRPr="00781144">
        <w:t>p</w:t>
      </w:r>
      <w:r w:rsidR="00436716" w:rsidRPr="00781144">
        <w:t xml:space="preserve">ension </w:t>
      </w:r>
      <w:r w:rsidR="005E2C5A" w:rsidRPr="00781144">
        <w:t>benefit</w:t>
      </w:r>
      <w:r w:rsidR="001E1198" w:rsidRPr="00781144">
        <w:t>;</w:t>
      </w:r>
      <w:r w:rsidR="00436716" w:rsidRPr="00781144">
        <w:t xml:space="preserve"> </w:t>
      </w:r>
      <w:r w:rsidR="001E1198" w:rsidRPr="00781144">
        <w:t>a</w:t>
      </w:r>
      <w:r w:rsidR="00436716" w:rsidRPr="00781144">
        <w:t xml:space="preserve"> mandatory first-pillar contributory system manages contributions made by employees in private sectors</w:t>
      </w:r>
      <w:r w:rsidR="001E1198" w:rsidRPr="00781144">
        <w:t>; a</w:t>
      </w:r>
      <w:r w:rsidR="00436716" w:rsidRPr="00781144">
        <w:t xml:space="preserve"> mandatory second-pillar system</w:t>
      </w:r>
      <w:r w:rsidR="00C822D0">
        <w:t>,</w:t>
      </w:r>
      <w:r w:rsidR="00436716" w:rsidRPr="00781144">
        <w:t xml:space="preserve"> which is an individual savings account for employees of statutory bodies and civil servants</w:t>
      </w:r>
      <w:r w:rsidR="001E1198" w:rsidRPr="00781144">
        <w:t xml:space="preserve">; </w:t>
      </w:r>
      <w:r w:rsidR="00A332E0" w:rsidRPr="00781144">
        <w:t>and</w:t>
      </w:r>
      <w:r w:rsidR="00436716" w:rsidRPr="00781144">
        <w:t xml:space="preserve"> </w:t>
      </w:r>
      <w:r w:rsidR="001E1198" w:rsidRPr="00781144">
        <w:t>v</w:t>
      </w:r>
      <w:r w:rsidR="00436716" w:rsidRPr="00781144">
        <w:t>oluntary third-pillar schemes</w:t>
      </w:r>
      <w:r w:rsidR="003932CB">
        <w:t xml:space="preserve">, such as </w:t>
      </w:r>
      <w:r w:rsidR="000F2CF7">
        <w:t>private occupational and personal pension plans</w:t>
      </w:r>
      <w:r w:rsidR="003932CB">
        <w:t xml:space="preserve">, </w:t>
      </w:r>
      <w:r w:rsidR="003932CB" w:rsidRPr="00781144">
        <w:t>that vary and are discretionary</w:t>
      </w:r>
      <w:r w:rsidR="00436716" w:rsidRPr="00781144">
        <w:t xml:space="preserve">. </w:t>
      </w:r>
      <w:r w:rsidR="009D0C4B" w:rsidRPr="00781144">
        <w:t>The zero</w:t>
      </w:r>
      <w:r w:rsidR="00C822D0">
        <w:t xml:space="preserve"> </w:t>
      </w:r>
      <w:r w:rsidR="009D0C4B" w:rsidRPr="00781144">
        <w:t>pillar consists mainly of a n</w:t>
      </w:r>
      <w:r w:rsidR="004C6E0D">
        <w:t>on</w:t>
      </w:r>
      <w:r w:rsidR="009D0C4B" w:rsidRPr="00781144">
        <w:t xml:space="preserve">contributory benefit, </w:t>
      </w:r>
      <w:r w:rsidR="00F55CB3">
        <w:t xml:space="preserve">the BRP, </w:t>
      </w:r>
      <w:r w:rsidR="00D66C33" w:rsidRPr="00781144">
        <w:t xml:space="preserve">discussed in detail in </w:t>
      </w:r>
      <w:r w:rsidR="008536B2" w:rsidRPr="00781144">
        <w:fldChar w:fldCharType="begin"/>
      </w:r>
      <w:r w:rsidR="008536B2" w:rsidRPr="00781144">
        <w:instrText xml:space="preserve"> REF _Ref8050133 \h  \* MERGEFORMAT </w:instrText>
      </w:r>
      <w:r w:rsidR="008536B2" w:rsidRPr="00781144">
        <w:fldChar w:fldCharType="separate"/>
      </w:r>
      <w:r w:rsidR="008536B2" w:rsidRPr="00C37C80">
        <w:t xml:space="preserve">Box </w:t>
      </w:r>
      <w:r w:rsidR="008536B2">
        <w:t>3.1</w:t>
      </w:r>
      <w:r w:rsidR="008536B2" w:rsidRPr="00781144">
        <w:fldChar w:fldCharType="end"/>
      </w:r>
      <w:r w:rsidR="005E2C5A" w:rsidRPr="00781144">
        <w:t xml:space="preserve">. </w:t>
      </w:r>
      <w:r w:rsidR="00381611" w:rsidRPr="00781144">
        <w:t>The first</w:t>
      </w:r>
      <w:r w:rsidR="00C822D0">
        <w:t xml:space="preserve"> </w:t>
      </w:r>
      <w:r w:rsidR="00381611" w:rsidRPr="00781144">
        <w:t xml:space="preserve">pillar </w:t>
      </w:r>
      <w:r w:rsidR="00CD6057" w:rsidRPr="00781144">
        <w:t>is financed through t</w:t>
      </w:r>
      <w:r w:rsidR="005E25CB" w:rsidRPr="00781144">
        <w:t>he National Pension Scheme</w:t>
      </w:r>
      <w:r w:rsidR="008536B2">
        <w:t>, which</w:t>
      </w:r>
      <w:r w:rsidR="00CD6057" w:rsidRPr="00781144">
        <w:t xml:space="preserve"> </w:t>
      </w:r>
      <w:r w:rsidR="005E25CB" w:rsidRPr="00781144">
        <w:t xml:space="preserve">provides for the payment of contributory pensions to employees </w:t>
      </w:r>
      <w:r w:rsidR="008536B2">
        <w:t xml:space="preserve">in </w:t>
      </w:r>
      <w:r w:rsidR="005E25CB" w:rsidRPr="00781144">
        <w:t xml:space="preserve">the private sector who have contributed to the National Pensions Fund. All employees working for employers with more than 10 employees had to join the </w:t>
      </w:r>
      <w:r w:rsidR="003D5483">
        <w:t>s</w:t>
      </w:r>
      <w:r w:rsidR="005E25CB" w:rsidRPr="00781144">
        <w:t xml:space="preserve">cheme. The self-employed were also eligible to join the </w:t>
      </w:r>
      <w:r w:rsidR="003D5483">
        <w:t>s</w:t>
      </w:r>
      <w:r w:rsidR="005E25CB" w:rsidRPr="00781144">
        <w:t>cheme on a voluntary basis</w:t>
      </w:r>
      <w:r w:rsidR="003D5483" w:rsidRPr="003D5483">
        <w:t xml:space="preserve"> </w:t>
      </w:r>
      <w:r w:rsidR="003D5483">
        <w:t xml:space="preserve">beginning in </w:t>
      </w:r>
      <w:r w:rsidR="003D5483" w:rsidRPr="00781144">
        <w:t>July 1980</w:t>
      </w:r>
      <w:r w:rsidR="005E25CB" w:rsidRPr="00781144">
        <w:t>.</w:t>
      </w:r>
      <w:r w:rsidR="003F7F44" w:rsidRPr="00781144">
        <w:t xml:space="preserve"> </w:t>
      </w:r>
      <w:r w:rsidR="008A14CB" w:rsidRPr="00781144">
        <w:t>C</w:t>
      </w:r>
      <w:r w:rsidR="007E12F3" w:rsidRPr="00781144">
        <w:t>ivil servants and parastatal employees are covered by a separate scheme.</w:t>
      </w:r>
      <w:r w:rsidR="00533884" w:rsidRPr="00781144">
        <w:t xml:space="preserve"> Civil servants who joined before December 2012 participate in a </w:t>
      </w:r>
      <w:r w:rsidR="005C40CC" w:rsidRPr="00781144">
        <w:t>defined benefit</w:t>
      </w:r>
      <w:r w:rsidR="00533884" w:rsidRPr="00781144">
        <w:t xml:space="preserve"> scheme (</w:t>
      </w:r>
      <w:r w:rsidR="003D5483">
        <w:t xml:space="preserve">the </w:t>
      </w:r>
      <w:r w:rsidR="005C40CC" w:rsidRPr="00781144">
        <w:t>Civil Service Defined Benefit)</w:t>
      </w:r>
      <w:r w:rsidR="00533884" w:rsidRPr="00781144">
        <w:t xml:space="preserve">. Active employees contribute 6 percent of their earnings toward this scheme, and the government is responsible for any deficit. The retirement age is being gradually increased to age 65. </w:t>
      </w:r>
      <w:r w:rsidR="003D5483" w:rsidRPr="00781144">
        <w:t>Civil Service Defined Benefit</w:t>
      </w:r>
      <w:r w:rsidR="00533884" w:rsidRPr="00781144">
        <w:t xml:space="preserve"> pensions are adjusted annually the same way as civil service salaries are adjusted. The defined benefit scheme was closed to civil servants who joined after December 2012. New entrants are enrolled in a </w:t>
      </w:r>
      <w:r w:rsidR="005C40CC" w:rsidRPr="00781144">
        <w:t>define</w:t>
      </w:r>
      <w:r w:rsidR="003D5483">
        <w:t>d</w:t>
      </w:r>
      <w:r w:rsidR="005C40CC" w:rsidRPr="00781144">
        <w:t xml:space="preserve"> contribution</w:t>
      </w:r>
      <w:r w:rsidR="00533884" w:rsidRPr="00781144">
        <w:t xml:space="preserve"> system</w:t>
      </w:r>
      <w:r w:rsidR="005C40CC" w:rsidRPr="00781144">
        <w:t xml:space="preserve"> (</w:t>
      </w:r>
      <w:r w:rsidR="003D5483">
        <w:t xml:space="preserve">the </w:t>
      </w:r>
      <w:r w:rsidR="005C40CC" w:rsidRPr="00781144">
        <w:t>Civil Service Defined Contribution)</w:t>
      </w:r>
      <w:r w:rsidR="00533884" w:rsidRPr="00781144">
        <w:t xml:space="preserve"> to which they contribute 6 percent of their earnings</w:t>
      </w:r>
      <w:r w:rsidR="003F0B60">
        <w:t>, while</w:t>
      </w:r>
      <w:r w:rsidR="00533884" w:rsidRPr="00781144">
        <w:t xml:space="preserve"> the government contributes 12 percent to individual pension accounts. </w:t>
      </w:r>
      <w:r w:rsidR="00285005">
        <w:t xml:space="preserve">Given that the vast majority of the system is contributory, </w:t>
      </w:r>
      <w:r w:rsidR="00915445">
        <w:t xml:space="preserve">pension </w:t>
      </w:r>
      <w:r w:rsidR="00285005">
        <w:t>b</w:t>
      </w:r>
      <w:r w:rsidR="00915445">
        <w:t>e</w:t>
      </w:r>
      <w:r w:rsidR="00285005">
        <w:t>n</w:t>
      </w:r>
      <w:r w:rsidR="00915445">
        <w:t xml:space="preserve">efits </w:t>
      </w:r>
      <w:r w:rsidR="003F0B60">
        <w:t xml:space="preserve">are </w:t>
      </w:r>
      <w:r w:rsidR="00285005">
        <w:t>treated</w:t>
      </w:r>
      <w:r w:rsidR="00915445">
        <w:t xml:space="preserve"> </w:t>
      </w:r>
      <w:r w:rsidR="003F0B60">
        <w:t xml:space="preserve">here </w:t>
      </w:r>
      <w:r w:rsidR="00915445">
        <w:t xml:space="preserve">as </w:t>
      </w:r>
      <w:r w:rsidR="00285005">
        <w:t>differed</w:t>
      </w:r>
      <w:r w:rsidR="00915445">
        <w:t xml:space="preserve"> income and included in the calculation of </w:t>
      </w:r>
      <w:r w:rsidR="00C11058">
        <w:t>pre</w:t>
      </w:r>
      <w:r w:rsidR="00915445">
        <w:t>fiscal income</w:t>
      </w:r>
      <w:r w:rsidR="0070413A">
        <w:t>.</w:t>
      </w:r>
      <w:r w:rsidR="0070413A">
        <w:rPr>
          <w:rStyle w:val="FootnoteReference"/>
        </w:rPr>
        <w:footnoteReference w:id="10"/>
      </w:r>
      <w:r w:rsidR="0051261E">
        <w:t xml:space="preserve"> </w:t>
      </w:r>
      <w:r w:rsidR="00FF5843" w:rsidRPr="00781144">
        <w:t>T</w:t>
      </w:r>
      <w:r w:rsidR="003904BE" w:rsidRPr="00781144">
        <w:t>he</w:t>
      </w:r>
      <w:r w:rsidR="00FF5843" w:rsidRPr="00781144">
        <w:t xml:space="preserve"> second</w:t>
      </w:r>
      <w:r w:rsidR="00934CD3">
        <w:t xml:space="preserve"> </w:t>
      </w:r>
      <w:r w:rsidR="00FF5843" w:rsidRPr="00781144">
        <w:t>pillar is based on t</w:t>
      </w:r>
      <w:r w:rsidR="003904BE" w:rsidRPr="00781144">
        <w:t xml:space="preserve">he National Savings Fund </w:t>
      </w:r>
      <w:r w:rsidR="00FF5843" w:rsidRPr="00781144">
        <w:t xml:space="preserve">with the objective of </w:t>
      </w:r>
      <w:r w:rsidR="003904BE" w:rsidRPr="00781144">
        <w:t>provid</w:t>
      </w:r>
      <w:r w:rsidR="00FF5843" w:rsidRPr="00781144">
        <w:t>ing</w:t>
      </w:r>
      <w:r w:rsidR="003904BE" w:rsidRPr="00781144">
        <w:t xml:space="preserve"> for the payment of a lump sum to every employee </w:t>
      </w:r>
      <w:r w:rsidR="00FF5843" w:rsidRPr="00781144">
        <w:t>upon</w:t>
      </w:r>
      <w:r w:rsidR="003904BE" w:rsidRPr="00781144">
        <w:t xml:space="preserve"> retirement at the age of 60 or earlier, or to the beneficiary </w:t>
      </w:r>
      <w:r w:rsidR="00FF5843" w:rsidRPr="00781144">
        <w:t xml:space="preserve">upon </w:t>
      </w:r>
      <w:r w:rsidR="00934CD3">
        <w:t xml:space="preserve">the </w:t>
      </w:r>
      <w:r w:rsidR="003904BE" w:rsidRPr="00781144">
        <w:t>death</w:t>
      </w:r>
      <w:r w:rsidR="00FF5843" w:rsidRPr="00781144">
        <w:t xml:space="preserve"> </w:t>
      </w:r>
      <w:r w:rsidR="00934CD3">
        <w:t xml:space="preserve">of the employee </w:t>
      </w:r>
      <w:r w:rsidR="00FF5843" w:rsidRPr="00781144">
        <w:t>as</w:t>
      </w:r>
      <w:r w:rsidR="00E9789B" w:rsidRPr="00781144">
        <w:t xml:space="preserve"> </w:t>
      </w:r>
      <w:r w:rsidR="00FF5843" w:rsidRPr="00781144">
        <w:t>well as setting up</w:t>
      </w:r>
      <w:r w:rsidR="003904BE" w:rsidRPr="00781144">
        <w:t xml:space="preserve"> and </w:t>
      </w:r>
      <w:r w:rsidR="00606C6A" w:rsidRPr="00781144">
        <w:t xml:space="preserve">implementing </w:t>
      </w:r>
      <w:r w:rsidR="003904BE" w:rsidRPr="00781144">
        <w:t>schemes</w:t>
      </w:r>
      <w:r w:rsidR="00606C6A" w:rsidRPr="00781144">
        <w:t xml:space="preserve"> such as</w:t>
      </w:r>
      <w:r w:rsidR="003904BE" w:rsidRPr="00781144">
        <w:t xml:space="preserve"> loan scheme</w:t>
      </w:r>
      <w:r w:rsidR="00606C6A" w:rsidRPr="00781144">
        <w:t>s</w:t>
      </w:r>
      <w:r w:rsidR="003904BE" w:rsidRPr="00781144">
        <w:t xml:space="preserve">. This </w:t>
      </w:r>
      <w:r w:rsidR="007B7D37">
        <w:t>f</w:t>
      </w:r>
      <w:r w:rsidR="003904BE" w:rsidRPr="00781144">
        <w:t xml:space="preserve">und is compulsory </w:t>
      </w:r>
      <w:r w:rsidR="00934CD3">
        <w:t xml:space="preserve">for </w:t>
      </w:r>
      <w:r w:rsidR="003904BE" w:rsidRPr="00781144">
        <w:t>all public and private sector</w:t>
      </w:r>
      <w:r w:rsidR="00934CD3" w:rsidRPr="00934CD3">
        <w:t xml:space="preserve"> </w:t>
      </w:r>
      <w:r w:rsidR="00934CD3" w:rsidRPr="00781144">
        <w:t>employees</w:t>
      </w:r>
      <w:r w:rsidR="003904BE" w:rsidRPr="00781144">
        <w:t>.</w:t>
      </w:r>
    </w:p>
    <w:p w14:paraId="1F31CADD" w14:textId="55E6FE6F" w:rsidR="007B7D37" w:rsidRDefault="007B7D37" w:rsidP="009A2EF6">
      <w:pPr>
        <w:shd w:val="clear" w:color="auto" w:fill="FFFFFF"/>
        <w:spacing w:before="15" w:after="15" w:line="270" w:lineRule="atLeast"/>
        <w:rPr>
          <w:b/>
        </w:rPr>
      </w:pPr>
    </w:p>
    <w:tbl>
      <w:tblPr>
        <w:tblW w:w="9360" w:type="dxa"/>
        <w:tblLayout w:type="fixed"/>
        <w:tblCellMar>
          <w:left w:w="0" w:type="dxa"/>
          <w:right w:w="0" w:type="dxa"/>
        </w:tblCellMar>
        <w:tblLook w:val="04A0" w:firstRow="1" w:lastRow="0" w:firstColumn="1" w:lastColumn="0" w:noHBand="0" w:noVBand="1"/>
      </w:tblPr>
      <w:tblGrid>
        <w:gridCol w:w="4680"/>
        <w:gridCol w:w="4680"/>
      </w:tblGrid>
      <w:tr w:rsidR="007B7D37" w:rsidRPr="001E6C40" w14:paraId="14983754" w14:textId="77777777" w:rsidTr="004B37D4">
        <w:trPr>
          <w:cantSplit/>
        </w:trPr>
        <w:tc>
          <w:tcPr>
            <w:tcW w:w="9360" w:type="dxa"/>
            <w:gridSpan w:val="2"/>
            <w:hideMark/>
          </w:tcPr>
          <w:p w14:paraId="5564BC4A" w14:textId="29C82E8A" w:rsidR="007B7D37" w:rsidRPr="001E6C40" w:rsidRDefault="007B7D37" w:rsidP="004B37D4">
            <w:pPr>
              <w:pStyle w:val="Caption2"/>
              <w:spacing w:line="256" w:lineRule="auto"/>
              <w:jc w:val="left"/>
              <w:rPr>
                <w:b/>
                <w:i w:val="0"/>
                <w:sz w:val="18"/>
                <w:szCs w:val="18"/>
                <w:lang w:eastAsia="en-GB"/>
              </w:rPr>
            </w:pPr>
            <w:bookmarkStart w:id="54" w:name="_Ref8042023"/>
            <w:bookmarkStart w:id="55" w:name="_Toc6323834"/>
            <w:bookmarkStart w:id="56" w:name="_Toc11255066"/>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bookmarkEnd w:id="54"/>
            <w:r w:rsidRPr="001E6C40">
              <w:rPr>
                <w:b/>
                <w:i w:val="0"/>
                <w:sz w:val="18"/>
                <w:szCs w:val="18"/>
                <w:lang w:eastAsia="en-GB"/>
              </w:rPr>
              <w:t xml:space="preserve">. </w:t>
            </w:r>
            <w:r w:rsidRPr="0070773C">
              <w:rPr>
                <w:b/>
                <w:i w:val="0"/>
                <w:sz w:val="18"/>
                <w:szCs w:val="18"/>
                <w:lang w:eastAsia="en-GB"/>
              </w:rPr>
              <w:t xml:space="preserve">Lorenz and </w:t>
            </w:r>
            <w:r w:rsidR="00934CD3" w:rsidRPr="0070773C">
              <w:rPr>
                <w:b/>
                <w:i w:val="0"/>
                <w:sz w:val="18"/>
                <w:szCs w:val="18"/>
                <w:lang w:eastAsia="en-GB"/>
              </w:rPr>
              <w:t>Concentration Curves</w:t>
            </w:r>
            <w:r w:rsidR="00934CD3">
              <w:rPr>
                <w:b/>
                <w:i w:val="0"/>
                <w:sz w:val="18"/>
                <w:szCs w:val="18"/>
                <w:lang w:eastAsia="en-GB"/>
              </w:rPr>
              <w:t>,</w:t>
            </w:r>
            <w:r w:rsidR="00934CD3" w:rsidRPr="0070773C">
              <w:rPr>
                <w:b/>
                <w:i w:val="0"/>
                <w:sz w:val="18"/>
                <w:szCs w:val="18"/>
                <w:lang w:eastAsia="en-GB"/>
              </w:rPr>
              <w:t xml:space="preserve"> </w:t>
            </w:r>
            <w:r w:rsidRPr="0070773C">
              <w:rPr>
                <w:b/>
                <w:i w:val="0"/>
                <w:sz w:val="18"/>
                <w:szCs w:val="18"/>
                <w:lang w:eastAsia="en-GB"/>
              </w:rPr>
              <w:t xml:space="preserve">by </w:t>
            </w:r>
            <w:r w:rsidR="00934CD3" w:rsidRPr="0070773C">
              <w:rPr>
                <w:b/>
                <w:i w:val="0"/>
                <w:sz w:val="18"/>
                <w:szCs w:val="18"/>
                <w:lang w:eastAsia="en-GB"/>
              </w:rPr>
              <w:t>Quintile</w:t>
            </w:r>
            <w:bookmarkEnd w:id="55"/>
            <w:bookmarkEnd w:id="56"/>
          </w:p>
        </w:tc>
      </w:tr>
      <w:tr w:rsidR="007B7D37" w14:paraId="779B649C" w14:textId="77777777" w:rsidTr="004B37D4">
        <w:trPr>
          <w:cantSplit/>
        </w:trPr>
        <w:tc>
          <w:tcPr>
            <w:tcW w:w="4680" w:type="dxa"/>
            <w:hideMark/>
          </w:tcPr>
          <w:p w14:paraId="2E8F6031" w14:textId="7D709363" w:rsidR="007B7D37" w:rsidRDefault="007B7D37" w:rsidP="004B37D4">
            <w:pPr>
              <w:widowControl w:val="0"/>
              <w:jc w:val="center"/>
              <w:rPr>
                <w:rFonts w:cs="Times New Roman"/>
                <w:b/>
                <w:sz w:val="18"/>
                <w:szCs w:val="18"/>
                <w:lang w:eastAsia="en-GB"/>
              </w:rPr>
            </w:pPr>
            <w:r>
              <w:rPr>
                <w:rFonts w:cs="Times New Roman"/>
                <w:b/>
                <w:sz w:val="18"/>
                <w:szCs w:val="18"/>
                <w:lang w:eastAsia="en-GB"/>
              </w:rPr>
              <w:t xml:space="preserve">a. </w:t>
            </w:r>
            <w:r w:rsidR="00934CD3">
              <w:rPr>
                <w:rFonts w:cs="Times New Roman"/>
                <w:b/>
                <w:sz w:val="18"/>
                <w:szCs w:val="18"/>
                <w:lang w:eastAsia="en-GB"/>
              </w:rPr>
              <w:t>C</w:t>
            </w:r>
            <w:r w:rsidRPr="00D60C8A">
              <w:rPr>
                <w:rFonts w:cs="Times New Roman"/>
                <w:b/>
                <w:sz w:val="18"/>
                <w:szCs w:val="18"/>
                <w:lang w:eastAsia="en-GB"/>
              </w:rPr>
              <w:t>urve</w:t>
            </w:r>
            <w:r w:rsidR="00934CD3">
              <w:rPr>
                <w:rFonts w:cs="Times New Roman"/>
                <w:b/>
                <w:sz w:val="18"/>
                <w:szCs w:val="18"/>
                <w:lang w:eastAsia="en-GB"/>
              </w:rPr>
              <w:t>s</w:t>
            </w:r>
            <w:r w:rsidRPr="00D60C8A">
              <w:rPr>
                <w:rFonts w:cs="Times New Roman"/>
                <w:b/>
                <w:sz w:val="18"/>
                <w:szCs w:val="18"/>
                <w:lang w:eastAsia="en-GB"/>
              </w:rPr>
              <w:t xml:space="preserve"> </w:t>
            </w:r>
            <w:r>
              <w:rPr>
                <w:rFonts w:cs="Times New Roman"/>
                <w:b/>
                <w:sz w:val="18"/>
                <w:szCs w:val="18"/>
                <w:lang w:eastAsia="en-GB"/>
              </w:rPr>
              <w:t>for</w:t>
            </w:r>
            <w:r w:rsidRPr="00D60C8A">
              <w:rPr>
                <w:rFonts w:cs="Times New Roman"/>
                <w:b/>
                <w:sz w:val="18"/>
                <w:szCs w:val="18"/>
                <w:lang w:eastAsia="en-GB"/>
              </w:rPr>
              <w:t xml:space="preserve"> direct taxes and market income</w:t>
            </w:r>
          </w:p>
        </w:tc>
        <w:tc>
          <w:tcPr>
            <w:tcW w:w="4680" w:type="dxa"/>
            <w:hideMark/>
          </w:tcPr>
          <w:p w14:paraId="4D6A0700" w14:textId="62D328C9" w:rsidR="007B7D37" w:rsidRDefault="007B7D37" w:rsidP="004B37D4">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personal income tax in </w:t>
            </w:r>
            <w:r w:rsidR="007F2BD3">
              <w:rPr>
                <w:rFonts w:cs="Times New Roman"/>
                <w:b/>
                <w:sz w:val="18"/>
                <w:szCs w:val="18"/>
                <w:lang w:eastAsia="en-GB"/>
              </w:rPr>
              <w:t>household</w:t>
            </w:r>
            <w:r w:rsidR="007F2BD3" w:rsidRPr="00F2330A">
              <w:rPr>
                <w:rFonts w:cs="Times New Roman"/>
                <w:b/>
                <w:sz w:val="18"/>
                <w:szCs w:val="18"/>
                <w:lang w:eastAsia="en-GB"/>
              </w:rPr>
              <w:t xml:space="preserve"> </w:t>
            </w:r>
            <w:r>
              <w:rPr>
                <w:rFonts w:cs="Times New Roman"/>
                <w:b/>
                <w:sz w:val="18"/>
                <w:szCs w:val="18"/>
                <w:lang w:eastAsia="en-GB"/>
              </w:rPr>
              <w:t>market income</w:t>
            </w:r>
          </w:p>
        </w:tc>
      </w:tr>
      <w:tr w:rsidR="007B7D37" w14:paraId="3A511B10" w14:textId="77777777" w:rsidTr="004B37D4">
        <w:trPr>
          <w:cantSplit/>
        </w:trPr>
        <w:tc>
          <w:tcPr>
            <w:tcW w:w="4680" w:type="dxa"/>
            <w:tcMar>
              <w:top w:w="0" w:type="dxa"/>
              <w:left w:w="108" w:type="dxa"/>
              <w:bottom w:w="0" w:type="dxa"/>
              <w:right w:w="108" w:type="dxa"/>
            </w:tcMar>
            <w:hideMark/>
          </w:tcPr>
          <w:p w14:paraId="1F6FBE2B" w14:textId="0CE544A8" w:rsidR="007B7D37" w:rsidRDefault="00CE1153" w:rsidP="004B37D4">
            <w:pPr>
              <w:spacing w:after="120"/>
              <w:rPr>
                <w:rFonts w:cs="Times New Roman"/>
                <w:sz w:val="16"/>
                <w:szCs w:val="16"/>
              </w:rPr>
            </w:pPr>
            <w:r>
              <w:rPr>
                <w:rFonts w:cs="Times New Roman"/>
                <w:noProof/>
                <w:sz w:val="16"/>
                <w:szCs w:val="16"/>
              </w:rPr>
              <w:drawing>
                <wp:inline distT="0" distB="0" distL="0" distR="0" wp14:anchorId="5287A7FD" wp14:editId="1A969AB1">
                  <wp:extent cx="2918765" cy="2061845"/>
                  <wp:effectExtent l="0" t="0" r="0"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centration_Direct_Tax2.png"/>
                          <pic:cNvPicPr/>
                        </pic:nvPicPr>
                        <pic:blipFill rotWithShape="1">
                          <a:blip r:embed="rId12" cstate="print">
                            <a:extLst>
                              <a:ext uri="{28A0092B-C50C-407E-A947-70E740481C1C}">
                                <a14:useLocalDpi xmlns:a14="http://schemas.microsoft.com/office/drawing/2010/main" val="0"/>
                              </a:ext>
                            </a:extLst>
                          </a:blip>
                          <a:srcRect l="20967" r="20970"/>
                          <a:stretch/>
                        </pic:blipFill>
                        <pic:spPr bwMode="auto">
                          <a:xfrm>
                            <a:off x="0" y="0"/>
                            <a:ext cx="2932631" cy="207164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1758BC98" w14:textId="103F33C3" w:rsidR="00760E9E" w:rsidRDefault="006006E8" w:rsidP="004B37D4">
            <w:pPr>
              <w:spacing w:after="120"/>
              <w:rPr>
                <w:rFonts w:cs="Times New Roman"/>
                <w:sz w:val="16"/>
                <w:szCs w:val="16"/>
              </w:rPr>
            </w:pPr>
            <w:r>
              <w:rPr>
                <w:rFonts w:cs="Times New Roman"/>
                <w:noProof/>
                <w:sz w:val="16"/>
                <w:szCs w:val="16"/>
              </w:rPr>
              <w:drawing>
                <wp:inline distT="0" distB="0" distL="0" distR="0" wp14:anchorId="63B16FB8" wp14:editId="770A13BD">
                  <wp:extent cx="2834640" cy="1889760"/>
                  <wp:effectExtent l="0" t="0" r="3810" b="0"/>
                  <wp:docPr id="35" name="Picture 35"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_3.3.B._Share_of_personal_income_tax_and_contributions_in_total_market_income_plus_pension_by_quintile.png"/>
                          <pic:cNvPicPr/>
                        </pic:nvPicPr>
                        <pic:blipFill>
                          <a:blip r:embed="rId13">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p w14:paraId="1CDF3716" w14:textId="33E50D50" w:rsidR="007B7D37" w:rsidRDefault="007B7D37" w:rsidP="004B37D4">
            <w:pPr>
              <w:spacing w:after="120"/>
              <w:rPr>
                <w:rFonts w:cs="Times New Roman"/>
                <w:sz w:val="16"/>
                <w:szCs w:val="16"/>
              </w:rPr>
            </w:pPr>
          </w:p>
        </w:tc>
      </w:tr>
      <w:tr w:rsidR="007B7D37" w14:paraId="69042825" w14:textId="77777777" w:rsidTr="004B37D4">
        <w:trPr>
          <w:cantSplit/>
        </w:trPr>
        <w:tc>
          <w:tcPr>
            <w:tcW w:w="9360" w:type="dxa"/>
            <w:gridSpan w:val="2"/>
            <w:tcMar>
              <w:top w:w="0" w:type="dxa"/>
              <w:left w:w="108" w:type="dxa"/>
              <w:bottom w:w="0" w:type="dxa"/>
              <w:right w:w="108" w:type="dxa"/>
            </w:tcMar>
            <w:hideMark/>
          </w:tcPr>
          <w:p w14:paraId="54880702" w14:textId="792CE05F" w:rsidR="007B7D37" w:rsidRDefault="007B7D37"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745C498F" w14:textId="59D08F8B" w:rsidR="00D256CF" w:rsidRDefault="007B7D37"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793B42" w:rsidRPr="00767FF8">
              <w:rPr>
                <w:rFonts w:cs="Times New Roman"/>
                <w:sz w:val="18"/>
                <w:szCs w:val="18"/>
              </w:rPr>
              <w:t>Market inco</w:t>
            </w:r>
            <w:r w:rsidR="00793B42" w:rsidRPr="00793B42">
              <w:rPr>
                <w:rFonts w:cs="Times New Roman"/>
                <w:sz w:val="18"/>
                <w:szCs w:val="18"/>
              </w:rPr>
              <w:t xml:space="preserve">me </w:t>
            </w:r>
            <w:r w:rsidR="00737CAD">
              <w:rPr>
                <w:rFonts w:cs="Times New Roman"/>
                <w:sz w:val="18"/>
                <w:szCs w:val="18"/>
              </w:rPr>
              <w:t>refers to market income</w:t>
            </w:r>
            <w:r w:rsidR="00D256CF">
              <w:rPr>
                <w:rFonts w:cs="Times New Roman"/>
                <w:sz w:val="18"/>
                <w:szCs w:val="18"/>
              </w:rPr>
              <w:t>,</w:t>
            </w:r>
            <w:r w:rsidR="00737CAD">
              <w:rPr>
                <w:rFonts w:cs="Times New Roman"/>
                <w:sz w:val="18"/>
                <w:szCs w:val="18"/>
              </w:rPr>
              <w:t xml:space="preserve"> </w:t>
            </w:r>
            <w:r w:rsidR="00793B42" w:rsidRPr="00793B42">
              <w:rPr>
                <w:rFonts w:cs="Times New Roman"/>
                <w:sz w:val="18"/>
                <w:szCs w:val="18"/>
              </w:rPr>
              <w:t>plus pensions</w:t>
            </w:r>
            <w:r w:rsidR="00D256CF">
              <w:rPr>
                <w:rFonts w:cs="Times New Roman"/>
                <w:sz w:val="18"/>
                <w:szCs w:val="18"/>
              </w:rPr>
              <w:t>,</w:t>
            </w:r>
            <w:r w:rsidR="00793B42" w:rsidRPr="00793B42">
              <w:rPr>
                <w:rFonts w:cs="Times New Roman"/>
                <w:sz w:val="18"/>
                <w:szCs w:val="18"/>
              </w:rPr>
              <w:t xml:space="preserve"> </w:t>
            </w:r>
            <w:r w:rsidR="00737CAD">
              <w:rPr>
                <w:rFonts w:cs="Times New Roman"/>
                <w:sz w:val="18"/>
                <w:szCs w:val="18"/>
              </w:rPr>
              <w:t xml:space="preserve">and </w:t>
            </w:r>
            <w:r w:rsidR="00793B42" w:rsidRPr="00793B42">
              <w:rPr>
                <w:rFonts w:cs="Times New Roman"/>
                <w:sz w:val="18"/>
                <w:szCs w:val="18"/>
              </w:rPr>
              <w:t>comprises pretax wages, salaries, income earned from capital assets (rent, interest, or dividends), contributory pensions, and private transfers.</w:t>
            </w:r>
          </w:p>
          <w:p w14:paraId="0181BB89" w14:textId="07AD07A5" w:rsidR="007B7D37" w:rsidRPr="00767FF8" w:rsidRDefault="007D5AD4" w:rsidP="004B37D4">
            <w:pPr>
              <w:widowControl w:val="0"/>
              <w:spacing w:after="0"/>
              <w:rPr>
                <w:rFonts w:cs="Times New Roman"/>
                <w:sz w:val="18"/>
                <w:szCs w:val="18"/>
              </w:rPr>
            </w:pPr>
            <w:r w:rsidRPr="007D5AD4">
              <w:rPr>
                <w:rFonts w:cs="Times New Roman"/>
                <w:sz w:val="18"/>
                <w:szCs w:val="18"/>
              </w:rPr>
              <w:t>95</w:t>
            </w:r>
            <w:r>
              <w:rPr>
                <w:rFonts w:cs="Times New Roman"/>
                <w:sz w:val="18"/>
                <w:szCs w:val="18"/>
              </w:rPr>
              <w:t xml:space="preserve"> </w:t>
            </w:r>
            <w:r w:rsidRPr="007D5AD4">
              <w:rPr>
                <w:rFonts w:cs="Times New Roman"/>
                <w:sz w:val="18"/>
                <w:szCs w:val="18"/>
              </w:rPr>
              <w:t xml:space="preserve">percent confidence intervals </w:t>
            </w:r>
            <w:r w:rsidR="00D256CF">
              <w:rPr>
                <w:rFonts w:cs="Times New Roman"/>
                <w:sz w:val="18"/>
                <w:szCs w:val="18"/>
              </w:rPr>
              <w:t xml:space="preserve">are </w:t>
            </w:r>
            <w:r>
              <w:rPr>
                <w:rFonts w:cs="Times New Roman"/>
                <w:sz w:val="18"/>
                <w:szCs w:val="18"/>
              </w:rPr>
              <w:t>displayed</w:t>
            </w:r>
            <w:r w:rsidRPr="007D5AD4">
              <w:rPr>
                <w:rFonts w:cs="Times New Roman"/>
                <w:sz w:val="18"/>
                <w:szCs w:val="18"/>
              </w:rPr>
              <w:t xml:space="preserve"> in panel b</w:t>
            </w:r>
            <w:r>
              <w:rPr>
                <w:rFonts w:cs="Times New Roman"/>
                <w:sz w:val="18"/>
                <w:szCs w:val="18"/>
              </w:rPr>
              <w:t>.</w:t>
            </w:r>
          </w:p>
        </w:tc>
      </w:tr>
    </w:tbl>
    <w:p w14:paraId="19BBD19A" w14:textId="77777777" w:rsidR="007F7C35" w:rsidRPr="007F7C35" w:rsidRDefault="007F7C35" w:rsidP="007F7C35">
      <w:pPr>
        <w:shd w:val="clear" w:color="auto" w:fill="FFFFFF"/>
        <w:spacing w:before="15" w:after="15" w:line="270" w:lineRule="atLeast"/>
        <w:rPr>
          <w:b/>
        </w:rPr>
      </w:pPr>
    </w:p>
    <w:p w14:paraId="048AF531" w14:textId="68B0EB06" w:rsidR="009D1161" w:rsidRPr="00781144" w:rsidRDefault="009D1161" w:rsidP="009D1161">
      <w:pPr>
        <w:shd w:val="clear" w:color="auto" w:fill="FFFFFF"/>
        <w:spacing w:before="15" w:after="15" w:line="270" w:lineRule="atLeast"/>
        <w:rPr>
          <w:rFonts w:asciiTheme="majorHAnsi" w:hAnsiTheme="majorHAnsi" w:cstheme="majorHAnsi"/>
          <w:szCs w:val="22"/>
        </w:rPr>
      </w:pPr>
      <w:r w:rsidRPr="00781144">
        <w:rPr>
          <w:b/>
        </w:rPr>
        <w:t>Employees and employers are liable to pay contributions to the social security system.</w:t>
      </w:r>
      <w:r w:rsidRPr="00781144">
        <w:t xml:space="preserve"> Employees and employers pay contributions to the National Pension Scheme and the National Savings Fund. In the first case, each private sector employee age</w:t>
      </w:r>
      <w:r w:rsidR="00411749">
        <w:t>s</w:t>
      </w:r>
      <w:r w:rsidRPr="00781144">
        <w:t xml:space="preserve"> 18</w:t>
      </w:r>
      <w:r w:rsidR="00411749">
        <w:t>–</w:t>
      </w:r>
      <w:r w:rsidRPr="00781144">
        <w:t xml:space="preserve">69 pays a contribution in the amount of 5 percent of </w:t>
      </w:r>
      <w:r w:rsidR="00411749">
        <w:t xml:space="preserve">the </w:t>
      </w:r>
      <w:r w:rsidRPr="00781144">
        <w:t>basic salary (bonus, overtime pay</w:t>
      </w:r>
      <w:r w:rsidR="00411749">
        <w:t>,</w:t>
      </w:r>
      <w:r w:rsidRPr="00781144">
        <w:t xml:space="preserve"> and allowances are excluded), and </w:t>
      </w:r>
      <w:r w:rsidR="00411749">
        <w:t xml:space="preserve">the </w:t>
      </w:r>
      <w:r w:rsidRPr="00781144">
        <w:t>employer contributes 8.5 percent.</w:t>
      </w:r>
      <w:r w:rsidR="002A7AF0">
        <w:rPr>
          <w:rStyle w:val="FootnoteReference"/>
        </w:rPr>
        <w:footnoteReference w:id="11"/>
      </w:r>
      <w:r w:rsidRPr="00781144">
        <w:t xml:space="preserve"> Different rates are applied to employees entitle</w:t>
      </w:r>
      <w:r w:rsidR="007C7664">
        <w:t>d</w:t>
      </w:r>
      <w:r w:rsidRPr="00781144">
        <w:t xml:space="preserve"> to receive a pension (3 percent paid by employees and 6 percent paid by employers), as well as in the case of workers in the sugar industry (3</w:t>
      </w:r>
      <w:r w:rsidR="007C7664">
        <w:t>.0</w:t>
      </w:r>
      <w:r w:rsidRPr="00781144">
        <w:t xml:space="preserve"> percent paid by employees and 10.5 percent paid by employers) and household workers </w:t>
      </w:r>
      <w:r>
        <w:t>and</w:t>
      </w:r>
      <w:r w:rsidRPr="00781144">
        <w:t xml:space="preserve"> agricultural workers with a monthly remuneration below </w:t>
      </w:r>
      <w:r w:rsidR="00C465B1">
        <w:t>MUR</w:t>
      </w:r>
      <w:r w:rsidRPr="00781144">
        <w:t xml:space="preserve"> 3,000 (6 percent paid by employers). Contributions to the </w:t>
      </w:r>
      <w:r w:rsidR="00D256CF" w:rsidRPr="00781144">
        <w:t>National Savings Fund</w:t>
      </w:r>
      <w:r w:rsidR="00D256CF" w:rsidRPr="00781144" w:rsidDel="00D256CF">
        <w:t xml:space="preserve"> </w:t>
      </w:r>
      <w:r w:rsidRPr="00781144">
        <w:t>are payable at the rate of 2.5 percent by employers (public, private</w:t>
      </w:r>
      <w:r w:rsidR="007C7664">
        <w:t>,</w:t>
      </w:r>
      <w:r w:rsidRPr="00781144">
        <w:t xml:space="preserve"> or parastatal) and </w:t>
      </w:r>
      <w:r>
        <w:t>1</w:t>
      </w:r>
      <w:r w:rsidRPr="00781144">
        <w:t xml:space="preserve"> percent by private sector employees age</w:t>
      </w:r>
      <w:r w:rsidR="007C7664">
        <w:t>s</w:t>
      </w:r>
      <w:r w:rsidRPr="00781144">
        <w:t xml:space="preserve"> between 18 and retirement age. Civil servants pay a contribution of 6 percent of their pensionable emoluments</w:t>
      </w:r>
      <w:r w:rsidR="007C7664">
        <w:t>,</w:t>
      </w:r>
      <w:r w:rsidRPr="00781144">
        <w:t xml:space="preserve"> and</w:t>
      </w:r>
      <w:r w:rsidR="007C7664">
        <w:t>,</w:t>
      </w:r>
      <w:r w:rsidRPr="00781144">
        <w:t xml:space="preserve"> since 2013</w:t>
      </w:r>
      <w:r w:rsidR="007C7664">
        <w:t>,</w:t>
      </w:r>
      <w:r w:rsidRPr="00781144">
        <w:t xml:space="preserve"> the government contributes 12 percent. Civil servants age</w:t>
      </w:r>
      <w:r w:rsidR="007C7664">
        <w:t>s</w:t>
      </w:r>
      <w:r w:rsidRPr="00781144">
        <w:t xml:space="preserve"> 18</w:t>
      </w:r>
      <w:r w:rsidR="007C7664">
        <w:t>–</w:t>
      </w:r>
      <w:r w:rsidRPr="00781144">
        <w:t xml:space="preserve">64 also contribute to a family pension scheme at the rate of 2 percent. In addition, every private sector </w:t>
      </w:r>
      <w:r w:rsidR="007C7664" w:rsidRPr="00781144">
        <w:t xml:space="preserve">employer </w:t>
      </w:r>
      <w:r w:rsidRPr="00781144">
        <w:t xml:space="preserve">contributes 1.5 percent </w:t>
      </w:r>
      <w:r w:rsidR="007C7664">
        <w:t xml:space="preserve">for </w:t>
      </w:r>
      <w:r w:rsidRPr="00781144">
        <w:t xml:space="preserve">employees under the </w:t>
      </w:r>
      <w:r w:rsidR="008536B2" w:rsidRPr="00781144">
        <w:t xml:space="preserve">National Pension Scheme </w:t>
      </w:r>
      <w:r w:rsidRPr="00781144">
        <w:t xml:space="preserve">and </w:t>
      </w:r>
      <w:r w:rsidR="007C7664">
        <w:t xml:space="preserve">employees </w:t>
      </w:r>
      <w:r w:rsidRPr="00781144">
        <w:t>age</w:t>
      </w:r>
      <w:r w:rsidR="007C7664">
        <w:t>s</w:t>
      </w:r>
      <w:r w:rsidRPr="00781144">
        <w:t xml:space="preserve"> 18</w:t>
      </w:r>
      <w:r w:rsidR="007C7664">
        <w:t>–</w:t>
      </w:r>
      <w:r w:rsidRPr="00781144">
        <w:t xml:space="preserve">65 in the form of a training levy to support </w:t>
      </w:r>
      <w:r w:rsidR="007C7664">
        <w:t xml:space="preserve">skills </w:t>
      </w:r>
      <w:r w:rsidRPr="00781144">
        <w:t>development.</w:t>
      </w:r>
    </w:p>
    <w:p w14:paraId="1FF9E17D" w14:textId="77777777" w:rsidR="009D1161" w:rsidRPr="00727D48" w:rsidRDefault="009D1161" w:rsidP="0038618C">
      <w:pPr>
        <w:shd w:val="clear" w:color="auto" w:fill="FFFFFF"/>
        <w:spacing w:before="15" w:after="15" w:line="270" w:lineRule="atLeast"/>
      </w:pPr>
    </w:p>
    <w:p w14:paraId="1391FD3A" w14:textId="38446F41" w:rsidR="004E47CF" w:rsidRPr="0038618C" w:rsidRDefault="00730053" w:rsidP="0038618C">
      <w:pPr>
        <w:shd w:val="clear" w:color="auto" w:fill="FFFFFF"/>
        <w:spacing w:before="15" w:after="15" w:line="270" w:lineRule="atLeast"/>
      </w:pPr>
      <w:r>
        <w:rPr>
          <w:b/>
        </w:rPr>
        <w:t xml:space="preserve">The </w:t>
      </w:r>
      <w:r w:rsidR="003127F9">
        <w:rPr>
          <w:b/>
        </w:rPr>
        <w:t>P</w:t>
      </w:r>
      <w:r>
        <w:rPr>
          <w:b/>
        </w:rPr>
        <w:t xml:space="preserve">IT </w:t>
      </w:r>
      <w:r w:rsidR="003127F9">
        <w:rPr>
          <w:b/>
        </w:rPr>
        <w:t>is</w:t>
      </w:r>
      <w:r w:rsidR="009A2EF6" w:rsidRPr="00452505">
        <w:rPr>
          <w:b/>
        </w:rPr>
        <w:t xml:space="preserve"> progressive.</w:t>
      </w:r>
      <w:r w:rsidR="009A2EF6">
        <w:t xml:space="preserve"> Direct taxes </w:t>
      </w:r>
      <w:r w:rsidR="007F56EA">
        <w:t>and social security contributions</w:t>
      </w:r>
      <w:r w:rsidR="00211806">
        <w:t xml:space="preserve"> are reported by respondents in the </w:t>
      </w:r>
      <w:r w:rsidR="004226F1">
        <w:t>HBS</w:t>
      </w:r>
      <w:r w:rsidR="00211806">
        <w:t xml:space="preserve"> and are used in the fiscal incidence analysis.</w:t>
      </w:r>
      <w:r w:rsidR="006B66D0">
        <w:t xml:space="preserve"> As described in </w:t>
      </w:r>
      <w:r w:rsidR="006B6340">
        <w:fldChar w:fldCharType="begin"/>
      </w:r>
      <w:r w:rsidR="006B6340">
        <w:instrText xml:space="preserve"> REF _Ref8234596 \h  \* MERGEFORMAT </w:instrText>
      </w:r>
      <w:r w:rsidR="006B6340">
        <w:fldChar w:fldCharType="separate"/>
      </w:r>
      <w:r w:rsidR="006B6340" w:rsidRPr="00C37C80">
        <w:t xml:space="preserve">Box </w:t>
      </w:r>
      <w:r w:rsidR="006B6340">
        <w:t>2.1</w:t>
      </w:r>
      <w:r w:rsidR="006B6340">
        <w:fldChar w:fldCharType="end"/>
      </w:r>
      <w:r w:rsidR="006B66D0">
        <w:t>,</w:t>
      </w:r>
      <w:r w:rsidR="009A2EF6">
        <w:t xml:space="preserve"> progressivity is assessed based on comparisons between Lorenz and concentration curves. The </w:t>
      </w:r>
      <w:r w:rsidR="006B6340">
        <w:t xml:space="preserve">bottom </w:t>
      </w:r>
      <w:r w:rsidR="009A2EF6">
        <w:t xml:space="preserve">40 </w:t>
      </w:r>
      <w:r w:rsidR="00230CA7">
        <w:t xml:space="preserve">percent of the population </w:t>
      </w:r>
      <w:r w:rsidR="009A2EF6">
        <w:t>account for 1</w:t>
      </w:r>
      <w:r w:rsidR="00207197">
        <w:t>5</w:t>
      </w:r>
      <w:r w:rsidR="009A2EF6">
        <w:t>.</w:t>
      </w:r>
      <w:r w:rsidR="00207197">
        <w:t>9</w:t>
      </w:r>
      <w:r w:rsidR="009A2EF6">
        <w:t xml:space="preserve"> percent of market income</w:t>
      </w:r>
      <w:r w:rsidR="006B6340">
        <w:t>,</w:t>
      </w:r>
      <w:r w:rsidR="009A2EF6">
        <w:t xml:space="preserve"> but less than </w:t>
      </w:r>
      <w:r w:rsidR="006B6340">
        <w:t xml:space="preserve">1 </w:t>
      </w:r>
      <w:r w:rsidR="009A2EF6">
        <w:t>percent of direct taxes (</w:t>
      </w:r>
      <w:r w:rsidR="0077268D">
        <w:fldChar w:fldCharType="begin"/>
      </w:r>
      <w:r w:rsidR="0077268D">
        <w:instrText xml:space="preserve"> REF _Ref8042023 \h  \* MERGEFORMAT </w:instrText>
      </w:r>
      <w:r w:rsidR="0077268D">
        <w:fldChar w:fldCharType="separate"/>
      </w:r>
      <w:r w:rsidR="00C37C80" w:rsidRPr="00C37C80">
        <w:t>Figure 3.3</w:t>
      </w:r>
      <w:r w:rsidR="0077268D">
        <w:fldChar w:fldCharType="end"/>
      </w:r>
      <w:r w:rsidR="006B6340">
        <w:t>,</w:t>
      </w:r>
      <w:r w:rsidR="0077268D">
        <w:t xml:space="preserve"> panel a</w:t>
      </w:r>
      <w:r w:rsidR="009A2EF6">
        <w:t xml:space="preserve">). </w:t>
      </w:r>
      <w:r w:rsidR="00945027">
        <w:t>By</w:t>
      </w:r>
      <w:r w:rsidR="009A2EF6">
        <w:t xml:space="preserve"> contrast, </w:t>
      </w:r>
      <w:r w:rsidR="00953402">
        <w:t xml:space="preserve">about </w:t>
      </w:r>
      <w:r w:rsidR="009A2EF6">
        <w:t xml:space="preserve">80 percent of the incidence is borne by the richest </w:t>
      </w:r>
      <w:r w:rsidR="0077268D">
        <w:t>10</w:t>
      </w:r>
      <w:r w:rsidR="009A2EF6">
        <w:t xml:space="preserve"> percent of the population. On average, </w:t>
      </w:r>
      <w:r>
        <w:t xml:space="preserve">PITs </w:t>
      </w:r>
      <w:r w:rsidR="00631AE5">
        <w:t>are virtually zero</w:t>
      </w:r>
      <w:r w:rsidR="009A2EF6">
        <w:t xml:space="preserve"> among </w:t>
      </w:r>
      <w:r w:rsidR="002806E2">
        <w:t xml:space="preserve">households in </w:t>
      </w:r>
      <w:r w:rsidR="009A2EF6">
        <w:t>the poorest quintile</w:t>
      </w:r>
      <w:r w:rsidR="002806E2">
        <w:t>s</w:t>
      </w:r>
      <w:r w:rsidR="009A2EF6">
        <w:t xml:space="preserve"> (</w:t>
      </w:r>
      <w:r w:rsidR="008854FD">
        <w:fldChar w:fldCharType="begin"/>
      </w:r>
      <w:r w:rsidR="008854FD">
        <w:instrText xml:space="preserve"> REF _Ref8042023 \h  \* MERGEFORMAT </w:instrText>
      </w:r>
      <w:r w:rsidR="008854FD">
        <w:fldChar w:fldCharType="separate"/>
      </w:r>
      <w:r w:rsidR="00C37C80" w:rsidRPr="00C37C80">
        <w:t>Figure 3.3</w:t>
      </w:r>
      <w:r w:rsidR="008854FD">
        <w:fldChar w:fldCharType="end"/>
      </w:r>
      <w:r w:rsidR="006B6340">
        <w:t>,</w:t>
      </w:r>
      <w:r w:rsidR="008854FD">
        <w:t xml:space="preserve"> panel b</w:t>
      </w:r>
      <w:r w:rsidR="009A2EF6">
        <w:t>)</w:t>
      </w:r>
      <w:r w:rsidR="006B6340">
        <w:t>,</w:t>
      </w:r>
      <w:r w:rsidR="008854FD">
        <w:t xml:space="preserve"> and the share</w:t>
      </w:r>
      <w:r w:rsidR="009A2EF6">
        <w:t xml:space="preserve"> increases to </w:t>
      </w:r>
      <w:r w:rsidR="00DA0ED0">
        <w:t>2</w:t>
      </w:r>
      <w:r w:rsidR="00252A52">
        <w:t>.</w:t>
      </w:r>
      <w:r w:rsidR="00E1586D">
        <w:t>6</w:t>
      </w:r>
      <w:r w:rsidR="009A2EF6">
        <w:t xml:space="preserve"> percent </w:t>
      </w:r>
      <w:r w:rsidR="00252A52">
        <w:t>amon</w:t>
      </w:r>
      <w:r w:rsidR="00252A52" w:rsidRPr="00413D6C">
        <w:t>g the richest households</w:t>
      </w:r>
      <w:r w:rsidR="009A2EF6" w:rsidRPr="00413D6C">
        <w:t xml:space="preserve">. </w:t>
      </w:r>
      <w:r w:rsidR="008E7A29" w:rsidRPr="00413D6C">
        <w:t>T</w:t>
      </w:r>
      <w:r w:rsidR="009A2EF6" w:rsidRPr="00413D6C">
        <w:t>his is a result of the progressivity of the tax system</w:t>
      </w:r>
      <w:r w:rsidR="006B6340">
        <w:t>, which,</w:t>
      </w:r>
      <w:r w:rsidR="0016581C" w:rsidRPr="00413D6C">
        <w:t xml:space="preserve"> </w:t>
      </w:r>
      <w:r w:rsidR="0041566C" w:rsidRPr="00413D6C">
        <w:t>despite a flat tax at 15 percent</w:t>
      </w:r>
      <w:r w:rsidR="006B6340">
        <w:t>,</w:t>
      </w:r>
      <w:r w:rsidR="0016581C" w:rsidRPr="00413D6C">
        <w:t xml:space="preserve"> </w:t>
      </w:r>
      <w:r w:rsidR="00310F7C" w:rsidRPr="00413D6C">
        <w:t>embeds</w:t>
      </w:r>
      <w:r w:rsidR="0016581C" w:rsidRPr="00413D6C">
        <w:t xml:space="preserve"> </w:t>
      </w:r>
      <w:r w:rsidR="00F64FDD" w:rsidRPr="00413D6C">
        <w:t xml:space="preserve">exemption thresholds that vary with household composition and </w:t>
      </w:r>
      <w:r w:rsidR="0041566C" w:rsidRPr="00413D6C">
        <w:t>deductions</w:t>
      </w:r>
      <w:r w:rsidR="009A2EF6" w:rsidRPr="00413D6C">
        <w:t>.</w:t>
      </w:r>
      <w:r w:rsidR="0038618C" w:rsidRPr="00413D6C">
        <w:t xml:space="preserve"> </w:t>
      </w:r>
      <w:r w:rsidR="00417034">
        <w:t>T</w:t>
      </w:r>
      <w:r w:rsidR="000B2BD0" w:rsidRPr="00413D6C">
        <w:t xml:space="preserve">he </w:t>
      </w:r>
      <w:r w:rsidR="00A86703" w:rsidRPr="00413D6C">
        <w:t xml:space="preserve">training levy </w:t>
      </w:r>
      <w:r w:rsidR="007F11E1" w:rsidRPr="00413D6C">
        <w:t xml:space="preserve">and contributions to the </w:t>
      </w:r>
      <w:r w:rsidR="0038618C" w:rsidRPr="00413D6C">
        <w:t xml:space="preserve">civil service </w:t>
      </w:r>
      <w:r w:rsidR="007F11E1" w:rsidRPr="00413D6C">
        <w:t xml:space="preserve">family </w:t>
      </w:r>
      <w:r w:rsidR="0038618C" w:rsidRPr="00413D6C">
        <w:t>protection scheme are</w:t>
      </w:r>
      <w:r w:rsidR="00A86703" w:rsidRPr="00413D6C">
        <w:t xml:space="preserve"> progressive</w:t>
      </w:r>
      <w:r w:rsidR="0038618C" w:rsidRPr="00413D6C">
        <w:t xml:space="preserve"> and pro-poor</w:t>
      </w:r>
      <w:r w:rsidR="00417034">
        <w:t xml:space="preserve">, </w:t>
      </w:r>
      <w:r w:rsidR="00521DE0">
        <w:t>while</w:t>
      </w:r>
      <w:r w:rsidR="00417034">
        <w:t xml:space="preserve"> contributions to pensions</w:t>
      </w:r>
      <w:r w:rsidR="00AE1D1D">
        <w:t xml:space="preserve"> are slightly regressive </w:t>
      </w:r>
      <w:r w:rsidR="006B6340">
        <w:t xml:space="preserve">because </w:t>
      </w:r>
      <w:r w:rsidR="00AE1D1D">
        <w:t>households at the top pay a</w:t>
      </w:r>
      <w:r w:rsidR="00521DE0">
        <w:t xml:space="preserve"> slightly </w:t>
      </w:r>
      <w:r w:rsidR="00AE1D1D">
        <w:t xml:space="preserve">smaller share of their </w:t>
      </w:r>
      <w:r w:rsidR="00C11058">
        <w:t>pre</w:t>
      </w:r>
      <w:r w:rsidR="00AE1D1D">
        <w:t>fiscal income relative to</w:t>
      </w:r>
      <w:r w:rsidR="00521DE0">
        <w:t xml:space="preserve"> households in the middle of the distribution</w:t>
      </w:r>
      <w:r w:rsidR="00A86703" w:rsidRPr="00413D6C">
        <w:t>.</w:t>
      </w:r>
    </w:p>
    <w:p w14:paraId="5C97177E" w14:textId="67C84CC0" w:rsidR="009A2EF6" w:rsidRDefault="009A2EF6" w:rsidP="002E6831"/>
    <w:p w14:paraId="0A354B8D" w14:textId="454C0D08" w:rsidR="00EC45CF" w:rsidRDefault="00EC45CF" w:rsidP="00EC45CF">
      <w:pPr>
        <w:pStyle w:val="Heading3"/>
      </w:pPr>
      <w:bookmarkStart w:id="57" w:name="_Toc8812799"/>
      <w:bookmarkStart w:id="58" w:name="_Toc10824872"/>
      <w:bookmarkStart w:id="59" w:name="_Toc10824944"/>
      <w:r>
        <w:t>Cash Transfers</w:t>
      </w:r>
      <w:bookmarkEnd w:id="57"/>
      <w:bookmarkEnd w:id="58"/>
      <w:bookmarkEnd w:id="59"/>
    </w:p>
    <w:p w14:paraId="2FA5A5F1" w14:textId="3F5ABAF7" w:rsidR="00A153C9" w:rsidRPr="0052117E" w:rsidRDefault="001C746C" w:rsidP="00727D48">
      <w:r w:rsidRPr="00784AC8">
        <w:rPr>
          <w:b/>
        </w:rPr>
        <w:t>The social protection system is comprehen</w:t>
      </w:r>
      <w:r w:rsidRPr="00D14A17">
        <w:rPr>
          <w:b/>
        </w:rPr>
        <w:t>sive</w:t>
      </w:r>
      <w:r w:rsidR="006B6340">
        <w:rPr>
          <w:b/>
        </w:rPr>
        <w:t>,</w:t>
      </w:r>
      <w:r w:rsidRPr="00D14A17">
        <w:rPr>
          <w:b/>
        </w:rPr>
        <w:t xml:space="preserve"> and </w:t>
      </w:r>
      <w:r w:rsidR="00D14A17" w:rsidRPr="00D14A17">
        <w:rPr>
          <w:b/>
        </w:rPr>
        <w:t xml:space="preserve">about </w:t>
      </w:r>
      <w:r w:rsidR="0008518D" w:rsidRPr="00D14A17">
        <w:rPr>
          <w:b/>
        </w:rPr>
        <w:t>23 percen</w:t>
      </w:r>
      <w:r w:rsidR="0008518D" w:rsidRPr="00784AC8">
        <w:rPr>
          <w:b/>
        </w:rPr>
        <w:t xml:space="preserve">t of total government expenditures </w:t>
      </w:r>
      <w:r w:rsidR="00784AC8" w:rsidRPr="00784AC8">
        <w:rPr>
          <w:b/>
        </w:rPr>
        <w:t>are allocated to</w:t>
      </w:r>
      <w:r w:rsidRPr="00784AC8">
        <w:rPr>
          <w:b/>
        </w:rPr>
        <w:t xml:space="preserve"> i</w:t>
      </w:r>
      <w:r w:rsidRPr="00FB5466">
        <w:rPr>
          <w:b/>
        </w:rPr>
        <w:t>t.</w:t>
      </w:r>
      <w:r w:rsidRPr="00727D48">
        <w:t xml:space="preserve"> </w:t>
      </w:r>
      <w:r w:rsidR="002A2FC4" w:rsidRPr="00727D48">
        <w:t xml:space="preserve">The </w:t>
      </w:r>
      <w:r w:rsidRPr="00FB5466">
        <w:t xml:space="preserve">comprehensive social protection system </w:t>
      </w:r>
      <w:r w:rsidR="002A2FC4">
        <w:t xml:space="preserve">consists </w:t>
      </w:r>
      <w:r w:rsidRPr="00FB5466">
        <w:t>of social</w:t>
      </w:r>
      <w:r w:rsidR="00FB5466">
        <w:t xml:space="preserve"> </w:t>
      </w:r>
      <w:r w:rsidRPr="00FB5466">
        <w:t xml:space="preserve">assistance, </w:t>
      </w:r>
      <w:r w:rsidR="00326E5F">
        <w:t xml:space="preserve">social </w:t>
      </w:r>
      <w:r w:rsidR="00784AC8">
        <w:t>insurance</w:t>
      </w:r>
      <w:r w:rsidRPr="00FB5466">
        <w:t>, and labor market programs. Social protection expenditure accounted for</w:t>
      </w:r>
      <w:r w:rsidR="00FB5466">
        <w:t xml:space="preserve"> </w:t>
      </w:r>
      <w:r w:rsidRPr="00717A6D">
        <w:t>2</w:t>
      </w:r>
      <w:r w:rsidR="001B5FC7" w:rsidRPr="00717A6D">
        <w:t>3</w:t>
      </w:r>
      <w:r w:rsidRPr="00717A6D">
        <w:t xml:space="preserve"> percent of total government expenditures and </w:t>
      </w:r>
      <w:r w:rsidR="00DC3A52" w:rsidRPr="00717A6D">
        <w:t>6</w:t>
      </w:r>
      <w:r w:rsidRPr="00717A6D">
        <w:t xml:space="preserve"> percent of GDP in 201</w:t>
      </w:r>
      <w:r w:rsidR="004B6E48" w:rsidRPr="00717A6D">
        <w:t>6/17</w:t>
      </w:r>
      <w:r w:rsidR="00A36BE1">
        <w:t>.</w:t>
      </w:r>
      <w:r w:rsidR="00326E5F">
        <w:t xml:space="preserve"> </w:t>
      </w:r>
      <w:r w:rsidR="002045B2">
        <w:t>N</w:t>
      </w:r>
      <w:r w:rsidR="004C6E0D">
        <w:t>on</w:t>
      </w:r>
      <w:r w:rsidR="002045B2">
        <w:t>contributory</w:t>
      </w:r>
      <w:r w:rsidR="0063659E" w:rsidRPr="00FB5466">
        <w:t xml:space="preserve"> benefits include</w:t>
      </w:r>
      <w:r w:rsidR="00CD6AA8">
        <w:t xml:space="preserve"> (</w:t>
      </w:r>
      <w:r w:rsidR="009B213A">
        <w:t>1</w:t>
      </w:r>
      <w:r w:rsidR="00CD6AA8">
        <w:t>) b</w:t>
      </w:r>
      <w:r w:rsidR="0063659E" w:rsidRPr="00FB5466">
        <w:t>asic pensions</w:t>
      </w:r>
      <w:r w:rsidR="00CD6AA8">
        <w:t>,</w:t>
      </w:r>
      <w:r w:rsidR="0063659E" w:rsidRPr="00FB5466">
        <w:t xml:space="preserve"> which </w:t>
      </w:r>
      <w:r w:rsidR="009B213A">
        <w:t xml:space="preserve">cover the </w:t>
      </w:r>
      <w:r w:rsidR="0063659E" w:rsidRPr="00FB5466">
        <w:t xml:space="preserve">elderly, </w:t>
      </w:r>
      <w:r w:rsidR="009B213A">
        <w:t>the handicapped</w:t>
      </w:r>
      <w:r w:rsidR="0063659E" w:rsidRPr="00FB5466">
        <w:t>, widows</w:t>
      </w:r>
      <w:r w:rsidR="00C379BE">
        <w:t>,</w:t>
      </w:r>
      <w:r w:rsidR="0063659E" w:rsidRPr="00FB5466">
        <w:t xml:space="preserve"> and orphans, irrespective of their economic status; </w:t>
      </w:r>
      <w:r w:rsidR="00CD6AA8">
        <w:t>(</w:t>
      </w:r>
      <w:r w:rsidR="009B213A">
        <w:t>2</w:t>
      </w:r>
      <w:r w:rsidR="00CD6AA8">
        <w:t>) a</w:t>
      </w:r>
      <w:r w:rsidR="0063659E" w:rsidRPr="00FB5466">
        <w:t xml:space="preserve">llowances such as </w:t>
      </w:r>
      <w:r w:rsidR="0050628A">
        <w:t>s</w:t>
      </w:r>
      <w:r w:rsidR="0063659E" w:rsidRPr="00FB5466">
        <w:t xml:space="preserve">ocial </w:t>
      </w:r>
      <w:r w:rsidR="0050628A">
        <w:t>a</w:t>
      </w:r>
      <w:r w:rsidR="0063659E" w:rsidRPr="00FB5466">
        <w:t xml:space="preserve">id, </w:t>
      </w:r>
      <w:r w:rsidR="0050628A">
        <w:t>f</w:t>
      </w:r>
      <w:r w:rsidR="0063659E" w:rsidRPr="00FB5466">
        <w:t xml:space="preserve">ood </w:t>
      </w:r>
      <w:r w:rsidR="0050628A">
        <w:t>a</w:t>
      </w:r>
      <w:r w:rsidR="0063659E" w:rsidRPr="00FB5466">
        <w:t>id</w:t>
      </w:r>
      <w:r w:rsidR="009B213A">
        <w:t>,</w:t>
      </w:r>
      <w:r w:rsidR="0063659E" w:rsidRPr="00FB5466">
        <w:t xml:space="preserve"> and </w:t>
      </w:r>
      <w:r w:rsidR="0050628A">
        <w:t>i</w:t>
      </w:r>
      <w:r w:rsidR="0063659E" w:rsidRPr="00FB5466">
        <w:t xml:space="preserve">ncome </w:t>
      </w:r>
      <w:r w:rsidR="0050628A">
        <w:t>s</w:t>
      </w:r>
      <w:r w:rsidR="0063659E" w:rsidRPr="00FB5466">
        <w:t xml:space="preserve">upport, </w:t>
      </w:r>
      <w:r w:rsidR="0050628A">
        <w:t>u</w:t>
      </w:r>
      <w:r w:rsidR="0063659E" w:rsidRPr="00FB5466">
        <w:t xml:space="preserve">nemployment </w:t>
      </w:r>
      <w:r w:rsidR="0050628A">
        <w:t>h</w:t>
      </w:r>
      <w:r w:rsidR="0063659E" w:rsidRPr="00FB5466">
        <w:t xml:space="preserve">ardship </w:t>
      </w:r>
      <w:r w:rsidR="0050628A">
        <w:t>r</w:t>
      </w:r>
      <w:r w:rsidR="0063659E" w:rsidRPr="00FB5466">
        <w:t>elief</w:t>
      </w:r>
      <w:r w:rsidR="009B213A">
        <w:t xml:space="preserve">, </w:t>
      </w:r>
      <w:r w:rsidR="0063659E" w:rsidRPr="00FB5466">
        <w:t xml:space="preserve">and </w:t>
      </w:r>
      <w:r w:rsidR="009B213A">
        <w:t xml:space="preserve">the </w:t>
      </w:r>
      <w:r w:rsidR="0050628A">
        <w:t>f</w:t>
      </w:r>
      <w:r w:rsidR="0063659E" w:rsidRPr="00FB5466">
        <w:t xml:space="preserve">uneral </w:t>
      </w:r>
      <w:r w:rsidR="0050628A">
        <w:t>g</w:t>
      </w:r>
      <w:r w:rsidR="0063659E" w:rsidRPr="00FB5466">
        <w:t>rant</w:t>
      </w:r>
      <w:r w:rsidR="009B213A">
        <w:t>,</w:t>
      </w:r>
      <w:r w:rsidR="0063659E" w:rsidRPr="00FB5466">
        <w:t xml:space="preserve"> which are payable to the </w:t>
      </w:r>
      <w:r w:rsidR="009B213A">
        <w:t xml:space="preserve">population at </w:t>
      </w:r>
      <w:r w:rsidR="0063659E" w:rsidRPr="00FB5466">
        <w:t>low</w:t>
      </w:r>
      <w:r w:rsidR="009B213A">
        <w:t xml:space="preserve"> </w:t>
      </w:r>
      <w:r w:rsidR="0063659E" w:rsidRPr="00FB5466">
        <w:t>income</w:t>
      </w:r>
      <w:r w:rsidR="009B213A">
        <w:t>s</w:t>
      </w:r>
      <w:r w:rsidR="0063659E" w:rsidRPr="00FB5466">
        <w:t xml:space="preserve">; </w:t>
      </w:r>
      <w:r w:rsidR="006C10E4">
        <w:t xml:space="preserve">and </w:t>
      </w:r>
      <w:r w:rsidR="00CD6AA8">
        <w:t>(</w:t>
      </w:r>
      <w:r w:rsidR="009B213A">
        <w:t>c</w:t>
      </w:r>
      <w:r w:rsidR="00CD6AA8">
        <w:t>) i</w:t>
      </w:r>
      <w:r w:rsidR="0063659E" w:rsidRPr="00FB5466">
        <w:t>nmates allowance and indoor relief payable to</w:t>
      </w:r>
      <w:r w:rsidR="006C10E4">
        <w:t xml:space="preserve"> </w:t>
      </w:r>
      <w:r w:rsidR="0063659E" w:rsidRPr="00FB5466">
        <w:t xml:space="preserve">Mauritians residing in government-subsidized institutions </w:t>
      </w:r>
      <w:r w:rsidR="00402AEC">
        <w:t>(</w:t>
      </w:r>
      <w:r w:rsidR="001B415B">
        <w:t xml:space="preserve">see </w:t>
      </w:r>
      <w:r w:rsidR="001B415B">
        <w:fldChar w:fldCharType="begin"/>
      </w:r>
      <w:r w:rsidR="001B415B">
        <w:instrText xml:space="preserve"> REF _Ref8050133 \h  \* MERGEFORMAT </w:instrText>
      </w:r>
      <w:r w:rsidR="001B415B">
        <w:fldChar w:fldCharType="separate"/>
      </w:r>
      <w:r w:rsidR="001B415B" w:rsidRPr="00C37C80">
        <w:t xml:space="preserve">Box </w:t>
      </w:r>
      <w:r w:rsidR="001B415B">
        <w:t>3.1</w:t>
      </w:r>
      <w:r w:rsidR="001B415B">
        <w:fldChar w:fldCharType="end"/>
      </w:r>
      <w:r w:rsidR="00402AEC">
        <w:t>).</w:t>
      </w:r>
      <w:r w:rsidR="0063659E" w:rsidRPr="00FB5466">
        <w:t xml:space="preserve"> </w:t>
      </w:r>
      <w:r w:rsidR="00402AEC">
        <w:t xml:space="preserve">In addition, </w:t>
      </w:r>
      <w:r w:rsidR="00D9711A">
        <w:t>the</w:t>
      </w:r>
      <w:r w:rsidR="00A153C9" w:rsidRPr="0052117E">
        <w:t xml:space="preserve"> enactment of the Social Integration and Empowerment Act </w:t>
      </w:r>
      <w:r w:rsidR="00D9711A">
        <w:t xml:space="preserve">in December </w:t>
      </w:r>
      <w:r w:rsidR="00A153C9" w:rsidRPr="0052117E">
        <w:t>2016</w:t>
      </w:r>
      <w:r w:rsidR="003179F9">
        <w:t xml:space="preserve"> introduced</w:t>
      </w:r>
      <w:r w:rsidR="00A153C9" w:rsidRPr="0052117E">
        <w:t xml:space="preserve"> a </w:t>
      </w:r>
      <w:r w:rsidR="001207FB">
        <w:t>targeted antipoverty scheme</w:t>
      </w:r>
      <w:r w:rsidR="003179F9">
        <w:t>, u</w:t>
      </w:r>
      <w:r w:rsidR="00A153C9" w:rsidRPr="0052117E">
        <w:t xml:space="preserve">nder which every </w:t>
      </w:r>
      <w:r w:rsidR="008046A0">
        <w:t>adult</w:t>
      </w:r>
      <w:r w:rsidR="00A153C9" w:rsidRPr="0052117E">
        <w:t xml:space="preserve"> on </w:t>
      </w:r>
      <w:r w:rsidR="003179F9">
        <w:t xml:space="preserve">the </w:t>
      </w:r>
      <w:r w:rsidR="00A153C9" w:rsidRPr="0052117E">
        <w:t>Social Register</w:t>
      </w:r>
      <w:r w:rsidR="00B16D7B">
        <w:t xml:space="preserve"> of Mauritius</w:t>
      </w:r>
      <w:r w:rsidR="00A153C9" w:rsidRPr="0052117E">
        <w:t xml:space="preserve"> who </w:t>
      </w:r>
      <w:r w:rsidR="001B415B">
        <w:t xml:space="preserve">is </w:t>
      </w:r>
      <w:r w:rsidR="008046A0">
        <w:t>liv</w:t>
      </w:r>
      <w:r w:rsidR="001B415B">
        <w:t xml:space="preserve">ing </w:t>
      </w:r>
      <w:r w:rsidR="008046A0">
        <w:t xml:space="preserve">below the absolute poverty line and </w:t>
      </w:r>
      <w:r w:rsidR="00A153C9" w:rsidRPr="0052117E">
        <w:t xml:space="preserve">has signed </w:t>
      </w:r>
      <w:r w:rsidR="0039008A">
        <w:t>the</w:t>
      </w:r>
      <w:r w:rsidR="00A153C9" w:rsidRPr="0052117E">
        <w:t xml:space="preserve"> Marshall Plan Social Contract is entitled to a monthly subsistence allowance. </w:t>
      </w:r>
      <w:r w:rsidR="00B16D7B">
        <w:t>However, th</w:t>
      </w:r>
      <w:r w:rsidR="002A2FC4">
        <w:t>e</w:t>
      </w:r>
      <w:r w:rsidR="00B16D7B">
        <w:t xml:space="preserve"> scheme </w:t>
      </w:r>
      <w:r w:rsidR="001B415B">
        <w:t xml:space="preserve">had </w:t>
      </w:r>
      <w:r w:rsidR="00B16D7B">
        <w:t xml:space="preserve">only </w:t>
      </w:r>
      <w:r w:rsidR="001B415B">
        <w:t xml:space="preserve">been </w:t>
      </w:r>
      <w:r w:rsidR="00B16D7B">
        <w:t>gradually phased in at the time of the survey</w:t>
      </w:r>
      <w:r w:rsidR="001B415B">
        <w:t>;</w:t>
      </w:r>
      <w:r w:rsidR="00B16D7B">
        <w:t xml:space="preserve"> its effect is simulated in section 5.</w:t>
      </w:r>
    </w:p>
    <w:p w14:paraId="03FF8F37" w14:textId="53A06342" w:rsidR="009060EE" w:rsidRDefault="009D1161" w:rsidP="00961172">
      <w:r w:rsidRPr="00251610">
        <w:rPr>
          <w:b/>
        </w:rPr>
        <w:t>Social aid and basic n</w:t>
      </w:r>
      <w:r w:rsidR="004C6E0D">
        <w:rPr>
          <w:b/>
        </w:rPr>
        <w:t>on</w:t>
      </w:r>
      <w:r w:rsidRPr="00251610">
        <w:rPr>
          <w:b/>
        </w:rPr>
        <w:t>contributory pensions</w:t>
      </w:r>
      <w:r>
        <w:rPr>
          <w:b/>
        </w:rPr>
        <w:t>,</w:t>
      </w:r>
      <w:r w:rsidRPr="00251610">
        <w:rPr>
          <w:b/>
        </w:rPr>
        <w:t xml:space="preserve"> except for </w:t>
      </w:r>
      <w:r>
        <w:rPr>
          <w:b/>
        </w:rPr>
        <w:t>BRP,</w:t>
      </w:r>
      <w:r w:rsidRPr="00251610">
        <w:rPr>
          <w:b/>
        </w:rPr>
        <w:t xml:space="preserve"> are progressive and pro-poor.</w:t>
      </w:r>
      <w:r>
        <w:t xml:space="preserve"> </w:t>
      </w:r>
      <w:r w:rsidR="00F55CB3">
        <w:t xml:space="preserve">The BRP </w:t>
      </w:r>
      <w:r>
        <w:t xml:space="preserve">is the single most important component of the social protection system. The BRP alone contributes about 50 percent of social protection spending. Although BRP is progressive in relative terms since it makes up a larger share of </w:t>
      </w:r>
      <w:r w:rsidR="00C11058">
        <w:t>pre</w:t>
      </w:r>
      <w:r>
        <w:t xml:space="preserve">fiscal income among low-income households than among high-income ones, it is not pro-poor </w:t>
      </w:r>
      <w:r w:rsidR="002A2FC4">
        <w:t xml:space="preserve">because </w:t>
      </w:r>
      <w:r>
        <w:t xml:space="preserve">the per capita amount received does not decline as </w:t>
      </w:r>
      <w:r w:rsidR="00C11058">
        <w:t>pre</w:t>
      </w:r>
      <w:r>
        <w:t>fiscal income rises (</w:t>
      </w:r>
      <w:r>
        <w:fldChar w:fldCharType="begin"/>
      </w:r>
      <w:r>
        <w:instrText xml:space="preserve"> REF _Ref8064694 \h  \* MERGEFORMAT </w:instrText>
      </w:r>
      <w:r>
        <w:fldChar w:fldCharType="separate"/>
      </w:r>
      <w:r w:rsidR="00C37C80" w:rsidRPr="00C37C80">
        <w:t>Figure 3.4</w:t>
      </w:r>
      <w:r>
        <w:fldChar w:fldCharType="end"/>
      </w:r>
      <w:r>
        <w:t>). By contrast, the other basic n</w:t>
      </w:r>
      <w:r w:rsidR="004C6E0D">
        <w:t>on</w:t>
      </w:r>
      <w:r>
        <w:t xml:space="preserve">contributory pensions, including </w:t>
      </w:r>
      <w:r w:rsidR="002A2FC4">
        <w:t xml:space="preserve">the </w:t>
      </w:r>
      <w:r>
        <w:t xml:space="preserve">basic widow pension, </w:t>
      </w:r>
      <w:r w:rsidR="002A2FC4">
        <w:t xml:space="preserve">the </w:t>
      </w:r>
      <w:r>
        <w:t xml:space="preserve">basic invalid pension, </w:t>
      </w:r>
      <w:r w:rsidR="002A2FC4">
        <w:t xml:space="preserve">and </w:t>
      </w:r>
      <w:r>
        <w:t>child and care</w:t>
      </w:r>
      <w:r w:rsidR="002A2FC4">
        <w:t>giver</w:t>
      </w:r>
      <w:r>
        <w:t xml:space="preserve"> allowances, are progressive </w:t>
      </w:r>
      <w:r w:rsidR="002A2FC4">
        <w:t xml:space="preserve">not only </w:t>
      </w:r>
      <w:r>
        <w:t>in relative terms</w:t>
      </w:r>
      <w:r w:rsidR="002A2FC4">
        <w:t>,</w:t>
      </w:r>
      <w:r>
        <w:t xml:space="preserve"> but also in absolute terms, </w:t>
      </w:r>
      <w:r w:rsidR="002A2FC4">
        <w:t xml:space="preserve">that is, </w:t>
      </w:r>
      <w:r>
        <w:t xml:space="preserve">they are pro-poor. The </w:t>
      </w:r>
      <w:r w:rsidR="002A2FC4">
        <w:t>Social Aid Program</w:t>
      </w:r>
      <w:r>
        <w:t>, which is targeted at households temporarily unable to earn a livelihood, is also progressive and pro-poor. Over 72 percent of this transfer is received by the bottom 20 percent</w:t>
      </w:r>
      <w:r w:rsidR="002A2FC4">
        <w:t>,</w:t>
      </w:r>
      <w:r>
        <w:t xml:space="preserve"> and about 85 percent is absorbed by households </w:t>
      </w:r>
      <w:r w:rsidR="004076CD">
        <w:t xml:space="preserve">in </w:t>
      </w:r>
      <w:r>
        <w:t>the bottom 40 percent</w:t>
      </w:r>
      <w:r w:rsidR="008F0D94">
        <w:t xml:space="preserve"> of the income distribution (the bottom 40)</w:t>
      </w:r>
      <w:r>
        <w:t xml:space="preserve">. Other cash transfers, which include the </w:t>
      </w:r>
      <w:r w:rsidRPr="00FE464D">
        <w:t>unemployment hardship relief</w:t>
      </w:r>
      <w:r w:rsidRPr="00A3093A">
        <w:t xml:space="preserve"> and</w:t>
      </w:r>
      <w:r w:rsidRPr="00FE464D">
        <w:t xml:space="preserve"> food aid, </w:t>
      </w:r>
      <w:r>
        <w:t>are progressi</w:t>
      </w:r>
      <w:r w:rsidRPr="009771EE">
        <w:t xml:space="preserve">ve in relative terms, </w:t>
      </w:r>
      <w:r w:rsidR="00323F10">
        <w:t xml:space="preserve">that is, </w:t>
      </w:r>
      <w:r w:rsidRPr="009771EE">
        <w:t xml:space="preserve">their share in </w:t>
      </w:r>
      <w:r w:rsidR="00C11058">
        <w:t>pre</w:t>
      </w:r>
      <w:r w:rsidRPr="009771EE">
        <w:t>fiscal income rise with income</w:t>
      </w:r>
      <w:r w:rsidR="00323F10">
        <w:t>,</w:t>
      </w:r>
      <w:r w:rsidRPr="009771EE">
        <w:t xml:space="preserve"> but not in absolute terms.</w:t>
      </w:r>
    </w:p>
    <w:tbl>
      <w:tblPr>
        <w:tblStyle w:val="ColorfulList-Accent1"/>
        <w:tblW w:w="966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666"/>
      </w:tblGrid>
      <w:tr w:rsidR="005E16ED" w14:paraId="324C986D" w14:textId="77777777" w:rsidTr="00855877">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9666" w:type="dxa"/>
            <w:tcBorders>
              <w:top w:val="single" w:sz="12" w:space="0" w:color="FFFFFF" w:themeColor="background1"/>
              <w:left w:val="single" w:sz="12" w:space="0" w:color="FFFFFF" w:themeColor="background1"/>
              <w:right w:val="single" w:sz="12" w:space="0" w:color="FFFFFF" w:themeColor="background1"/>
            </w:tcBorders>
            <w:shd w:val="clear" w:color="auto" w:fill="00B050"/>
            <w:vAlign w:val="center"/>
            <w:hideMark/>
          </w:tcPr>
          <w:p w14:paraId="14699A2E" w14:textId="4B0CB38B" w:rsidR="005E16ED" w:rsidRPr="00D772D9" w:rsidRDefault="005E16ED" w:rsidP="00855877">
            <w:pPr>
              <w:pStyle w:val="Caption"/>
              <w:keepNext/>
              <w:rPr>
                <w:b/>
              </w:rPr>
            </w:pPr>
            <w:bookmarkStart w:id="60" w:name="_Ref8050133"/>
            <w:bookmarkStart w:id="61" w:name="_Toc10824853"/>
            <w:r w:rsidRPr="00D772D9">
              <w:rPr>
                <w:b/>
                <w:color w:val="000000" w:themeColor="text1"/>
                <w:sz w:val="24"/>
                <w:szCs w:val="24"/>
              </w:rPr>
              <w:t xml:space="preserve">Box </w:t>
            </w:r>
            <w:r w:rsidR="004226F1">
              <w:rPr>
                <w:b/>
                <w:color w:val="000000" w:themeColor="text1"/>
                <w:sz w:val="24"/>
                <w:szCs w:val="24"/>
              </w:rPr>
              <w:t>3.1</w:t>
            </w:r>
            <w:bookmarkEnd w:id="60"/>
            <w:r>
              <w:rPr>
                <w:b/>
                <w:color w:val="000000" w:themeColor="text1"/>
                <w:sz w:val="24"/>
                <w:szCs w:val="24"/>
              </w:rPr>
              <w:t>.</w:t>
            </w:r>
            <w:r w:rsidRPr="00D772D9">
              <w:rPr>
                <w:b/>
                <w:color w:val="000000" w:themeColor="text1"/>
                <w:sz w:val="24"/>
                <w:szCs w:val="24"/>
              </w:rPr>
              <w:t xml:space="preserve"> </w:t>
            </w:r>
            <w:r w:rsidR="00794775">
              <w:rPr>
                <w:b/>
                <w:color w:val="000000" w:themeColor="text1"/>
                <w:sz w:val="24"/>
                <w:szCs w:val="24"/>
              </w:rPr>
              <w:t>Cash</w:t>
            </w:r>
            <w:r w:rsidR="001303FE">
              <w:rPr>
                <w:b/>
                <w:color w:val="000000" w:themeColor="text1"/>
                <w:sz w:val="24"/>
                <w:szCs w:val="24"/>
              </w:rPr>
              <w:t xml:space="preserve"> </w:t>
            </w:r>
            <w:r w:rsidR="004226F1">
              <w:rPr>
                <w:b/>
                <w:color w:val="000000" w:themeColor="text1"/>
                <w:sz w:val="24"/>
                <w:szCs w:val="24"/>
              </w:rPr>
              <w:t>Transfer Programs</w:t>
            </w:r>
            <w:bookmarkEnd w:id="61"/>
          </w:p>
        </w:tc>
      </w:tr>
      <w:tr w:rsidR="005E16ED" w14:paraId="6E560C04" w14:textId="77777777" w:rsidTr="00855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4B083" w:themeFill="accent2" w:themeFillTint="99"/>
            <w:hideMark/>
          </w:tcPr>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hemeFill="accent2" w:themeFillTint="99"/>
              <w:tblCellMar>
                <w:left w:w="0" w:type="dxa"/>
                <w:right w:w="0" w:type="dxa"/>
              </w:tblCellMar>
              <w:tblLook w:val="04A0" w:firstRow="1" w:lastRow="0" w:firstColumn="1" w:lastColumn="0" w:noHBand="0" w:noVBand="1"/>
            </w:tblPr>
            <w:tblGrid>
              <w:gridCol w:w="9360"/>
            </w:tblGrid>
            <w:tr w:rsidR="005E16ED" w14:paraId="08D613DC" w14:textId="77777777" w:rsidTr="00855877">
              <w:tc>
                <w:tcPr>
                  <w:tcW w:w="9360" w:type="dxa"/>
                  <w:shd w:val="clear" w:color="auto" w:fill="F4B083" w:themeFill="accent2" w:themeFillTint="99"/>
                </w:tcPr>
                <w:p w14:paraId="441A15CF" w14:textId="463FCD4D" w:rsidR="0049073E" w:rsidRPr="00727D48" w:rsidRDefault="0049073E" w:rsidP="0049073E">
                  <w:pPr>
                    <w:pStyle w:val="Default"/>
                    <w:rPr>
                      <w:rFonts w:asciiTheme="majorHAnsi" w:hAnsiTheme="majorHAnsi" w:cstheme="majorHAnsi"/>
                      <w:i/>
                      <w:sz w:val="18"/>
                      <w:szCs w:val="18"/>
                    </w:rPr>
                  </w:pPr>
                  <w:r w:rsidRPr="00727D48">
                    <w:rPr>
                      <w:rFonts w:asciiTheme="majorHAnsi" w:hAnsiTheme="majorHAnsi" w:cstheme="majorHAnsi"/>
                      <w:bCs/>
                      <w:i/>
                      <w:iCs/>
                      <w:sz w:val="18"/>
                      <w:szCs w:val="18"/>
                    </w:rPr>
                    <w:t>Basic Retirement Pensions</w:t>
                  </w:r>
                </w:p>
                <w:p w14:paraId="37C36D88" w14:textId="6D8FDC6F" w:rsidR="0049073E" w:rsidRDefault="00F55CB3" w:rsidP="0049073E">
                  <w:pPr>
                    <w:pStyle w:val="Default"/>
                    <w:rPr>
                      <w:rFonts w:asciiTheme="majorHAnsi" w:hAnsiTheme="majorHAnsi" w:cstheme="majorHAnsi"/>
                      <w:sz w:val="18"/>
                      <w:szCs w:val="18"/>
                    </w:rPr>
                  </w:pPr>
                  <w:r>
                    <w:rPr>
                      <w:rFonts w:asciiTheme="majorHAnsi" w:hAnsiTheme="majorHAnsi" w:cstheme="majorHAnsi"/>
                      <w:sz w:val="18"/>
                      <w:szCs w:val="18"/>
                    </w:rPr>
                    <w:t>The BRP</w:t>
                  </w:r>
                  <w:r w:rsidR="0049073E" w:rsidRPr="0049073E">
                    <w:rPr>
                      <w:rFonts w:asciiTheme="majorHAnsi" w:hAnsiTheme="majorHAnsi" w:cstheme="majorHAnsi"/>
                      <w:sz w:val="18"/>
                      <w:szCs w:val="18"/>
                    </w:rPr>
                    <w:t>, also known as old-age pension, is payable to every Mauritian citizen age</w:t>
                  </w:r>
                  <w:r w:rsidR="00230CA7">
                    <w:rPr>
                      <w:rFonts w:asciiTheme="majorHAnsi" w:hAnsiTheme="majorHAnsi" w:cstheme="majorHAnsi"/>
                      <w:sz w:val="18"/>
                      <w:szCs w:val="18"/>
                    </w:rPr>
                    <w:t>s</w:t>
                  </w:r>
                  <w:r w:rsidR="0049073E" w:rsidRPr="0049073E">
                    <w:rPr>
                      <w:rFonts w:asciiTheme="majorHAnsi" w:hAnsiTheme="majorHAnsi" w:cstheme="majorHAnsi"/>
                      <w:sz w:val="18"/>
                      <w:szCs w:val="18"/>
                    </w:rPr>
                    <w:t xml:space="preserve"> 60 </w:t>
                  </w:r>
                  <w:r w:rsidR="00323F10">
                    <w:rPr>
                      <w:rFonts w:asciiTheme="majorHAnsi" w:hAnsiTheme="majorHAnsi" w:cstheme="majorHAnsi"/>
                      <w:sz w:val="18"/>
                      <w:szCs w:val="18"/>
                    </w:rPr>
                    <w:t xml:space="preserve">or </w:t>
                  </w:r>
                  <w:r w:rsidR="0049073E" w:rsidRPr="0049073E">
                    <w:rPr>
                      <w:rFonts w:asciiTheme="majorHAnsi" w:hAnsiTheme="majorHAnsi" w:cstheme="majorHAnsi"/>
                      <w:sz w:val="18"/>
                      <w:szCs w:val="18"/>
                    </w:rPr>
                    <w:t>above subject to certain residency conditions.</w:t>
                  </w:r>
                </w:p>
                <w:p w14:paraId="1865B6DD" w14:textId="5B197090" w:rsidR="004F5211" w:rsidRPr="00727D48" w:rsidRDefault="004F5211" w:rsidP="0049073E">
                  <w:pPr>
                    <w:pStyle w:val="Default"/>
                    <w:rPr>
                      <w:rFonts w:asciiTheme="majorHAnsi" w:hAnsiTheme="majorHAnsi" w:cstheme="majorHAnsi"/>
                      <w:i/>
                      <w:sz w:val="18"/>
                      <w:szCs w:val="18"/>
                    </w:rPr>
                  </w:pPr>
                  <w:r w:rsidRPr="00727D48">
                    <w:rPr>
                      <w:rFonts w:asciiTheme="majorHAnsi" w:hAnsiTheme="majorHAnsi" w:cstheme="majorHAnsi"/>
                      <w:i/>
                      <w:sz w:val="18"/>
                      <w:szCs w:val="18"/>
                    </w:rPr>
                    <w:t>Care</w:t>
                  </w:r>
                  <w:r w:rsidR="00323F10">
                    <w:rPr>
                      <w:rFonts w:asciiTheme="majorHAnsi" w:hAnsiTheme="majorHAnsi" w:cstheme="majorHAnsi"/>
                      <w:i/>
                      <w:sz w:val="18"/>
                      <w:szCs w:val="18"/>
                    </w:rPr>
                    <w:t>giver a</w:t>
                  </w:r>
                  <w:r w:rsidRPr="00727D48">
                    <w:rPr>
                      <w:rFonts w:asciiTheme="majorHAnsi" w:hAnsiTheme="majorHAnsi" w:cstheme="majorHAnsi"/>
                      <w:i/>
                      <w:sz w:val="18"/>
                      <w:szCs w:val="18"/>
                    </w:rPr>
                    <w:t>llowance</w:t>
                  </w:r>
                </w:p>
                <w:p w14:paraId="5F4DD13F" w14:textId="7E2DF0E3" w:rsidR="0049073E" w:rsidRPr="0049073E" w:rsidRDefault="00323F10" w:rsidP="0049073E">
                  <w:pPr>
                    <w:pStyle w:val="Default"/>
                    <w:rPr>
                      <w:rFonts w:asciiTheme="majorHAnsi" w:hAnsiTheme="majorHAnsi" w:cstheme="majorHAnsi"/>
                      <w:sz w:val="18"/>
                      <w:szCs w:val="18"/>
                    </w:rPr>
                  </w:pPr>
                  <w:r>
                    <w:rPr>
                      <w:rFonts w:asciiTheme="majorHAnsi" w:hAnsiTheme="majorHAnsi" w:cstheme="majorHAnsi"/>
                      <w:sz w:val="18"/>
                      <w:szCs w:val="18"/>
                    </w:rPr>
                    <w:t xml:space="preserve">The </w:t>
                  </w:r>
                  <w:r w:rsidR="0049073E" w:rsidRPr="004F5211">
                    <w:rPr>
                      <w:rFonts w:asciiTheme="majorHAnsi" w:hAnsiTheme="majorHAnsi" w:cstheme="majorHAnsi"/>
                      <w:sz w:val="18"/>
                      <w:szCs w:val="18"/>
                    </w:rPr>
                    <w:t>Care</w:t>
                  </w:r>
                  <w:r>
                    <w:rPr>
                      <w:rFonts w:asciiTheme="majorHAnsi" w:hAnsiTheme="majorHAnsi" w:cstheme="majorHAnsi"/>
                      <w:sz w:val="18"/>
                      <w:szCs w:val="18"/>
                    </w:rPr>
                    <w:t>giver a</w:t>
                  </w:r>
                  <w:r w:rsidR="0049073E" w:rsidRPr="004F5211">
                    <w:rPr>
                      <w:rFonts w:asciiTheme="majorHAnsi" w:hAnsiTheme="majorHAnsi" w:cstheme="majorHAnsi"/>
                      <w:sz w:val="18"/>
                      <w:szCs w:val="18"/>
                    </w:rPr>
                    <w:t>llowance</w:t>
                  </w:r>
                  <w:r w:rsidR="0049073E" w:rsidRPr="0049073E">
                    <w:rPr>
                      <w:rFonts w:asciiTheme="majorHAnsi" w:hAnsiTheme="majorHAnsi" w:cstheme="majorHAnsi"/>
                      <w:sz w:val="18"/>
                      <w:szCs w:val="18"/>
                    </w:rPr>
                    <w:t xml:space="preserve"> is an additional allowance payable to old-age pensioners who</w:t>
                  </w:r>
                </w:p>
                <w:p w14:paraId="47614BBB" w14:textId="7F42D640" w:rsidR="0049073E" w:rsidRPr="0049073E" w:rsidRDefault="00323F10" w:rsidP="00727D48">
                  <w:pPr>
                    <w:pStyle w:val="Default"/>
                    <w:numPr>
                      <w:ilvl w:val="0"/>
                      <w:numId w:val="24"/>
                    </w:numPr>
                    <w:spacing w:after="6"/>
                    <w:rPr>
                      <w:rFonts w:asciiTheme="majorHAnsi" w:hAnsiTheme="majorHAnsi" w:cstheme="majorHAnsi"/>
                      <w:sz w:val="18"/>
                      <w:szCs w:val="18"/>
                    </w:rPr>
                  </w:pPr>
                  <w:r>
                    <w:rPr>
                      <w:rFonts w:asciiTheme="majorHAnsi" w:hAnsiTheme="majorHAnsi" w:cstheme="majorHAnsi"/>
                      <w:sz w:val="18"/>
                      <w:szCs w:val="18"/>
                    </w:rPr>
                    <w:t>Are t</w:t>
                  </w:r>
                  <w:r w:rsidR="00C66322">
                    <w:rPr>
                      <w:rFonts w:asciiTheme="majorHAnsi" w:hAnsiTheme="majorHAnsi" w:cstheme="majorHAnsi"/>
                      <w:sz w:val="18"/>
                      <w:szCs w:val="18"/>
                    </w:rPr>
                    <w:t>o</w:t>
                  </w:r>
                  <w:r w:rsidR="0049073E" w:rsidRPr="0049073E">
                    <w:rPr>
                      <w:rFonts w:asciiTheme="majorHAnsi" w:hAnsiTheme="majorHAnsi" w:cstheme="majorHAnsi"/>
                      <w:sz w:val="18"/>
                      <w:szCs w:val="18"/>
                    </w:rPr>
                    <w:t>tally blind</w:t>
                  </w:r>
                </w:p>
                <w:p w14:paraId="7AA329B5" w14:textId="42225394" w:rsidR="0049073E" w:rsidRPr="0049073E" w:rsidRDefault="0049073E" w:rsidP="00727D48">
                  <w:pPr>
                    <w:pStyle w:val="Default"/>
                    <w:numPr>
                      <w:ilvl w:val="0"/>
                      <w:numId w:val="24"/>
                    </w:numPr>
                    <w:spacing w:after="6"/>
                    <w:rPr>
                      <w:rFonts w:asciiTheme="majorHAnsi" w:hAnsiTheme="majorHAnsi" w:cstheme="majorHAnsi"/>
                      <w:sz w:val="18"/>
                      <w:szCs w:val="18"/>
                    </w:rPr>
                  </w:pPr>
                  <w:r w:rsidRPr="0049073E">
                    <w:rPr>
                      <w:rFonts w:asciiTheme="majorHAnsi" w:hAnsiTheme="majorHAnsi" w:cstheme="majorHAnsi"/>
                      <w:sz w:val="18"/>
                      <w:szCs w:val="18"/>
                    </w:rPr>
                    <w:t>Suffer from total paralysis</w:t>
                  </w:r>
                </w:p>
                <w:p w14:paraId="4582485F" w14:textId="39ED3832" w:rsidR="0049073E" w:rsidRPr="00E24D92" w:rsidRDefault="0049073E" w:rsidP="00727D48">
                  <w:pPr>
                    <w:pStyle w:val="Default"/>
                    <w:numPr>
                      <w:ilvl w:val="0"/>
                      <w:numId w:val="24"/>
                    </w:numPr>
                    <w:rPr>
                      <w:rFonts w:asciiTheme="majorHAnsi" w:hAnsiTheme="majorHAnsi" w:cstheme="majorHAnsi"/>
                      <w:sz w:val="18"/>
                      <w:szCs w:val="18"/>
                    </w:rPr>
                  </w:pPr>
                  <w:r w:rsidRPr="0049073E">
                    <w:rPr>
                      <w:rFonts w:asciiTheme="majorHAnsi" w:hAnsiTheme="majorHAnsi" w:cstheme="majorHAnsi"/>
                      <w:sz w:val="18"/>
                      <w:szCs w:val="18"/>
                    </w:rPr>
                    <w:t>Need the constant care of another person</w:t>
                  </w:r>
                </w:p>
                <w:p w14:paraId="321F4313" w14:textId="5C91B16D" w:rsidR="0049073E" w:rsidRPr="00727D48" w:rsidRDefault="0049073E" w:rsidP="0049073E">
                  <w:pPr>
                    <w:pStyle w:val="Default"/>
                    <w:rPr>
                      <w:rFonts w:asciiTheme="majorHAnsi" w:hAnsiTheme="majorHAnsi" w:cstheme="majorHAnsi"/>
                      <w:i/>
                      <w:sz w:val="18"/>
                      <w:szCs w:val="18"/>
                    </w:rPr>
                  </w:pPr>
                  <w:r w:rsidRPr="00727D48">
                    <w:rPr>
                      <w:rFonts w:asciiTheme="majorHAnsi" w:hAnsiTheme="majorHAnsi" w:cstheme="majorHAnsi"/>
                      <w:bCs/>
                      <w:i/>
                      <w:iCs/>
                      <w:sz w:val="18"/>
                      <w:szCs w:val="18"/>
                    </w:rPr>
                    <w:t xml:space="preserve">Basic </w:t>
                  </w:r>
                  <w:r w:rsidR="00563197" w:rsidRPr="00323F10">
                    <w:rPr>
                      <w:rFonts w:asciiTheme="majorHAnsi" w:hAnsiTheme="majorHAnsi" w:cstheme="majorHAnsi"/>
                      <w:bCs/>
                      <w:i/>
                      <w:iCs/>
                      <w:sz w:val="18"/>
                      <w:szCs w:val="18"/>
                    </w:rPr>
                    <w:t>widow's pension</w:t>
                  </w:r>
                </w:p>
                <w:p w14:paraId="745CEC37" w14:textId="741D4B46" w:rsidR="0049073E" w:rsidRPr="0049073E" w:rsidRDefault="00563197" w:rsidP="0049073E">
                  <w:pPr>
                    <w:pStyle w:val="Default"/>
                    <w:rPr>
                      <w:rFonts w:asciiTheme="majorHAnsi" w:hAnsiTheme="majorHAnsi" w:cstheme="majorHAnsi"/>
                      <w:sz w:val="18"/>
                      <w:szCs w:val="18"/>
                    </w:rPr>
                  </w:pPr>
                  <w:r>
                    <w:rPr>
                      <w:rFonts w:asciiTheme="majorHAnsi" w:hAnsiTheme="majorHAnsi" w:cstheme="majorHAnsi"/>
                      <w:sz w:val="18"/>
                      <w:szCs w:val="18"/>
                    </w:rPr>
                    <w:t xml:space="preserve">The </w:t>
                  </w:r>
                  <w:r w:rsidRPr="0049073E">
                    <w:rPr>
                      <w:rFonts w:asciiTheme="majorHAnsi" w:hAnsiTheme="majorHAnsi" w:cstheme="majorHAnsi"/>
                      <w:sz w:val="18"/>
                      <w:szCs w:val="18"/>
                    </w:rPr>
                    <w:t xml:space="preserve">basic widow's pension </w:t>
                  </w:r>
                  <w:r w:rsidR="0049073E" w:rsidRPr="0049073E">
                    <w:rPr>
                      <w:rFonts w:asciiTheme="majorHAnsi" w:hAnsiTheme="majorHAnsi" w:cstheme="majorHAnsi"/>
                      <w:sz w:val="18"/>
                      <w:szCs w:val="18"/>
                    </w:rPr>
                    <w:t>is payable to widows age</w:t>
                  </w:r>
                  <w:r>
                    <w:rPr>
                      <w:rFonts w:asciiTheme="majorHAnsi" w:hAnsiTheme="majorHAnsi" w:cstheme="majorHAnsi"/>
                      <w:sz w:val="18"/>
                      <w:szCs w:val="18"/>
                    </w:rPr>
                    <w:t>s</w:t>
                  </w:r>
                  <w:r w:rsidR="0049073E" w:rsidRPr="0049073E">
                    <w:rPr>
                      <w:rFonts w:asciiTheme="majorHAnsi" w:hAnsiTheme="majorHAnsi" w:cstheme="majorHAnsi"/>
                      <w:sz w:val="18"/>
                      <w:szCs w:val="18"/>
                    </w:rPr>
                    <w:t xml:space="preserve"> 15</w:t>
                  </w:r>
                  <w:r>
                    <w:rPr>
                      <w:rFonts w:asciiTheme="majorHAnsi" w:hAnsiTheme="majorHAnsi" w:cstheme="majorHAnsi"/>
                      <w:sz w:val="18"/>
                      <w:szCs w:val="18"/>
                    </w:rPr>
                    <w:t>–</w:t>
                  </w:r>
                  <w:r w:rsidR="0049073E" w:rsidRPr="0049073E">
                    <w:rPr>
                      <w:rFonts w:asciiTheme="majorHAnsi" w:hAnsiTheme="majorHAnsi" w:cstheme="majorHAnsi"/>
                      <w:sz w:val="18"/>
                      <w:szCs w:val="18"/>
                    </w:rPr>
                    <w:t xml:space="preserve">59 who were </w:t>
                  </w:r>
                  <w:r>
                    <w:rPr>
                      <w:rFonts w:asciiTheme="majorHAnsi" w:hAnsiTheme="majorHAnsi" w:cstheme="majorHAnsi"/>
                      <w:sz w:val="18"/>
                      <w:szCs w:val="18"/>
                    </w:rPr>
                    <w:t xml:space="preserve">married in a civil or </w:t>
                  </w:r>
                  <w:r w:rsidR="0049073E" w:rsidRPr="0049073E">
                    <w:rPr>
                      <w:rFonts w:asciiTheme="majorHAnsi" w:hAnsiTheme="majorHAnsi" w:cstheme="majorHAnsi"/>
                      <w:sz w:val="18"/>
                      <w:szCs w:val="18"/>
                    </w:rPr>
                    <w:t>religious</w:t>
                  </w:r>
                  <w:r>
                    <w:rPr>
                      <w:rFonts w:asciiTheme="majorHAnsi" w:hAnsiTheme="majorHAnsi" w:cstheme="majorHAnsi"/>
                      <w:sz w:val="18"/>
                      <w:szCs w:val="18"/>
                    </w:rPr>
                    <w:t xml:space="preserve"> ceremony</w:t>
                  </w:r>
                  <w:r w:rsidR="0049073E" w:rsidRPr="0049073E">
                    <w:rPr>
                      <w:rFonts w:asciiTheme="majorHAnsi" w:hAnsiTheme="majorHAnsi" w:cstheme="majorHAnsi"/>
                      <w:sz w:val="18"/>
                      <w:szCs w:val="18"/>
                    </w:rPr>
                    <w:t>.</w:t>
                  </w:r>
                </w:p>
                <w:p w14:paraId="2BDF02A7" w14:textId="22DDC207" w:rsidR="0049073E" w:rsidRPr="00727D48" w:rsidRDefault="00563197" w:rsidP="0049073E">
                  <w:pPr>
                    <w:pStyle w:val="Default"/>
                    <w:rPr>
                      <w:rFonts w:asciiTheme="majorHAnsi" w:hAnsiTheme="majorHAnsi" w:cstheme="majorHAnsi"/>
                      <w:i/>
                      <w:sz w:val="18"/>
                      <w:szCs w:val="18"/>
                    </w:rPr>
                  </w:pPr>
                  <w:r w:rsidRPr="00563197">
                    <w:rPr>
                      <w:rFonts w:asciiTheme="majorHAnsi" w:hAnsiTheme="majorHAnsi" w:cstheme="majorHAnsi"/>
                      <w:bCs/>
                      <w:i/>
                      <w:iCs/>
                      <w:sz w:val="18"/>
                      <w:szCs w:val="18"/>
                    </w:rPr>
                    <w:t>Basic invalid's pension</w:t>
                  </w:r>
                </w:p>
                <w:p w14:paraId="25758022" w14:textId="3B246218" w:rsidR="0049073E" w:rsidRPr="0049073E" w:rsidRDefault="00563197" w:rsidP="0049073E">
                  <w:pPr>
                    <w:pStyle w:val="Default"/>
                    <w:rPr>
                      <w:rFonts w:asciiTheme="majorHAnsi" w:hAnsiTheme="majorHAnsi" w:cstheme="majorHAnsi"/>
                      <w:sz w:val="18"/>
                      <w:szCs w:val="18"/>
                    </w:rPr>
                  </w:pPr>
                  <w:r>
                    <w:rPr>
                      <w:rFonts w:asciiTheme="majorHAnsi" w:hAnsiTheme="majorHAnsi" w:cstheme="majorHAnsi"/>
                      <w:sz w:val="18"/>
                      <w:szCs w:val="18"/>
                    </w:rPr>
                    <w:t xml:space="preserve">The </w:t>
                  </w:r>
                  <w:r w:rsidRPr="0049073E">
                    <w:rPr>
                      <w:rFonts w:asciiTheme="majorHAnsi" w:hAnsiTheme="majorHAnsi" w:cstheme="majorHAnsi"/>
                      <w:sz w:val="18"/>
                      <w:szCs w:val="18"/>
                    </w:rPr>
                    <w:t xml:space="preserve">basic invalid’s pension </w:t>
                  </w:r>
                  <w:r w:rsidR="0049073E" w:rsidRPr="0049073E">
                    <w:rPr>
                      <w:rFonts w:asciiTheme="majorHAnsi" w:hAnsiTheme="majorHAnsi" w:cstheme="majorHAnsi"/>
                      <w:sz w:val="18"/>
                      <w:szCs w:val="18"/>
                    </w:rPr>
                    <w:t>is payable to any person age</w:t>
                  </w:r>
                  <w:r w:rsidR="004E60A8">
                    <w:rPr>
                      <w:rFonts w:asciiTheme="majorHAnsi" w:hAnsiTheme="majorHAnsi" w:cstheme="majorHAnsi"/>
                      <w:sz w:val="18"/>
                      <w:szCs w:val="18"/>
                    </w:rPr>
                    <w:t>s</w:t>
                  </w:r>
                  <w:r w:rsidR="0049073E" w:rsidRPr="0049073E">
                    <w:rPr>
                      <w:rFonts w:asciiTheme="majorHAnsi" w:hAnsiTheme="majorHAnsi" w:cstheme="majorHAnsi"/>
                      <w:sz w:val="18"/>
                      <w:szCs w:val="18"/>
                    </w:rPr>
                    <w:t xml:space="preserve"> 15</w:t>
                  </w:r>
                  <w:r w:rsidR="004E60A8">
                    <w:rPr>
                      <w:rFonts w:asciiTheme="majorHAnsi" w:hAnsiTheme="majorHAnsi" w:cstheme="majorHAnsi"/>
                      <w:sz w:val="18"/>
                      <w:szCs w:val="18"/>
                    </w:rPr>
                    <w:t>–</w:t>
                  </w:r>
                  <w:r w:rsidR="0049073E" w:rsidRPr="0049073E">
                    <w:rPr>
                      <w:rFonts w:asciiTheme="majorHAnsi" w:hAnsiTheme="majorHAnsi" w:cstheme="majorHAnsi"/>
                      <w:sz w:val="18"/>
                      <w:szCs w:val="18"/>
                    </w:rPr>
                    <w:t xml:space="preserve">59 if </w:t>
                  </w:r>
                  <w:r w:rsidR="00C364FF">
                    <w:rPr>
                      <w:rFonts w:asciiTheme="majorHAnsi" w:hAnsiTheme="majorHAnsi" w:cstheme="majorHAnsi"/>
                      <w:sz w:val="18"/>
                      <w:szCs w:val="18"/>
                    </w:rPr>
                    <w:t xml:space="preserve">it has been </w:t>
                  </w:r>
                  <w:r w:rsidR="0049073E" w:rsidRPr="0049073E">
                    <w:rPr>
                      <w:rFonts w:asciiTheme="majorHAnsi" w:hAnsiTheme="majorHAnsi" w:cstheme="majorHAnsi"/>
                      <w:sz w:val="18"/>
                      <w:szCs w:val="18"/>
                    </w:rPr>
                    <w:t xml:space="preserve">certified by a </w:t>
                  </w:r>
                  <w:r w:rsidR="00C364FF" w:rsidRPr="0049073E">
                    <w:rPr>
                      <w:rFonts w:asciiTheme="majorHAnsi" w:hAnsiTheme="majorHAnsi" w:cstheme="majorHAnsi"/>
                      <w:sz w:val="18"/>
                      <w:szCs w:val="18"/>
                    </w:rPr>
                    <w:t xml:space="preserve">medical board </w:t>
                  </w:r>
                  <w:r w:rsidR="0049073E" w:rsidRPr="0049073E">
                    <w:rPr>
                      <w:rFonts w:asciiTheme="majorHAnsi" w:hAnsiTheme="majorHAnsi" w:cstheme="majorHAnsi"/>
                      <w:sz w:val="18"/>
                      <w:szCs w:val="18"/>
                    </w:rPr>
                    <w:t>that the person is either permanently or substantially incapacitated to work 60</w:t>
                  </w:r>
                  <w:r w:rsidR="00AE6A8D">
                    <w:rPr>
                      <w:rFonts w:asciiTheme="majorHAnsi" w:hAnsiTheme="majorHAnsi" w:cstheme="majorHAnsi"/>
                      <w:sz w:val="18"/>
                      <w:szCs w:val="18"/>
                    </w:rPr>
                    <w:t xml:space="preserve"> percent</w:t>
                  </w:r>
                  <w:r w:rsidR="0049073E" w:rsidRPr="0049073E">
                    <w:rPr>
                      <w:rFonts w:asciiTheme="majorHAnsi" w:hAnsiTheme="majorHAnsi" w:cstheme="majorHAnsi"/>
                      <w:sz w:val="18"/>
                      <w:szCs w:val="18"/>
                    </w:rPr>
                    <w:t xml:space="preserve"> or more for at least 12 months.</w:t>
                  </w:r>
                </w:p>
                <w:p w14:paraId="42693D6E" w14:textId="7DD4074F" w:rsidR="0049073E" w:rsidRPr="00727D48" w:rsidRDefault="00C364FF" w:rsidP="0049073E">
                  <w:pPr>
                    <w:pStyle w:val="Default"/>
                    <w:rPr>
                      <w:rFonts w:asciiTheme="majorHAnsi" w:hAnsiTheme="majorHAnsi" w:cstheme="majorHAnsi"/>
                      <w:i/>
                      <w:sz w:val="18"/>
                      <w:szCs w:val="18"/>
                    </w:rPr>
                  </w:pPr>
                  <w:r w:rsidRPr="00C364FF">
                    <w:rPr>
                      <w:rFonts w:asciiTheme="majorHAnsi" w:hAnsiTheme="majorHAnsi" w:cstheme="majorHAnsi"/>
                      <w:bCs/>
                      <w:i/>
                      <w:iCs/>
                      <w:sz w:val="18"/>
                      <w:szCs w:val="18"/>
                    </w:rPr>
                    <w:t>basic orphan’s pension</w:t>
                  </w:r>
                </w:p>
                <w:p w14:paraId="5A6688C4" w14:textId="1CE5349E" w:rsidR="0049073E" w:rsidRPr="0049073E" w:rsidRDefault="00C364FF" w:rsidP="0049073E">
                  <w:pPr>
                    <w:pStyle w:val="Default"/>
                    <w:rPr>
                      <w:rFonts w:asciiTheme="majorHAnsi" w:hAnsiTheme="majorHAnsi" w:cstheme="majorHAnsi"/>
                      <w:sz w:val="18"/>
                      <w:szCs w:val="18"/>
                    </w:rPr>
                  </w:pPr>
                  <w:r>
                    <w:rPr>
                      <w:rFonts w:asciiTheme="majorHAnsi" w:hAnsiTheme="majorHAnsi" w:cstheme="majorHAnsi"/>
                      <w:sz w:val="18"/>
                      <w:szCs w:val="18"/>
                    </w:rPr>
                    <w:t xml:space="preserve">The </w:t>
                  </w:r>
                  <w:r w:rsidRPr="0049073E">
                    <w:rPr>
                      <w:rFonts w:asciiTheme="majorHAnsi" w:hAnsiTheme="majorHAnsi" w:cstheme="majorHAnsi"/>
                      <w:sz w:val="18"/>
                      <w:szCs w:val="18"/>
                    </w:rPr>
                    <w:t xml:space="preserve">basic orphan’s pension </w:t>
                  </w:r>
                  <w:r w:rsidR="0049073E" w:rsidRPr="0049073E">
                    <w:rPr>
                      <w:rFonts w:asciiTheme="majorHAnsi" w:hAnsiTheme="majorHAnsi" w:cstheme="majorHAnsi"/>
                      <w:sz w:val="18"/>
                      <w:szCs w:val="18"/>
                    </w:rPr>
                    <w:t xml:space="preserve">is payable to all orphans </w:t>
                  </w:r>
                  <w:r>
                    <w:rPr>
                      <w:rFonts w:asciiTheme="majorHAnsi" w:hAnsiTheme="majorHAnsi" w:cstheme="majorHAnsi"/>
                      <w:sz w:val="18"/>
                      <w:szCs w:val="18"/>
                    </w:rPr>
                    <w:t xml:space="preserve">ages </w:t>
                  </w:r>
                  <w:r w:rsidR="0049073E" w:rsidRPr="0049073E">
                    <w:rPr>
                      <w:rFonts w:asciiTheme="majorHAnsi" w:hAnsiTheme="majorHAnsi" w:cstheme="majorHAnsi"/>
                      <w:sz w:val="18"/>
                      <w:szCs w:val="18"/>
                    </w:rPr>
                    <w:t xml:space="preserve">under 15 or </w:t>
                  </w:r>
                  <w:r>
                    <w:rPr>
                      <w:rFonts w:asciiTheme="majorHAnsi" w:hAnsiTheme="majorHAnsi" w:cstheme="majorHAnsi"/>
                      <w:sz w:val="18"/>
                      <w:szCs w:val="18"/>
                    </w:rPr>
                    <w:t xml:space="preserve">ages </w:t>
                  </w:r>
                  <w:r w:rsidR="0049073E" w:rsidRPr="0049073E">
                    <w:rPr>
                      <w:rFonts w:asciiTheme="majorHAnsi" w:hAnsiTheme="majorHAnsi" w:cstheme="majorHAnsi"/>
                      <w:sz w:val="18"/>
                      <w:szCs w:val="18"/>
                    </w:rPr>
                    <w:t>under 20 if they are in full-time education.</w:t>
                  </w:r>
                </w:p>
                <w:p w14:paraId="6F2D1595" w14:textId="77777777" w:rsidR="004179EE" w:rsidRPr="00727D48" w:rsidRDefault="004179EE" w:rsidP="0049073E">
                  <w:pPr>
                    <w:pStyle w:val="Default"/>
                    <w:rPr>
                      <w:rFonts w:asciiTheme="majorHAnsi" w:hAnsiTheme="majorHAnsi" w:cstheme="majorHAnsi"/>
                      <w:i/>
                      <w:sz w:val="18"/>
                      <w:szCs w:val="18"/>
                    </w:rPr>
                  </w:pPr>
                  <w:r w:rsidRPr="00727D48">
                    <w:rPr>
                      <w:rFonts w:asciiTheme="majorHAnsi" w:hAnsiTheme="majorHAnsi" w:cstheme="majorHAnsi"/>
                      <w:bCs/>
                      <w:i/>
                      <w:iCs/>
                      <w:sz w:val="18"/>
                      <w:szCs w:val="18"/>
                    </w:rPr>
                    <w:t>Guardian’s allowance</w:t>
                  </w:r>
                  <w:r w:rsidRPr="00727D48">
                    <w:rPr>
                      <w:rFonts w:asciiTheme="majorHAnsi" w:hAnsiTheme="majorHAnsi" w:cstheme="majorHAnsi"/>
                      <w:i/>
                      <w:sz w:val="18"/>
                      <w:szCs w:val="18"/>
                    </w:rPr>
                    <w:t xml:space="preserve"> </w:t>
                  </w:r>
                </w:p>
                <w:p w14:paraId="2A999EF2" w14:textId="446C0D85" w:rsidR="0049073E" w:rsidRPr="0049073E" w:rsidRDefault="0049073E" w:rsidP="0049073E">
                  <w:pPr>
                    <w:pStyle w:val="Default"/>
                    <w:rPr>
                      <w:rFonts w:asciiTheme="majorHAnsi" w:hAnsiTheme="majorHAnsi" w:cstheme="majorHAnsi"/>
                      <w:sz w:val="18"/>
                      <w:szCs w:val="18"/>
                    </w:rPr>
                  </w:pPr>
                  <w:r w:rsidRPr="0049073E">
                    <w:rPr>
                      <w:rFonts w:asciiTheme="majorHAnsi" w:hAnsiTheme="majorHAnsi" w:cstheme="majorHAnsi"/>
                      <w:sz w:val="18"/>
                      <w:szCs w:val="18"/>
                    </w:rPr>
                    <w:t xml:space="preserve">A </w:t>
                  </w:r>
                  <w:r w:rsidR="00C364FF">
                    <w:rPr>
                      <w:rFonts w:asciiTheme="majorHAnsi" w:hAnsiTheme="majorHAnsi" w:cstheme="majorHAnsi"/>
                      <w:sz w:val="18"/>
                      <w:szCs w:val="18"/>
                    </w:rPr>
                    <w:t>g</w:t>
                  </w:r>
                  <w:r w:rsidRPr="0049073E">
                    <w:rPr>
                      <w:rFonts w:asciiTheme="majorHAnsi" w:hAnsiTheme="majorHAnsi" w:cstheme="majorHAnsi"/>
                      <w:sz w:val="18"/>
                      <w:szCs w:val="18"/>
                    </w:rPr>
                    <w:t>uardian’s allowance is payable to the person looking after one or more orphans. However, only one allowance is payable per guardian irrespective of the number of orphans under care.</w:t>
                  </w:r>
                </w:p>
                <w:p w14:paraId="6273784A" w14:textId="0468753A" w:rsidR="0049073E" w:rsidRPr="00727D48" w:rsidRDefault="0049073E" w:rsidP="0049073E">
                  <w:pPr>
                    <w:pStyle w:val="Default"/>
                    <w:rPr>
                      <w:rFonts w:asciiTheme="majorHAnsi" w:hAnsiTheme="majorHAnsi" w:cstheme="majorHAnsi"/>
                      <w:i/>
                      <w:sz w:val="18"/>
                      <w:szCs w:val="18"/>
                    </w:rPr>
                  </w:pPr>
                  <w:r w:rsidRPr="00727D48">
                    <w:rPr>
                      <w:rFonts w:asciiTheme="majorHAnsi" w:hAnsiTheme="majorHAnsi" w:cstheme="majorHAnsi"/>
                      <w:bCs/>
                      <w:i/>
                      <w:iCs/>
                      <w:sz w:val="18"/>
                      <w:szCs w:val="18"/>
                    </w:rPr>
                    <w:t>Child allowance</w:t>
                  </w:r>
                </w:p>
                <w:p w14:paraId="5DE5A711" w14:textId="652089A1" w:rsidR="005E16ED" w:rsidRDefault="00C364FF" w:rsidP="0049073E">
                  <w:p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The c</w:t>
                  </w:r>
                  <w:r w:rsidR="0049073E" w:rsidRPr="0049073E">
                    <w:rPr>
                      <w:rFonts w:asciiTheme="majorHAnsi" w:hAnsiTheme="majorHAnsi" w:cstheme="majorHAnsi"/>
                      <w:sz w:val="18"/>
                      <w:szCs w:val="18"/>
                    </w:rPr>
                    <w:t xml:space="preserve">hild allowance is payable </w:t>
                  </w:r>
                  <w:r w:rsidR="00AC194B">
                    <w:rPr>
                      <w:rFonts w:asciiTheme="majorHAnsi" w:hAnsiTheme="majorHAnsi" w:cstheme="majorHAnsi"/>
                      <w:sz w:val="18"/>
                      <w:szCs w:val="18"/>
                    </w:rPr>
                    <w:t xml:space="preserve">for the </w:t>
                  </w:r>
                  <w:r w:rsidR="0049073E" w:rsidRPr="0049073E">
                    <w:rPr>
                      <w:rFonts w:asciiTheme="majorHAnsi" w:hAnsiTheme="majorHAnsi" w:cstheme="majorHAnsi"/>
                      <w:sz w:val="18"/>
                      <w:szCs w:val="18"/>
                    </w:rPr>
                    <w:t xml:space="preserve">children of beneficiaries of </w:t>
                  </w:r>
                  <w:r w:rsidR="00F55CB3">
                    <w:rPr>
                      <w:rFonts w:asciiTheme="majorHAnsi" w:hAnsiTheme="majorHAnsi" w:cstheme="majorHAnsi"/>
                      <w:sz w:val="18"/>
                      <w:szCs w:val="18"/>
                    </w:rPr>
                    <w:t>the BRP</w:t>
                  </w:r>
                  <w:r w:rsidR="00AC194B">
                    <w:rPr>
                      <w:rFonts w:asciiTheme="majorHAnsi" w:hAnsiTheme="majorHAnsi" w:cstheme="majorHAnsi"/>
                      <w:sz w:val="18"/>
                      <w:szCs w:val="18"/>
                    </w:rPr>
                    <w:t>,</w:t>
                  </w:r>
                  <w:r w:rsidR="0049073E" w:rsidRPr="0049073E">
                    <w:rPr>
                      <w:rFonts w:asciiTheme="majorHAnsi" w:hAnsiTheme="majorHAnsi" w:cstheme="majorHAnsi"/>
                      <w:sz w:val="18"/>
                      <w:szCs w:val="18"/>
                    </w:rPr>
                    <w:t xml:space="preserve"> </w:t>
                  </w:r>
                  <w:r w:rsidR="00AC194B" w:rsidRPr="0049073E">
                    <w:rPr>
                      <w:rFonts w:asciiTheme="majorHAnsi" w:hAnsiTheme="majorHAnsi" w:cstheme="majorHAnsi"/>
                      <w:sz w:val="18"/>
                      <w:szCs w:val="18"/>
                    </w:rPr>
                    <w:t>basic widow’s pension</w:t>
                  </w:r>
                  <w:r w:rsidR="00AC194B">
                    <w:rPr>
                      <w:rFonts w:asciiTheme="majorHAnsi" w:hAnsiTheme="majorHAnsi" w:cstheme="majorHAnsi"/>
                      <w:sz w:val="18"/>
                      <w:szCs w:val="18"/>
                    </w:rPr>
                    <w:t>,</w:t>
                  </w:r>
                  <w:r w:rsidR="00AC194B" w:rsidRPr="0049073E">
                    <w:rPr>
                      <w:rFonts w:asciiTheme="majorHAnsi" w:hAnsiTheme="majorHAnsi" w:cstheme="majorHAnsi"/>
                      <w:sz w:val="18"/>
                      <w:szCs w:val="18"/>
                    </w:rPr>
                    <w:t xml:space="preserve"> and basic invalid's pension </w:t>
                  </w:r>
                  <w:r w:rsidR="0049073E" w:rsidRPr="0049073E">
                    <w:rPr>
                      <w:rFonts w:asciiTheme="majorHAnsi" w:hAnsiTheme="majorHAnsi" w:cstheme="majorHAnsi"/>
                      <w:sz w:val="18"/>
                      <w:szCs w:val="18"/>
                    </w:rPr>
                    <w:t xml:space="preserve">in respect of a child below </w:t>
                  </w:r>
                  <w:r w:rsidR="00AC194B">
                    <w:rPr>
                      <w:rFonts w:asciiTheme="majorHAnsi" w:hAnsiTheme="majorHAnsi" w:cstheme="majorHAnsi"/>
                      <w:sz w:val="18"/>
                      <w:szCs w:val="18"/>
                    </w:rPr>
                    <w:t xml:space="preserve">age </w:t>
                  </w:r>
                  <w:r w:rsidR="0049073E" w:rsidRPr="0049073E">
                    <w:rPr>
                      <w:rFonts w:asciiTheme="majorHAnsi" w:hAnsiTheme="majorHAnsi" w:cstheme="majorHAnsi"/>
                      <w:sz w:val="18"/>
                      <w:szCs w:val="18"/>
                    </w:rPr>
                    <w:t xml:space="preserve">15 or below </w:t>
                  </w:r>
                  <w:r w:rsidR="00AC194B">
                    <w:rPr>
                      <w:rFonts w:asciiTheme="majorHAnsi" w:hAnsiTheme="majorHAnsi" w:cstheme="majorHAnsi"/>
                      <w:sz w:val="18"/>
                      <w:szCs w:val="18"/>
                    </w:rPr>
                    <w:t xml:space="preserve">age </w:t>
                  </w:r>
                  <w:r w:rsidR="0049073E" w:rsidRPr="0049073E">
                    <w:rPr>
                      <w:rFonts w:asciiTheme="majorHAnsi" w:hAnsiTheme="majorHAnsi" w:cstheme="majorHAnsi"/>
                      <w:sz w:val="18"/>
                      <w:szCs w:val="18"/>
                    </w:rPr>
                    <w:t xml:space="preserve">20 if in full-time education. However, this allowance continues to be paid even after discontinuation of pensions to the parents for </w:t>
                  </w:r>
                  <w:r w:rsidR="00D37944">
                    <w:rPr>
                      <w:rFonts w:asciiTheme="majorHAnsi" w:hAnsiTheme="majorHAnsi" w:cstheme="majorHAnsi"/>
                      <w:sz w:val="18"/>
                      <w:szCs w:val="18"/>
                    </w:rPr>
                    <w:t xml:space="preserve">any </w:t>
                  </w:r>
                  <w:r w:rsidR="0049073E" w:rsidRPr="0049073E">
                    <w:rPr>
                      <w:rFonts w:asciiTheme="majorHAnsi" w:hAnsiTheme="majorHAnsi" w:cstheme="majorHAnsi"/>
                      <w:sz w:val="18"/>
                      <w:szCs w:val="18"/>
                    </w:rPr>
                    <w:t xml:space="preserve">reason. </w:t>
                  </w:r>
                  <w:r w:rsidR="00D37944">
                    <w:rPr>
                      <w:rFonts w:asciiTheme="majorHAnsi" w:hAnsiTheme="majorHAnsi" w:cstheme="majorHAnsi"/>
                      <w:sz w:val="18"/>
                      <w:szCs w:val="18"/>
                    </w:rPr>
                    <w:t>The c</w:t>
                  </w:r>
                  <w:r w:rsidR="0049073E" w:rsidRPr="0049073E">
                    <w:rPr>
                      <w:rFonts w:asciiTheme="majorHAnsi" w:hAnsiTheme="majorHAnsi" w:cstheme="majorHAnsi"/>
                      <w:sz w:val="18"/>
                      <w:szCs w:val="18"/>
                    </w:rPr>
                    <w:t>hild allowance is payable for up to three dependent children.</w:t>
                  </w:r>
                </w:p>
                <w:p w14:paraId="71F0EF6B" w14:textId="44DDFDE3" w:rsidR="00EE05FB" w:rsidRPr="00727D48" w:rsidRDefault="00EE05FB" w:rsidP="0049073E">
                  <w:pPr>
                    <w:autoSpaceDE w:val="0"/>
                    <w:autoSpaceDN w:val="0"/>
                    <w:adjustRightInd w:val="0"/>
                    <w:rPr>
                      <w:sz w:val="18"/>
                      <w:szCs w:val="18"/>
                    </w:rPr>
                  </w:pPr>
                  <w:r w:rsidRPr="00727D48">
                    <w:rPr>
                      <w:sz w:val="18"/>
                      <w:szCs w:val="18"/>
                    </w:rPr>
                    <w:t>Social Aid</w:t>
                  </w:r>
                </w:p>
                <w:p w14:paraId="2B6F0DFA" w14:textId="27BB5DEC" w:rsidR="00311FDE" w:rsidRPr="007B4DF3" w:rsidRDefault="00311FDE" w:rsidP="007B4DF3">
                  <w:pPr>
                    <w:autoSpaceDE w:val="0"/>
                    <w:autoSpaceDN w:val="0"/>
                    <w:adjustRightInd w:val="0"/>
                    <w:rPr>
                      <w:rFonts w:asciiTheme="majorHAnsi" w:hAnsiTheme="majorHAnsi" w:cstheme="majorHAnsi"/>
                      <w:sz w:val="18"/>
                      <w:szCs w:val="18"/>
                    </w:rPr>
                  </w:pPr>
                  <w:r w:rsidRPr="007B4DF3">
                    <w:rPr>
                      <w:rFonts w:asciiTheme="majorHAnsi" w:hAnsiTheme="majorHAnsi" w:cstheme="majorHAnsi"/>
                      <w:sz w:val="18"/>
                      <w:szCs w:val="18"/>
                    </w:rPr>
                    <w:t>The Social Aid is provided in cash or in kind to persons who are temporarily</w:t>
                  </w:r>
                  <w:r w:rsidR="00185A1B">
                    <w:rPr>
                      <w:rFonts w:asciiTheme="majorHAnsi" w:hAnsiTheme="majorHAnsi" w:cstheme="majorHAnsi"/>
                      <w:sz w:val="18"/>
                      <w:szCs w:val="18"/>
                    </w:rPr>
                    <w:t xml:space="preserve"> </w:t>
                  </w:r>
                  <w:r w:rsidRPr="007B4DF3">
                    <w:rPr>
                      <w:rFonts w:asciiTheme="majorHAnsi" w:hAnsiTheme="majorHAnsi" w:cstheme="majorHAnsi"/>
                      <w:sz w:val="18"/>
                      <w:szCs w:val="18"/>
                    </w:rPr>
                    <w:t xml:space="preserve">unable </w:t>
                  </w:r>
                  <w:r w:rsidR="00D37944">
                    <w:rPr>
                      <w:rFonts w:asciiTheme="majorHAnsi" w:hAnsiTheme="majorHAnsi" w:cstheme="majorHAnsi"/>
                      <w:sz w:val="18"/>
                      <w:szCs w:val="18"/>
                    </w:rPr>
                    <w:t xml:space="preserve">to </w:t>
                  </w:r>
                  <w:r w:rsidRPr="007B4DF3">
                    <w:rPr>
                      <w:rFonts w:asciiTheme="majorHAnsi" w:hAnsiTheme="majorHAnsi" w:cstheme="majorHAnsi"/>
                      <w:sz w:val="18"/>
                      <w:szCs w:val="18"/>
                    </w:rPr>
                    <w:t>earn</w:t>
                  </w:r>
                  <w:r w:rsidR="00D37944">
                    <w:rPr>
                      <w:rFonts w:asciiTheme="majorHAnsi" w:hAnsiTheme="majorHAnsi" w:cstheme="majorHAnsi"/>
                      <w:sz w:val="18"/>
                      <w:szCs w:val="18"/>
                    </w:rPr>
                    <w:t xml:space="preserve"> an </w:t>
                  </w:r>
                  <w:r w:rsidRPr="007B4DF3">
                    <w:rPr>
                      <w:rFonts w:asciiTheme="majorHAnsi" w:hAnsiTheme="majorHAnsi" w:cstheme="majorHAnsi"/>
                      <w:sz w:val="18"/>
                      <w:szCs w:val="18"/>
                    </w:rPr>
                    <w:t>adequate livelihood and have insufficient means to provide for</w:t>
                  </w:r>
                  <w:r w:rsidR="00185A1B">
                    <w:rPr>
                      <w:rFonts w:asciiTheme="majorHAnsi" w:hAnsiTheme="majorHAnsi" w:cstheme="majorHAnsi"/>
                      <w:sz w:val="18"/>
                      <w:szCs w:val="18"/>
                    </w:rPr>
                    <w:t xml:space="preserve"> </w:t>
                  </w:r>
                  <w:r w:rsidRPr="007B4DF3">
                    <w:rPr>
                      <w:rFonts w:asciiTheme="majorHAnsi" w:hAnsiTheme="majorHAnsi" w:cstheme="majorHAnsi"/>
                      <w:sz w:val="18"/>
                      <w:szCs w:val="18"/>
                    </w:rPr>
                    <w:t xml:space="preserve">themselves and their dependents. Any person </w:t>
                  </w:r>
                  <w:r w:rsidR="00D37944">
                    <w:rPr>
                      <w:rFonts w:asciiTheme="majorHAnsi" w:hAnsiTheme="majorHAnsi" w:cstheme="majorHAnsi"/>
                      <w:sz w:val="18"/>
                      <w:szCs w:val="18"/>
                    </w:rPr>
                    <w:t xml:space="preserve">is eligible </w:t>
                  </w:r>
                  <w:r w:rsidRPr="007B4DF3">
                    <w:rPr>
                      <w:rFonts w:asciiTheme="majorHAnsi" w:hAnsiTheme="majorHAnsi" w:cstheme="majorHAnsi"/>
                      <w:sz w:val="18"/>
                      <w:szCs w:val="18"/>
                    </w:rPr>
                    <w:t>who is temporarily unable to earn a living as a result of the following:</w:t>
                  </w:r>
                </w:p>
                <w:p w14:paraId="5E780384" w14:textId="5A0EDC9B" w:rsidR="00311FDE" w:rsidRPr="00727D48" w:rsidRDefault="00D37944" w:rsidP="00727D48">
                  <w:pPr>
                    <w:pStyle w:val="ListParagraph"/>
                    <w:numPr>
                      <w:ilvl w:val="0"/>
                      <w:numId w:val="25"/>
                    </w:num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A</w:t>
                  </w:r>
                  <w:r w:rsidR="00311FDE" w:rsidRPr="00727D48">
                    <w:rPr>
                      <w:rFonts w:asciiTheme="majorHAnsi" w:hAnsiTheme="majorHAnsi" w:cstheme="majorHAnsi"/>
                      <w:sz w:val="18"/>
                      <w:szCs w:val="18"/>
                    </w:rPr>
                    <w:t>ny physical or mental disability</w:t>
                  </w:r>
                </w:p>
                <w:p w14:paraId="3D2BB4AC" w14:textId="07321728" w:rsidR="00311FDE" w:rsidRPr="00727D48" w:rsidRDefault="00D37944" w:rsidP="00727D48">
                  <w:pPr>
                    <w:pStyle w:val="ListParagraph"/>
                    <w:numPr>
                      <w:ilvl w:val="0"/>
                      <w:numId w:val="25"/>
                    </w:num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A</w:t>
                  </w:r>
                  <w:r w:rsidR="00311FDE" w:rsidRPr="00727D48">
                    <w:rPr>
                      <w:rFonts w:asciiTheme="majorHAnsi" w:hAnsiTheme="majorHAnsi" w:cstheme="majorHAnsi"/>
                      <w:sz w:val="18"/>
                      <w:szCs w:val="18"/>
                    </w:rPr>
                    <w:t>ny sickness or accident certified by an approved medical practitioner</w:t>
                  </w:r>
                </w:p>
                <w:p w14:paraId="50BEFC88" w14:textId="661B1A97" w:rsidR="00311FDE" w:rsidRPr="00727D48" w:rsidRDefault="00D37944" w:rsidP="00727D48">
                  <w:pPr>
                    <w:pStyle w:val="ListParagraph"/>
                    <w:numPr>
                      <w:ilvl w:val="0"/>
                      <w:numId w:val="25"/>
                    </w:num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A</w:t>
                  </w:r>
                  <w:r w:rsidR="00311FDE" w:rsidRPr="00727D48">
                    <w:rPr>
                      <w:rFonts w:asciiTheme="majorHAnsi" w:hAnsiTheme="majorHAnsi" w:cstheme="majorHAnsi"/>
                      <w:sz w:val="18"/>
                      <w:szCs w:val="18"/>
                    </w:rPr>
                    <w:t xml:space="preserve">bandonment by </w:t>
                  </w:r>
                  <w:r>
                    <w:rPr>
                      <w:rFonts w:asciiTheme="majorHAnsi" w:hAnsiTheme="majorHAnsi" w:cstheme="majorHAnsi"/>
                      <w:sz w:val="18"/>
                      <w:szCs w:val="18"/>
                    </w:rPr>
                    <w:t xml:space="preserve">a </w:t>
                  </w:r>
                  <w:r w:rsidR="00311FDE" w:rsidRPr="00727D48">
                    <w:rPr>
                      <w:rFonts w:asciiTheme="majorHAnsi" w:hAnsiTheme="majorHAnsi" w:cstheme="majorHAnsi"/>
                      <w:sz w:val="18"/>
                      <w:szCs w:val="18"/>
                    </w:rPr>
                    <w:t>spouse</w:t>
                  </w:r>
                </w:p>
                <w:p w14:paraId="49EAC346" w14:textId="0F2E9A1F" w:rsidR="00311FDE" w:rsidRPr="00727D48" w:rsidRDefault="00D37944" w:rsidP="00727D48">
                  <w:pPr>
                    <w:pStyle w:val="ListParagraph"/>
                    <w:numPr>
                      <w:ilvl w:val="0"/>
                      <w:numId w:val="25"/>
                    </w:num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A</w:t>
                  </w:r>
                  <w:r w:rsidR="00311FDE" w:rsidRPr="00727D48">
                    <w:rPr>
                      <w:rFonts w:asciiTheme="majorHAnsi" w:hAnsiTheme="majorHAnsi" w:cstheme="majorHAnsi"/>
                      <w:sz w:val="18"/>
                      <w:szCs w:val="18"/>
                    </w:rPr>
                    <w:t xml:space="preserve">ny sudden loss of employment </w:t>
                  </w:r>
                  <w:r>
                    <w:rPr>
                      <w:rFonts w:asciiTheme="majorHAnsi" w:hAnsiTheme="majorHAnsi" w:cstheme="majorHAnsi"/>
                      <w:sz w:val="18"/>
                      <w:szCs w:val="18"/>
                    </w:rPr>
                    <w:t xml:space="preserve">that </w:t>
                  </w:r>
                  <w:r w:rsidR="00311FDE" w:rsidRPr="00727D48">
                    <w:rPr>
                      <w:rFonts w:asciiTheme="majorHAnsi" w:hAnsiTheme="majorHAnsi" w:cstheme="majorHAnsi"/>
                      <w:sz w:val="18"/>
                      <w:szCs w:val="18"/>
                    </w:rPr>
                    <w:t xml:space="preserve">has lasted for not less than </w:t>
                  </w:r>
                  <w:r>
                    <w:rPr>
                      <w:rFonts w:asciiTheme="majorHAnsi" w:hAnsiTheme="majorHAnsi" w:cstheme="majorHAnsi"/>
                      <w:sz w:val="18"/>
                      <w:szCs w:val="18"/>
                    </w:rPr>
                    <w:t>six</w:t>
                  </w:r>
                  <w:r w:rsidR="00311FDE" w:rsidRPr="00727D48">
                    <w:rPr>
                      <w:rFonts w:asciiTheme="majorHAnsi" w:hAnsiTheme="majorHAnsi" w:cstheme="majorHAnsi"/>
                      <w:sz w:val="18"/>
                      <w:szCs w:val="18"/>
                    </w:rPr>
                    <w:t xml:space="preserve"> months</w:t>
                  </w:r>
                </w:p>
                <w:p w14:paraId="1361B420" w14:textId="0481E977" w:rsidR="00EE05FB" w:rsidRPr="007B4DF3" w:rsidRDefault="007913EB" w:rsidP="007B4DF3">
                  <w:pPr>
                    <w:autoSpaceDE w:val="0"/>
                    <w:autoSpaceDN w:val="0"/>
                    <w:adjustRightInd w:val="0"/>
                    <w:rPr>
                      <w:rFonts w:asciiTheme="majorHAnsi" w:hAnsiTheme="majorHAnsi" w:cstheme="majorHAnsi"/>
                      <w:sz w:val="18"/>
                      <w:szCs w:val="18"/>
                    </w:rPr>
                  </w:pPr>
                  <w:r w:rsidRPr="007B4DF3">
                    <w:rPr>
                      <w:rFonts w:asciiTheme="majorHAnsi" w:hAnsiTheme="majorHAnsi" w:cstheme="majorHAnsi"/>
                      <w:sz w:val="18"/>
                      <w:szCs w:val="18"/>
                    </w:rPr>
                    <w:t>Social Aid is</w:t>
                  </w:r>
                  <w:r w:rsidR="007B4DF3" w:rsidRPr="007B4DF3">
                    <w:rPr>
                      <w:rFonts w:asciiTheme="majorHAnsi" w:hAnsiTheme="majorHAnsi" w:cstheme="majorHAnsi"/>
                      <w:sz w:val="18"/>
                      <w:szCs w:val="18"/>
                    </w:rPr>
                    <w:t xml:space="preserve"> </w:t>
                  </w:r>
                  <w:r w:rsidRPr="007B4DF3">
                    <w:rPr>
                      <w:rFonts w:asciiTheme="majorHAnsi" w:hAnsiTheme="majorHAnsi" w:cstheme="majorHAnsi"/>
                      <w:sz w:val="18"/>
                      <w:szCs w:val="18"/>
                    </w:rPr>
                    <w:t>complemented by the National Empowerment Foundation</w:t>
                  </w:r>
                  <w:r w:rsidR="00097D0A">
                    <w:rPr>
                      <w:rFonts w:asciiTheme="majorHAnsi" w:hAnsiTheme="majorHAnsi" w:cstheme="majorHAnsi"/>
                      <w:sz w:val="18"/>
                      <w:szCs w:val="18"/>
                    </w:rPr>
                    <w:t>, which</w:t>
                  </w:r>
                  <w:r w:rsidRPr="007B4DF3">
                    <w:rPr>
                      <w:rFonts w:asciiTheme="majorHAnsi" w:hAnsiTheme="majorHAnsi" w:cstheme="majorHAnsi"/>
                      <w:sz w:val="18"/>
                      <w:szCs w:val="18"/>
                    </w:rPr>
                    <w:t xml:space="preserve"> implements a number of programs</w:t>
                  </w:r>
                  <w:r w:rsidR="00097D0A">
                    <w:rPr>
                      <w:rFonts w:asciiTheme="majorHAnsi" w:hAnsiTheme="majorHAnsi" w:cstheme="majorHAnsi"/>
                      <w:sz w:val="18"/>
                      <w:szCs w:val="18"/>
                    </w:rPr>
                    <w:t>,</w:t>
                  </w:r>
                  <w:r w:rsidRPr="007B4DF3">
                    <w:rPr>
                      <w:rFonts w:asciiTheme="majorHAnsi" w:hAnsiTheme="majorHAnsi" w:cstheme="majorHAnsi"/>
                      <w:sz w:val="18"/>
                      <w:szCs w:val="18"/>
                    </w:rPr>
                    <w:t xml:space="preserve"> including training,</w:t>
                  </w:r>
                  <w:r w:rsidR="007B4DF3" w:rsidRPr="007B4DF3">
                    <w:rPr>
                      <w:rFonts w:asciiTheme="majorHAnsi" w:hAnsiTheme="majorHAnsi" w:cstheme="majorHAnsi"/>
                      <w:sz w:val="18"/>
                      <w:szCs w:val="18"/>
                    </w:rPr>
                    <w:t xml:space="preserve"> </w:t>
                  </w:r>
                  <w:r w:rsidRPr="007B4DF3">
                    <w:rPr>
                      <w:rFonts w:asciiTheme="majorHAnsi" w:hAnsiTheme="majorHAnsi" w:cstheme="majorHAnsi"/>
                      <w:sz w:val="18"/>
                      <w:szCs w:val="18"/>
                    </w:rPr>
                    <w:t>entrepreneurial support, and job search assistance</w:t>
                  </w:r>
                  <w:r w:rsidR="00097D0A">
                    <w:rPr>
                      <w:rFonts w:asciiTheme="majorHAnsi" w:hAnsiTheme="majorHAnsi" w:cstheme="majorHAnsi"/>
                      <w:sz w:val="18"/>
                      <w:szCs w:val="18"/>
                    </w:rPr>
                    <w:t>,</w:t>
                  </w:r>
                  <w:r w:rsidRPr="007B4DF3">
                    <w:rPr>
                      <w:rFonts w:asciiTheme="majorHAnsi" w:hAnsiTheme="majorHAnsi" w:cstheme="majorHAnsi"/>
                      <w:sz w:val="18"/>
                      <w:szCs w:val="18"/>
                    </w:rPr>
                    <w:t xml:space="preserve"> as well as an array of additional services targeted </w:t>
                  </w:r>
                  <w:r w:rsidR="00097D0A">
                    <w:rPr>
                      <w:rFonts w:asciiTheme="majorHAnsi" w:hAnsiTheme="majorHAnsi" w:cstheme="majorHAnsi"/>
                      <w:sz w:val="18"/>
                      <w:szCs w:val="18"/>
                    </w:rPr>
                    <w:t xml:space="preserve">on </w:t>
                  </w:r>
                  <w:r w:rsidRPr="007B4DF3">
                    <w:rPr>
                      <w:rFonts w:asciiTheme="majorHAnsi" w:hAnsiTheme="majorHAnsi" w:cstheme="majorHAnsi"/>
                      <w:sz w:val="18"/>
                      <w:szCs w:val="18"/>
                    </w:rPr>
                    <w:t xml:space="preserve">poor households. </w:t>
                  </w:r>
                </w:p>
                <w:p w14:paraId="13510C7E" w14:textId="06E63C2C" w:rsidR="007A3467" w:rsidRPr="00727D48" w:rsidRDefault="007A3467" w:rsidP="0049073E">
                  <w:pPr>
                    <w:autoSpaceDE w:val="0"/>
                    <w:autoSpaceDN w:val="0"/>
                    <w:adjustRightInd w:val="0"/>
                    <w:rPr>
                      <w:rFonts w:asciiTheme="majorHAnsi" w:hAnsiTheme="majorHAnsi" w:cstheme="majorHAnsi"/>
                      <w:i/>
                      <w:sz w:val="18"/>
                      <w:szCs w:val="18"/>
                    </w:rPr>
                  </w:pPr>
                  <w:r w:rsidRPr="00727D48">
                    <w:rPr>
                      <w:rFonts w:asciiTheme="majorHAnsi" w:hAnsiTheme="majorHAnsi" w:cstheme="majorHAnsi"/>
                      <w:i/>
                      <w:sz w:val="18"/>
                      <w:szCs w:val="18"/>
                    </w:rPr>
                    <w:t xml:space="preserve">Income </w:t>
                  </w:r>
                  <w:r w:rsidR="00097D0A">
                    <w:rPr>
                      <w:rFonts w:asciiTheme="majorHAnsi" w:hAnsiTheme="majorHAnsi" w:cstheme="majorHAnsi"/>
                      <w:i/>
                      <w:sz w:val="18"/>
                      <w:szCs w:val="18"/>
                    </w:rPr>
                    <w:t>s</w:t>
                  </w:r>
                  <w:r w:rsidRPr="00727D48">
                    <w:rPr>
                      <w:rFonts w:asciiTheme="majorHAnsi" w:hAnsiTheme="majorHAnsi" w:cstheme="majorHAnsi"/>
                      <w:i/>
                      <w:sz w:val="18"/>
                      <w:szCs w:val="18"/>
                    </w:rPr>
                    <w:t xml:space="preserve">upport for </w:t>
                  </w:r>
                  <w:r w:rsidR="00097D0A">
                    <w:rPr>
                      <w:rFonts w:asciiTheme="majorHAnsi" w:hAnsiTheme="majorHAnsi" w:cstheme="majorHAnsi"/>
                      <w:i/>
                      <w:sz w:val="18"/>
                      <w:szCs w:val="18"/>
                    </w:rPr>
                    <w:t xml:space="preserve">the </w:t>
                  </w:r>
                  <w:r w:rsidRPr="00727D48">
                    <w:rPr>
                      <w:rFonts w:asciiTheme="majorHAnsi" w:hAnsiTheme="majorHAnsi" w:cstheme="majorHAnsi"/>
                      <w:i/>
                      <w:sz w:val="18"/>
                      <w:szCs w:val="18"/>
                    </w:rPr>
                    <w:t>purchase of rice and flour</w:t>
                  </w:r>
                </w:p>
                <w:p w14:paraId="4E4B62F2" w14:textId="6705D0C2" w:rsidR="003D51BA" w:rsidRPr="00F2640A" w:rsidRDefault="000F09C3" w:rsidP="00F2640A">
                  <w:pPr>
                    <w:autoSpaceDE w:val="0"/>
                    <w:autoSpaceDN w:val="0"/>
                    <w:adjustRightInd w:val="0"/>
                    <w:rPr>
                      <w:rFonts w:asciiTheme="majorHAnsi" w:hAnsiTheme="majorHAnsi" w:cstheme="majorHAnsi"/>
                      <w:sz w:val="18"/>
                      <w:szCs w:val="18"/>
                    </w:rPr>
                  </w:pPr>
                  <w:r>
                    <w:rPr>
                      <w:rFonts w:asciiTheme="majorHAnsi" w:hAnsiTheme="majorHAnsi" w:cstheme="majorHAnsi"/>
                      <w:sz w:val="18"/>
                      <w:szCs w:val="18"/>
                    </w:rPr>
                    <w:t>The allowance is provided to</w:t>
                  </w:r>
                  <w:r w:rsidR="0099732C">
                    <w:rPr>
                      <w:rFonts w:asciiTheme="majorHAnsi" w:hAnsiTheme="majorHAnsi" w:cstheme="majorHAnsi"/>
                      <w:sz w:val="18"/>
                      <w:szCs w:val="18"/>
                    </w:rPr>
                    <w:t xml:space="preserve"> all recipients of social aid and to beneficiaries of basic pension</w:t>
                  </w:r>
                  <w:r w:rsidR="008536B2">
                    <w:rPr>
                      <w:rFonts w:asciiTheme="majorHAnsi" w:hAnsiTheme="majorHAnsi" w:cstheme="majorHAnsi"/>
                      <w:sz w:val="18"/>
                      <w:szCs w:val="18"/>
                    </w:rPr>
                    <w:t>s</w:t>
                  </w:r>
                  <w:r w:rsidR="0099732C">
                    <w:rPr>
                      <w:rFonts w:asciiTheme="majorHAnsi" w:hAnsiTheme="majorHAnsi" w:cstheme="majorHAnsi"/>
                      <w:sz w:val="18"/>
                      <w:szCs w:val="18"/>
                    </w:rPr>
                    <w:t xml:space="preserve"> </w:t>
                  </w:r>
                  <w:r w:rsidR="008536B2">
                    <w:rPr>
                      <w:rFonts w:asciiTheme="majorHAnsi" w:hAnsiTheme="majorHAnsi" w:cstheme="majorHAnsi"/>
                      <w:sz w:val="18"/>
                      <w:szCs w:val="18"/>
                    </w:rPr>
                    <w:t xml:space="preserve">through the </w:t>
                  </w:r>
                  <w:r w:rsidR="008536B2" w:rsidRPr="008536B2">
                    <w:rPr>
                      <w:rFonts w:asciiTheme="majorHAnsi" w:hAnsiTheme="majorHAnsi" w:cstheme="majorHAnsi"/>
                      <w:sz w:val="18"/>
                      <w:szCs w:val="18"/>
                    </w:rPr>
                    <w:t>National Pension Scheme</w:t>
                  </w:r>
                  <w:r w:rsidR="0099732C">
                    <w:rPr>
                      <w:rFonts w:asciiTheme="majorHAnsi" w:hAnsiTheme="majorHAnsi" w:cstheme="majorHAnsi"/>
                      <w:sz w:val="18"/>
                      <w:szCs w:val="18"/>
                    </w:rPr>
                    <w:t xml:space="preserve"> and their dependents if they are </w:t>
                  </w:r>
                  <w:r w:rsidR="00097D0A">
                    <w:rPr>
                      <w:rFonts w:asciiTheme="majorHAnsi" w:hAnsiTheme="majorHAnsi" w:cstheme="majorHAnsi"/>
                      <w:sz w:val="18"/>
                      <w:szCs w:val="18"/>
                    </w:rPr>
                    <w:t xml:space="preserve">in </w:t>
                  </w:r>
                  <w:r w:rsidR="0099732C">
                    <w:rPr>
                      <w:rFonts w:asciiTheme="majorHAnsi" w:hAnsiTheme="majorHAnsi" w:cstheme="majorHAnsi"/>
                      <w:sz w:val="18"/>
                      <w:szCs w:val="18"/>
                    </w:rPr>
                    <w:t>low</w:t>
                  </w:r>
                  <w:r w:rsidR="00097D0A">
                    <w:rPr>
                      <w:rFonts w:asciiTheme="majorHAnsi" w:hAnsiTheme="majorHAnsi" w:cstheme="majorHAnsi"/>
                      <w:sz w:val="18"/>
                      <w:szCs w:val="18"/>
                    </w:rPr>
                    <w:t>-</w:t>
                  </w:r>
                  <w:r w:rsidR="0099732C">
                    <w:rPr>
                      <w:rFonts w:asciiTheme="majorHAnsi" w:hAnsiTheme="majorHAnsi" w:cstheme="majorHAnsi"/>
                      <w:sz w:val="18"/>
                      <w:szCs w:val="18"/>
                    </w:rPr>
                    <w:t>income groups.</w:t>
                  </w:r>
                </w:p>
                <w:p w14:paraId="3DD4F754" w14:textId="65268275" w:rsidR="003D51BA" w:rsidRPr="00727D48" w:rsidRDefault="00F2640A" w:rsidP="003D51BA">
                  <w:pPr>
                    <w:autoSpaceDE w:val="0"/>
                    <w:autoSpaceDN w:val="0"/>
                    <w:adjustRightInd w:val="0"/>
                    <w:rPr>
                      <w:rFonts w:asciiTheme="majorHAnsi" w:hAnsiTheme="majorHAnsi" w:cstheme="majorHAnsi"/>
                      <w:i/>
                      <w:sz w:val="18"/>
                      <w:szCs w:val="18"/>
                    </w:rPr>
                  </w:pPr>
                  <w:r w:rsidRPr="00727D48">
                    <w:rPr>
                      <w:rFonts w:asciiTheme="majorHAnsi" w:hAnsiTheme="majorHAnsi" w:cstheme="majorHAnsi"/>
                      <w:i/>
                      <w:sz w:val="18"/>
                      <w:szCs w:val="18"/>
                    </w:rPr>
                    <w:t xml:space="preserve">Inmate's </w:t>
                  </w:r>
                  <w:r w:rsidR="00097D0A">
                    <w:rPr>
                      <w:rFonts w:asciiTheme="majorHAnsi" w:hAnsiTheme="majorHAnsi" w:cstheme="majorHAnsi"/>
                      <w:i/>
                      <w:sz w:val="18"/>
                      <w:szCs w:val="18"/>
                    </w:rPr>
                    <w:t>a</w:t>
                  </w:r>
                  <w:r w:rsidRPr="00727D48">
                    <w:rPr>
                      <w:rFonts w:asciiTheme="majorHAnsi" w:hAnsiTheme="majorHAnsi" w:cstheme="majorHAnsi"/>
                      <w:i/>
                      <w:sz w:val="18"/>
                      <w:szCs w:val="18"/>
                    </w:rPr>
                    <w:t>llowance</w:t>
                  </w:r>
                </w:p>
                <w:p w14:paraId="236AC2BA" w14:textId="1AE96016" w:rsidR="003D51BA" w:rsidRPr="00F2640A" w:rsidRDefault="0079189B" w:rsidP="00F134C9">
                  <w:pPr>
                    <w:autoSpaceDE w:val="0"/>
                    <w:autoSpaceDN w:val="0"/>
                    <w:adjustRightInd w:val="0"/>
                    <w:jc w:val="left"/>
                    <w:rPr>
                      <w:rFonts w:asciiTheme="majorHAnsi" w:hAnsiTheme="majorHAnsi" w:cstheme="majorHAnsi"/>
                      <w:sz w:val="18"/>
                      <w:szCs w:val="18"/>
                    </w:rPr>
                  </w:pPr>
                  <w:r>
                    <w:rPr>
                      <w:rFonts w:asciiTheme="majorHAnsi" w:hAnsiTheme="majorHAnsi" w:cstheme="majorHAnsi"/>
                      <w:sz w:val="18"/>
                      <w:szCs w:val="18"/>
                    </w:rPr>
                    <w:t>T</w:t>
                  </w:r>
                  <w:r w:rsidR="00F134C9" w:rsidRPr="00F134C9">
                    <w:rPr>
                      <w:rFonts w:asciiTheme="majorHAnsi" w:hAnsiTheme="majorHAnsi" w:cstheme="majorHAnsi"/>
                      <w:sz w:val="18"/>
                      <w:szCs w:val="18"/>
                    </w:rPr>
                    <w:t xml:space="preserve">he </w:t>
                  </w:r>
                  <w:r>
                    <w:rPr>
                      <w:rFonts w:asciiTheme="majorHAnsi" w:hAnsiTheme="majorHAnsi" w:cstheme="majorHAnsi"/>
                      <w:sz w:val="18"/>
                      <w:szCs w:val="18"/>
                    </w:rPr>
                    <w:t xml:space="preserve">residents </w:t>
                  </w:r>
                  <w:r w:rsidR="00F134C9" w:rsidRPr="00F134C9">
                    <w:rPr>
                      <w:rFonts w:asciiTheme="majorHAnsi" w:hAnsiTheme="majorHAnsi" w:cstheme="majorHAnsi"/>
                      <w:sz w:val="18"/>
                      <w:szCs w:val="18"/>
                    </w:rPr>
                    <w:t xml:space="preserve">of </w:t>
                  </w:r>
                  <w:r w:rsidR="00F134C9">
                    <w:rPr>
                      <w:rFonts w:asciiTheme="majorHAnsi" w:hAnsiTheme="majorHAnsi" w:cstheme="majorHAnsi"/>
                      <w:sz w:val="18"/>
                      <w:szCs w:val="18"/>
                    </w:rPr>
                    <w:t>g</w:t>
                  </w:r>
                  <w:r w:rsidR="00F134C9" w:rsidRPr="00F134C9">
                    <w:rPr>
                      <w:rFonts w:asciiTheme="majorHAnsi" w:hAnsiTheme="majorHAnsi" w:cstheme="majorHAnsi"/>
                      <w:sz w:val="18"/>
                      <w:szCs w:val="18"/>
                    </w:rPr>
                    <w:t xml:space="preserve">overnment </w:t>
                  </w:r>
                  <w:r w:rsidR="0056450E">
                    <w:rPr>
                      <w:rFonts w:asciiTheme="majorHAnsi" w:hAnsiTheme="majorHAnsi" w:cstheme="majorHAnsi"/>
                      <w:sz w:val="18"/>
                      <w:szCs w:val="18"/>
                    </w:rPr>
                    <w:t>s</w:t>
                  </w:r>
                  <w:r w:rsidR="0056450E" w:rsidRPr="00F134C9">
                    <w:rPr>
                      <w:rFonts w:asciiTheme="majorHAnsi" w:hAnsiTheme="majorHAnsi" w:cstheme="majorHAnsi"/>
                      <w:sz w:val="18"/>
                      <w:szCs w:val="18"/>
                    </w:rPr>
                    <w:t>ubsidized</w:t>
                  </w:r>
                  <w:r w:rsidR="00F134C9" w:rsidRPr="00F134C9">
                    <w:rPr>
                      <w:rFonts w:asciiTheme="majorHAnsi" w:hAnsiTheme="majorHAnsi" w:cstheme="majorHAnsi"/>
                      <w:sz w:val="18"/>
                      <w:szCs w:val="18"/>
                    </w:rPr>
                    <w:t xml:space="preserve"> </w:t>
                  </w:r>
                  <w:r w:rsidR="00F134C9">
                    <w:rPr>
                      <w:rFonts w:asciiTheme="majorHAnsi" w:hAnsiTheme="majorHAnsi" w:cstheme="majorHAnsi"/>
                      <w:sz w:val="18"/>
                      <w:szCs w:val="18"/>
                    </w:rPr>
                    <w:t>i</w:t>
                  </w:r>
                  <w:r w:rsidR="00F134C9" w:rsidRPr="00F134C9">
                    <w:rPr>
                      <w:rFonts w:asciiTheme="majorHAnsi" w:hAnsiTheme="majorHAnsi" w:cstheme="majorHAnsi"/>
                      <w:sz w:val="18"/>
                      <w:szCs w:val="18"/>
                    </w:rPr>
                    <w:t xml:space="preserve">nstitutions </w:t>
                  </w:r>
                  <w:r>
                    <w:rPr>
                      <w:rFonts w:asciiTheme="majorHAnsi" w:hAnsiTheme="majorHAnsi" w:cstheme="majorHAnsi"/>
                      <w:sz w:val="18"/>
                      <w:szCs w:val="18"/>
                    </w:rPr>
                    <w:t xml:space="preserve">are eligible for the allowance </w:t>
                  </w:r>
                  <w:r w:rsidR="00F134C9" w:rsidRPr="00F134C9">
                    <w:rPr>
                      <w:rFonts w:asciiTheme="majorHAnsi" w:hAnsiTheme="majorHAnsi" w:cstheme="majorHAnsi"/>
                      <w:sz w:val="18"/>
                      <w:szCs w:val="18"/>
                    </w:rPr>
                    <w:t>on condition that they</w:t>
                  </w:r>
                  <w:r w:rsidR="00F134C9">
                    <w:rPr>
                      <w:rFonts w:asciiTheme="majorHAnsi" w:hAnsiTheme="majorHAnsi" w:cstheme="majorHAnsi"/>
                      <w:sz w:val="18"/>
                      <w:szCs w:val="18"/>
                    </w:rPr>
                    <w:t xml:space="preserve"> </w:t>
                  </w:r>
                  <w:r w:rsidR="00F134C9" w:rsidRPr="00F134C9">
                    <w:rPr>
                      <w:rFonts w:asciiTheme="majorHAnsi" w:hAnsiTheme="majorHAnsi" w:cstheme="majorHAnsi"/>
                      <w:sz w:val="18"/>
                      <w:szCs w:val="18"/>
                    </w:rPr>
                    <w:t>were in receipt of a basic pension or would have been entitled to a basic pension</w:t>
                  </w:r>
                  <w:r w:rsidR="00F134C9">
                    <w:rPr>
                      <w:rFonts w:asciiTheme="majorHAnsi" w:hAnsiTheme="majorHAnsi" w:cstheme="majorHAnsi"/>
                      <w:sz w:val="18"/>
                      <w:szCs w:val="18"/>
                    </w:rPr>
                    <w:t xml:space="preserve"> </w:t>
                  </w:r>
                  <w:r w:rsidR="00F134C9" w:rsidRPr="00F134C9">
                    <w:rPr>
                      <w:rFonts w:asciiTheme="majorHAnsi" w:hAnsiTheme="majorHAnsi" w:cstheme="majorHAnsi"/>
                      <w:sz w:val="18"/>
                      <w:szCs w:val="18"/>
                    </w:rPr>
                    <w:t>before their admission in such institutions.</w:t>
                  </w:r>
                </w:p>
                <w:p w14:paraId="2C28518D" w14:textId="77777777" w:rsidR="004F5211" w:rsidRPr="00727D48" w:rsidRDefault="004F5211" w:rsidP="00A24574">
                  <w:pPr>
                    <w:autoSpaceDE w:val="0"/>
                    <w:autoSpaceDN w:val="0"/>
                    <w:adjustRightInd w:val="0"/>
                    <w:rPr>
                      <w:rFonts w:asciiTheme="majorHAnsi" w:hAnsiTheme="majorHAnsi" w:cstheme="majorHAnsi"/>
                      <w:i/>
                      <w:sz w:val="18"/>
                      <w:szCs w:val="18"/>
                    </w:rPr>
                  </w:pPr>
                  <w:r w:rsidRPr="00727D48">
                    <w:rPr>
                      <w:rFonts w:asciiTheme="majorHAnsi" w:hAnsiTheme="majorHAnsi" w:cstheme="majorHAnsi"/>
                      <w:i/>
                      <w:sz w:val="18"/>
                      <w:szCs w:val="18"/>
                    </w:rPr>
                    <w:t xml:space="preserve">Unemployment Hardship Relief </w:t>
                  </w:r>
                </w:p>
                <w:p w14:paraId="00E914F8" w14:textId="590DE6C9" w:rsidR="00D836D1" w:rsidRPr="00DD325D" w:rsidRDefault="00A24574" w:rsidP="0049073E">
                  <w:pPr>
                    <w:autoSpaceDE w:val="0"/>
                    <w:autoSpaceDN w:val="0"/>
                    <w:adjustRightInd w:val="0"/>
                    <w:rPr>
                      <w:rFonts w:asciiTheme="majorHAnsi" w:hAnsiTheme="majorHAnsi" w:cstheme="majorHAnsi"/>
                      <w:sz w:val="18"/>
                      <w:szCs w:val="18"/>
                    </w:rPr>
                  </w:pPr>
                  <w:r w:rsidRPr="00F2640A">
                    <w:rPr>
                      <w:rFonts w:asciiTheme="majorHAnsi" w:hAnsiTheme="majorHAnsi" w:cstheme="majorHAnsi"/>
                      <w:sz w:val="18"/>
                      <w:szCs w:val="18"/>
                    </w:rPr>
                    <w:t xml:space="preserve">Unemployment Hardship Relief is payable to unemployed heads of </w:t>
                  </w:r>
                  <w:r w:rsidR="0079189B">
                    <w:rPr>
                      <w:rFonts w:asciiTheme="majorHAnsi" w:hAnsiTheme="majorHAnsi" w:cstheme="majorHAnsi"/>
                      <w:sz w:val="18"/>
                      <w:szCs w:val="18"/>
                    </w:rPr>
                    <w:t xml:space="preserve">household in which the household </w:t>
                  </w:r>
                  <w:r w:rsidRPr="00F2640A">
                    <w:rPr>
                      <w:rFonts w:asciiTheme="majorHAnsi" w:hAnsiTheme="majorHAnsi" w:cstheme="majorHAnsi"/>
                      <w:sz w:val="18"/>
                      <w:szCs w:val="18"/>
                    </w:rPr>
                    <w:t>income is not sufficient to meet the needs of the members.</w:t>
                  </w:r>
                </w:p>
              </w:tc>
            </w:tr>
          </w:tbl>
          <w:p w14:paraId="17C4A762" w14:textId="77777777" w:rsidR="005E16ED" w:rsidRDefault="005E16ED" w:rsidP="00855877">
            <w:pPr>
              <w:autoSpaceDE w:val="0"/>
              <w:autoSpaceDN w:val="0"/>
              <w:adjustRightInd w:val="0"/>
              <w:rPr>
                <w:rFonts w:cs="Times New Roman"/>
                <w:b w:val="0"/>
                <w:sz w:val="18"/>
                <w:szCs w:val="18"/>
              </w:rPr>
            </w:pPr>
          </w:p>
        </w:tc>
      </w:tr>
    </w:tbl>
    <w:p w14:paraId="2835A1AB" w14:textId="77777777" w:rsidR="009D1161" w:rsidRDefault="009D1161" w:rsidP="00025D37"/>
    <w:tbl>
      <w:tblPr>
        <w:tblW w:w="9360" w:type="dxa"/>
        <w:tblLayout w:type="fixed"/>
        <w:tblCellMar>
          <w:left w:w="0" w:type="dxa"/>
          <w:right w:w="0" w:type="dxa"/>
        </w:tblCellMar>
        <w:tblLook w:val="04A0" w:firstRow="1" w:lastRow="0" w:firstColumn="1" w:lastColumn="0" w:noHBand="0" w:noVBand="1"/>
      </w:tblPr>
      <w:tblGrid>
        <w:gridCol w:w="4680"/>
        <w:gridCol w:w="4680"/>
      </w:tblGrid>
      <w:tr w:rsidR="008D2F83" w:rsidRPr="001E6C40" w14:paraId="542654AF" w14:textId="77777777" w:rsidTr="00855877">
        <w:trPr>
          <w:cantSplit/>
        </w:trPr>
        <w:tc>
          <w:tcPr>
            <w:tcW w:w="9360" w:type="dxa"/>
            <w:gridSpan w:val="2"/>
            <w:hideMark/>
          </w:tcPr>
          <w:p w14:paraId="5F08154F" w14:textId="7DF6A99C" w:rsidR="008D2F83" w:rsidRPr="001E6C40" w:rsidRDefault="008D2F83" w:rsidP="00855877">
            <w:pPr>
              <w:pStyle w:val="Caption2"/>
              <w:spacing w:line="256" w:lineRule="auto"/>
              <w:jc w:val="left"/>
              <w:rPr>
                <w:b/>
                <w:i w:val="0"/>
                <w:sz w:val="18"/>
                <w:szCs w:val="18"/>
                <w:lang w:eastAsia="en-GB"/>
              </w:rPr>
            </w:pPr>
            <w:bookmarkStart w:id="62" w:name="_Ref8064694"/>
            <w:bookmarkStart w:id="63" w:name="_Toc11255067"/>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4</w:t>
            </w:r>
            <w:r w:rsidR="00275542">
              <w:rPr>
                <w:b/>
                <w:i w:val="0"/>
                <w:sz w:val="18"/>
                <w:szCs w:val="18"/>
                <w:lang w:eastAsia="en-GB"/>
              </w:rPr>
              <w:fldChar w:fldCharType="end"/>
            </w:r>
            <w:bookmarkEnd w:id="62"/>
            <w:r w:rsidRPr="001E6C40">
              <w:rPr>
                <w:b/>
                <w:i w:val="0"/>
                <w:sz w:val="18"/>
                <w:szCs w:val="18"/>
                <w:lang w:eastAsia="en-GB"/>
              </w:rPr>
              <w:t xml:space="preserve">. </w:t>
            </w:r>
            <w:r w:rsidRPr="0070773C">
              <w:rPr>
                <w:b/>
                <w:i w:val="0"/>
                <w:sz w:val="18"/>
                <w:szCs w:val="18"/>
                <w:lang w:eastAsia="en-GB"/>
              </w:rPr>
              <w:t xml:space="preserve">Lorenz and </w:t>
            </w:r>
            <w:r w:rsidR="0079189B" w:rsidRPr="0070773C">
              <w:rPr>
                <w:b/>
                <w:i w:val="0"/>
                <w:sz w:val="18"/>
                <w:szCs w:val="18"/>
                <w:lang w:eastAsia="en-GB"/>
              </w:rPr>
              <w:t>Concentration Curves</w:t>
            </w:r>
            <w:r w:rsidR="0079189B">
              <w:rPr>
                <w:b/>
                <w:i w:val="0"/>
                <w:sz w:val="18"/>
                <w:szCs w:val="18"/>
                <w:lang w:eastAsia="en-GB"/>
              </w:rPr>
              <w:t>,</w:t>
            </w:r>
            <w:r w:rsidR="0079189B" w:rsidRPr="0070773C">
              <w:rPr>
                <w:b/>
                <w:i w:val="0"/>
                <w:sz w:val="18"/>
                <w:szCs w:val="18"/>
                <w:lang w:eastAsia="en-GB"/>
              </w:rPr>
              <w:t xml:space="preserve"> </w:t>
            </w:r>
            <w:r w:rsidR="0079189B">
              <w:rPr>
                <w:b/>
                <w:i w:val="0"/>
                <w:sz w:val="18"/>
                <w:szCs w:val="18"/>
                <w:lang w:eastAsia="en-GB"/>
              </w:rPr>
              <w:t>P</w:t>
            </w:r>
            <w:r w:rsidR="0079189B" w:rsidRPr="0070773C">
              <w:rPr>
                <w:b/>
                <w:i w:val="0"/>
                <w:sz w:val="18"/>
                <w:szCs w:val="18"/>
                <w:lang w:eastAsia="en-GB"/>
              </w:rPr>
              <w:t>er Capita Market Income</w:t>
            </w:r>
            <w:r w:rsidR="0079189B">
              <w:rPr>
                <w:b/>
                <w:i w:val="0"/>
                <w:sz w:val="18"/>
                <w:szCs w:val="18"/>
                <w:lang w:eastAsia="en-GB"/>
              </w:rPr>
              <w:t>,</w:t>
            </w:r>
            <w:r w:rsidR="0079189B" w:rsidRPr="0070773C">
              <w:rPr>
                <w:b/>
                <w:i w:val="0"/>
                <w:sz w:val="18"/>
                <w:szCs w:val="18"/>
                <w:lang w:eastAsia="en-GB"/>
              </w:rPr>
              <w:t xml:space="preserve"> </w:t>
            </w:r>
            <w:r w:rsidR="0079189B">
              <w:rPr>
                <w:b/>
                <w:i w:val="0"/>
                <w:sz w:val="18"/>
                <w:szCs w:val="18"/>
                <w:lang w:eastAsia="en-GB"/>
              </w:rPr>
              <w:t>Cash Transfers,</w:t>
            </w:r>
            <w:r w:rsidR="0079189B" w:rsidRPr="0070773C">
              <w:rPr>
                <w:b/>
                <w:i w:val="0"/>
                <w:sz w:val="18"/>
                <w:szCs w:val="18"/>
                <w:lang w:eastAsia="en-GB"/>
              </w:rPr>
              <w:t xml:space="preserve"> </w:t>
            </w:r>
            <w:r w:rsidRPr="0070773C">
              <w:rPr>
                <w:b/>
                <w:i w:val="0"/>
                <w:sz w:val="18"/>
                <w:szCs w:val="18"/>
                <w:lang w:eastAsia="en-GB"/>
              </w:rPr>
              <w:t xml:space="preserve">and </w:t>
            </w:r>
            <w:r w:rsidR="0079189B">
              <w:rPr>
                <w:b/>
                <w:i w:val="0"/>
                <w:sz w:val="18"/>
                <w:szCs w:val="18"/>
                <w:lang w:eastAsia="en-GB"/>
              </w:rPr>
              <w:t xml:space="preserve">the </w:t>
            </w:r>
            <w:r w:rsidR="0079189B" w:rsidRPr="0070773C">
              <w:rPr>
                <w:b/>
                <w:i w:val="0"/>
                <w:sz w:val="18"/>
                <w:szCs w:val="18"/>
                <w:lang w:eastAsia="en-GB"/>
              </w:rPr>
              <w:t xml:space="preserve">Share </w:t>
            </w:r>
            <w:r>
              <w:rPr>
                <w:b/>
                <w:i w:val="0"/>
                <w:sz w:val="18"/>
                <w:szCs w:val="18"/>
                <w:lang w:eastAsia="en-GB"/>
              </w:rPr>
              <w:t xml:space="preserve">of </w:t>
            </w:r>
            <w:r w:rsidR="0079189B">
              <w:rPr>
                <w:b/>
                <w:i w:val="0"/>
                <w:sz w:val="18"/>
                <w:szCs w:val="18"/>
                <w:lang w:eastAsia="en-GB"/>
              </w:rPr>
              <w:t xml:space="preserve">Cash Transfers </w:t>
            </w:r>
            <w:r w:rsidRPr="0070773C">
              <w:rPr>
                <w:b/>
                <w:i w:val="0"/>
                <w:sz w:val="18"/>
                <w:szCs w:val="18"/>
                <w:lang w:eastAsia="en-GB"/>
              </w:rPr>
              <w:t xml:space="preserve">in </w:t>
            </w:r>
            <w:r w:rsidR="0079189B">
              <w:rPr>
                <w:b/>
                <w:i w:val="0"/>
                <w:sz w:val="18"/>
                <w:szCs w:val="18"/>
                <w:lang w:eastAsia="en-GB"/>
              </w:rPr>
              <w:t xml:space="preserve">Total </w:t>
            </w:r>
            <w:r w:rsidR="0079189B" w:rsidRPr="0070773C">
              <w:rPr>
                <w:b/>
                <w:i w:val="0"/>
                <w:sz w:val="18"/>
                <w:szCs w:val="18"/>
                <w:lang w:eastAsia="en-GB"/>
              </w:rPr>
              <w:t>Market Income</w:t>
            </w:r>
            <w:r w:rsidR="0079189B">
              <w:rPr>
                <w:b/>
                <w:i w:val="0"/>
                <w:sz w:val="18"/>
                <w:szCs w:val="18"/>
                <w:lang w:eastAsia="en-GB"/>
              </w:rPr>
              <w:t>,</w:t>
            </w:r>
            <w:r w:rsidR="0079189B" w:rsidRPr="0070773C">
              <w:rPr>
                <w:b/>
                <w:i w:val="0"/>
                <w:sz w:val="18"/>
                <w:szCs w:val="18"/>
                <w:lang w:eastAsia="en-GB"/>
              </w:rPr>
              <w:t xml:space="preserve"> </w:t>
            </w:r>
            <w:r w:rsidRPr="0070773C">
              <w:rPr>
                <w:b/>
                <w:i w:val="0"/>
                <w:sz w:val="18"/>
                <w:szCs w:val="18"/>
                <w:lang w:eastAsia="en-GB"/>
              </w:rPr>
              <w:t xml:space="preserve">by </w:t>
            </w:r>
            <w:r w:rsidR="0079189B">
              <w:rPr>
                <w:b/>
                <w:i w:val="0"/>
                <w:sz w:val="18"/>
                <w:szCs w:val="18"/>
                <w:lang w:eastAsia="en-GB"/>
              </w:rPr>
              <w:t>Q</w:t>
            </w:r>
            <w:r w:rsidRPr="0070773C">
              <w:rPr>
                <w:b/>
                <w:i w:val="0"/>
                <w:sz w:val="18"/>
                <w:szCs w:val="18"/>
                <w:lang w:eastAsia="en-GB"/>
              </w:rPr>
              <w:t>uintil</w:t>
            </w:r>
            <w:r w:rsidR="0079189B">
              <w:rPr>
                <w:b/>
                <w:i w:val="0"/>
                <w:sz w:val="18"/>
                <w:szCs w:val="18"/>
                <w:lang w:eastAsia="en-GB"/>
              </w:rPr>
              <w:t>e</w:t>
            </w:r>
            <w:bookmarkEnd w:id="63"/>
          </w:p>
        </w:tc>
      </w:tr>
      <w:tr w:rsidR="008D2F83" w14:paraId="21E3CBD0" w14:textId="77777777" w:rsidTr="00855877">
        <w:trPr>
          <w:cantSplit/>
        </w:trPr>
        <w:tc>
          <w:tcPr>
            <w:tcW w:w="4680" w:type="dxa"/>
            <w:hideMark/>
          </w:tcPr>
          <w:p w14:paraId="5D8BA75F" w14:textId="55A6FFF6" w:rsidR="008D2F83" w:rsidRDefault="008D2F83" w:rsidP="00855877">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Lorenz and concentration curve</w:t>
            </w:r>
            <w:r w:rsidR="00261F53">
              <w:rPr>
                <w:rFonts w:cs="Times New Roman"/>
                <w:b/>
                <w:sz w:val="18"/>
                <w:szCs w:val="18"/>
                <w:lang w:eastAsia="en-GB"/>
              </w:rPr>
              <w:t>,</w:t>
            </w:r>
            <w:r w:rsidRPr="00D60C8A">
              <w:rPr>
                <w:rFonts w:cs="Times New Roman"/>
                <w:b/>
                <w:sz w:val="18"/>
                <w:szCs w:val="18"/>
                <w:lang w:eastAsia="en-GB"/>
              </w:rPr>
              <w:t xml:space="preserve"> </w:t>
            </w:r>
            <w:r w:rsidR="003A48BC">
              <w:rPr>
                <w:rFonts w:cs="Times New Roman"/>
                <w:b/>
                <w:sz w:val="18"/>
                <w:szCs w:val="18"/>
                <w:lang w:eastAsia="en-GB"/>
              </w:rPr>
              <w:t>cash transfers</w:t>
            </w:r>
            <w:r w:rsidRPr="00D60C8A">
              <w:rPr>
                <w:rFonts w:cs="Times New Roman"/>
                <w:b/>
                <w:sz w:val="18"/>
                <w:szCs w:val="18"/>
                <w:lang w:eastAsia="en-GB"/>
              </w:rPr>
              <w:t xml:space="preserve"> and market income</w:t>
            </w:r>
          </w:p>
        </w:tc>
        <w:tc>
          <w:tcPr>
            <w:tcW w:w="4680" w:type="dxa"/>
            <w:hideMark/>
          </w:tcPr>
          <w:p w14:paraId="51A0D3A2" w14:textId="02B666E0" w:rsidR="008D2F83" w:rsidRDefault="008D2F83" w:rsidP="00855877">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sidR="003A48BC">
              <w:rPr>
                <w:rFonts w:cs="Times New Roman"/>
                <w:b/>
                <w:sz w:val="18"/>
                <w:szCs w:val="18"/>
                <w:lang w:eastAsia="en-GB"/>
              </w:rPr>
              <w:t>cash transfers</w:t>
            </w:r>
            <w:r w:rsidRPr="00F2330A">
              <w:rPr>
                <w:rFonts w:cs="Times New Roman"/>
                <w:b/>
                <w:sz w:val="18"/>
                <w:szCs w:val="18"/>
                <w:lang w:eastAsia="en-GB"/>
              </w:rPr>
              <w:t xml:space="preserve"> in </w:t>
            </w:r>
            <w:r w:rsidR="007F2BD3">
              <w:rPr>
                <w:rFonts w:cs="Times New Roman"/>
                <w:b/>
                <w:sz w:val="18"/>
                <w:szCs w:val="18"/>
                <w:lang w:eastAsia="en-GB"/>
              </w:rPr>
              <w:t>household</w:t>
            </w:r>
            <w:r w:rsidR="007F2BD3" w:rsidRPr="00F2330A">
              <w:rPr>
                <w:rFonts w:cs="Times New Roman"/>
                <w:b/>
                <w:sz w:val="18"/>
                <w:szCs w:val="18"/>
                <w:lang w:eastAsia="en-GB"/>
              </w:rPr>
              <w:t xml:space="preserve"> </w:t>
            </w:r>
            <w:r>
              <w:rPr>
                <w:rFonts w:cs="Times New Roman"/>
                <w:b/>
                <w:sz w:val="18"/>
                <w:szCs w:val="18"/>
                <w:lang w:eastAsia="en-GB"/>
              </w:rPr>
              <w:t>market income</w:t>
            </w:r>
          </w:p>
        </w:tc>
      </w:tr>
      <w:tr w:rsidR="008D2F83" w14:paraId="0BEAA536" w14:textId="77777777" w:rsidTr="00855877">
        <w:trPr>
          <w:cantSplit/>
        </w:trPr>
        <w:tc>
          <w:tcPr>
            <w:tcW w:w="4680" w:type="dxa"/>
            <w:tcMar>
              <w:top w:w="0" w:type="dxa"/>
              <w:left w:w="108" w:type="dxa"/>
              <w:bottom w:w="0" w:type="dxa"/>
              <w:right w:w="108" w:type="dxa"/>
            </w:tcMar>
            <w:hideMark/>
          </w:tcPr>
          <w:p w14:paraId="3B0EBBDC" w14:textId="09BEEAC9" w:rsidR="008D2F83" w:rsidRDefault="00673E83" w:rsidP="00855877">
            <w:pPr>
              <w:spacing w:after="120"/>
              <w:rPr>
                <w:rFonts w:cs="Times New Roman"/>
                <w:sz w:val="16"/>
                <w:szCs w:val="16"/>
              </w:rPr>
            </w:pPr>
            <w:r>
              <w:rPr>
                <w:rFonts w:cs="Times New Roman"/>
                <w:noProof/>
                <w:sz w:val="16"/>
                <w:szCs w:val="16"/>
              </w:rPr>
              <w:drawing>
                <wp:inline distT="0" distB="0" distL="0" distR="0" wp14:anchorId="7C41D7CA" wp14:editId="68C5877D">
                  <wp:extent cx="2974975" cy="23269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centration_Cash_Transfer.png"/>
                          <pic:cNvPicPr/>
                        </pic:nvPicPr>
                        <pic:blipFill rotWithShape="1">
                          <a:blip r:embed="rId14" cstate="print">
                            <a:extLst>
                              <a:ext uri="{28A0092B-C50C-407E-A947-70E740481C1C}">
                                <a14:useLocalDpi xmlns:a14="http://schemas.microsoft.com/office/drawing/2010/main" val="0"/>
                              </a:ext>
                            </a:extLst>
                          </a:blip>
                          <a:srcRect l="21022" r="15756"/>
                          <a:stretch/>
                        </pic:blipFill>
                        <pic:spPr bwMode="auto">
                          <a:xfrm>
                            <a:off x="0" y="0"/>
                            <a:ext cx="3000304" cy="2346755"/>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3F49C3D5" w14:textId="0AD8E4FB" w:rsidR="008D2F83" w:rsidRDefault="001E1975" w:rsidP="00855877">
            <w:pPr>
              <w:spacing w:after="120"/>
              <w:rPr>
                <w:rFonts w:cs="Times New Roman"/>
                <w:sz w:val="16"/>
                <w:szCs w:val="16"/>
              </w:rPr>
            </w:pPr>
            <w:r>
              <w:rPr>
                <w:rFonts w:cs="Times New Roman"/>
                <w:noProof/>
                <w:sz w:val="16"/>
                <w:szCs w:val="16"/>
              </w:rPr>
              <w:drawing>
                <wp:inline distT="0" distB="0" distL="0" distR="0" wp14:anchorId="3DD52496" wp14:editId="0E6B967D">
                  <wp:extent cx="2834640" cy="1889760"/>
                  <wp:effectExtent l="0" t="0" r="3810" b="0"/>
                  <wp:docPr id="44" name="Picture 4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_3.4.B._cash_transfers_and_share_of_cash_transfers_in_total_market_income_plus_pension_by_quintile.png"/>
                          <pic:cNvPicPr/>
                        </pic:nvPicPr>
                        <pic:blipFill>
                          <a:blip r:embed="rId15">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8D2F83" w14:paraId="49BBA107" w14:textId="77777777" w:rsidTr="00855877">
        <w:trPr>
          <w:cantSplit/>
        </w:trPr>
        <w:tc>
          <w:tcPr>
            <w:tcW w:w="9360" w:type="dxa"/>
            <w:gridSpan w:val="2"/>
            <w:tcMar>
              <w:top w:w="0" w:type="dxa"/>
              <w:left w:w="108" w:type="dxa"/>
              <w:bottom w:w="0" w:type="dxa"/>
              <w:right w:w="108" w:type="dxa"/>
            </w:tcMar>
            <w:hideMark/>
          </w:tcPr>
          <w:p w14:paraId="43D0D27F" w14:textId="77777777" w:rsidR="008D2F83" w:rsidRDefault="008D2F83"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3D282FB9" w14:textId="5D466FE8" w:rsidR="008D2F83" w:rsidRPr="00767FF8" w:rsidRDefault="008D2F83"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261F53">
              <w:rPr>
                <w:rFonts w:cs="Times New Roman"/>
                <w:sz w:val="18"/>
                <w:szCs w:val="18"/>
              </w:rPr>
              <w:t xml:space="preserve">Panel a: </w:t>
            </w:r>
            <w:r w:rsidR="00737CAD" w:rsidRPr="00767FF8">
              <w:rPr>
                <w:rFonts w:cs="Times New Roman"/>
                <w:sz w:val="18"/>
                <w:szCs w:val="18"/>
              </w:rPr>
              <w:t>Market inco</w:t>
            </w:r>
            <w:r w:rsidR="00737CAD" w:rsidRPr="00793B42">
              <w:rPr>
                <w:rFonts w:cs="Times New Roman"/>
                <w:sz w:val="18"/>
                <w:szCs w:val="18"/>
              </w:rPr>
              <w:t xml:space="preserve">me </w:t>
            </w:r>
            <w:r w:rsidR="00737CAD">
              <w:rPr>
                <w:rFonts w:cs="Times New Roman"/>
                <w:sz w:val="18"/>
                <w:szCs w:val="18"/>
              </w:rPr>
              <w:t>refers to market income</w:t>
            </w:r>
            <w:r w:rsidR="00261F53">
              <w:rPr>
                <w:rFonts w:cs="Times New Roman"/>
                <w:sz w:val="18"/>
                <w:szCs w:val="18"/>
              </w:rPr>
              <w:t>,</w:t>
            </w:r>
            <w:r w:rsidR="00737CAD">
              <w:rPr>
                <w:rFonts w:cs="Times New Roman"/>
                <w:sz w:val="18"/>
                <w:szCs w:val="18"/>
              </w:rPr>
              <w:t xml:space="preserve"> </w:t>
            </w:r>
            <w:r w:rsidR="00737CAD" w:rsidRPr="00793B42">
              <w:rPr>
                <w:rFonts w:cs="Times New Roman"/>
                <w:sz w:val="18"/>
                <w:szCs w:val="18"/>
              </w:rPr>
              <w:t>plus pensions</w:t>
            </w:r>
            <w:r w:rsidR="00261F53">
              <w:rPr>
                <w:rFonts w:cs="Times New Roman"/>
                <w:sz w:val="18"/>
                <w:szCs w:val="18"/>
              </w:rPr>
              <w:t>,</w:t>
            </w:r>
            <w:r w:rsidR="00737CAD" w:rsidRPr="00793B42">
              <w:rPr>
                <w:rFonts w:cs="Times New Roman"/>
                <w:sz w:val="18"/>
                <w:szCs w:val="18"/>
              </w:rPr>
              <w:t xml:space="preserve"> </w:t>
            </w:r>
            <w:r w:rsidR="00737CAD">
              <w:rPr>
                <w:rFonts w:cs="Times New Roman"/>
                <w:sz w:val="18"/>
                <w:szCs w:val="18"/>
              </w:rPr>
              <w:t xml:space="preserve">and </w:t>
            </w:r>
            <w:r w:rsidR="00737CAD" w:rsidRPr="00793B42">
              <w:rPr>
                <w:rFonts w:cs="Times New Roman"/>
                <w:sz w:val="18"/>
                <w:szCs w:val="18"/>
              </w:rPr>
              <w:t>comprises pretax wages, salaries, income earned from capital assets (rent, interest, or dividends), contributory pensions, and private transfers.</w:t>
            </w:r>
            <w:r w:rsidR="00737CAD">
              <w:rPr>
                <w:rFonts w:cs="Times New Roman"/>
                <w:sz w:val="18"/>
                <w:szCs w:val="18"/>
              </w:rPr>
              <w:t xml:space="preserve"> (2) </w:t>
            </w:r>
            <w:r w:rsidR="00737CAD" w:rsidRPr="007D5AD4">
              <w:rPr>
                <w:rFonts w:cs="Times New Roman"/>
                <w:sz w:val="18"/>
                <w:szCs w:val="18"/>
              </w:rPr>
              <w:t>95</w:t>
            </w:r>
            <w:r w:rsidR="00737CAD">
              <w:rPr>
                <w:rFonts w:cs="Times New Roman"/>
                <w:sz w:val="18"/>
                <w:szCs w:val="18"/>
              </w:rPr>
              <w:t xml:space="preserve"> </w:t>
            </w:r>
            <w:r w:rsidR="00737CAD" w:rsidRPr="007D5AD4">
              <w:rPr>
                <w:rFonts w:cs="Times New Roman"/>
                <w:sz w:val="18"/>
                <w:szCs w:val="18"/>
              </w:rPr>
              <w:t xml:space="preserve">percent confidence intervals </w:t>
            </w:r>
            <w:r w:rsidR="00261F53">
              <w:rPr>
                <w:rFonts w:cs="Times New Roman"/>
                <w:sz w:val="18"/>
                <w:szCs w:val="18"/>
              </w:rPr>
              <w:t xml:space="preserve">are </w:t>
            </w:r>
            <w:r w:rsidR="00737CAD">
              <w:rPr>
                <w:rFonts w:cs="Times New Roman"/>
                <w:sz w:val="18"/>
                <w:szCs w:val="18"/>
              </w:rPr>
              <w:t>displayed</w:t>
            </w:r>
            <w:r w:rsidR="00737CAD" w:rsidRPr="007D5AD4">
              <w:rPr>
                <w:rFonts w:cs="Times New Roman"/>
                <w:sz w:val="18"/>
                <w:szCs w:val="18"/>
              </w:rPr>
              <w:t xml:space="preserve"> in panel b</w:t>
            </w:r>
            <w:r w:rsidR="00737CAD">
              <w:rPr>
                <w:rFonts w:cs="Times New Roman"/>
                <w:sz w:val="18"/>
                <w:szCs w:val="18"/>
              </w:rPr>
              <w:t>.</w:t>
            </w:r>
          </w:p>
        </w:tc>
      </w:tr>
    </w:tbl>
    <w:p w14:paraId="69B50D16" w14:textId="7AE6AAB8" w:rsidR="001E3EC8" w:rsidRDefault="001E3EC8" w:rsidP="002B019D">
      <w:pPr>
        <w:pStyle w:val="Heading2"/>
        <w:numPr>
          <w:ilvl w:val="1"/>
          <w:numId w:val="2"/>
        </w:numPr>
      </w:pPr>
      <w:bookmarkStart w:id="64" w:name="_Toc8812800"/>
      <w:bookmarkStart w:id="65" w:name="_Toc10824873"/>
      <w:bookmarkStart w:id="66" w:name="_Toc10824945"/>
      <w:r>
        <w:t>Indirect Taxes</w:t>
      </w:r>
      <w:r w:rsidR="00EC45CF">
        <w:t xml:space="preserve"> and Subsidies</w:t>
      </w:r>
      <w:bookmarkEnd w:id="64"/>
      <w:bookmarkEnd w:id="65"/>
      <w:bookmarkEnd w:id="66"/>
    </w:p>
    <w:p w14:paraId="61EA742D" w14:textId="69B49B71" w:rsidR="009379E6" w:rsidRDefault="009379E6" w:rsidP="000E738D">
      <w:pPr>
        <w:pStyle w:val="Heading3"/>
      </w:pPr>
      <w:bookmarkStart w:id="67" w:name="_Toc8812801"/>
      <w:bookmarkStart w:id="68" w:name="_Toc10824874"/>
      <w:bookmarkStart w:id="69" w:name="_Toc10824946"/>
      <w:r>
        <w:t>Value Added Tax</w:t>
      </w:r>
      <w:bookmarkEnd w:id="67"/>
      <w:bookmarkEnd w:id="68"/>
      <w:bookmarkEnd w:id="69"/>
    </w:p>
    <w:p w14:paraId="35A6C090" w14:textId="6853E4CC" w:rsidR="00917C43" w:rsidRDefault="00E82FFA" w:rsidP="005A5C3A">
      <w:pPr>
        <w:shd w:val="clear" w:color="auto" w:fill="FFFFFF"/>
      </w:pPr>
      <w:r w:rsidRPr="005B123E">
        <w:rPr>
          <w:b/>
        </w:rPr>
        <w:t xml:space="preserve">The </w:t>
      </w:r>
      <w:r w:rsidR="007458F3">
        <w:rPr>
          <w:b/>
        </w:rPr>
        <w:t xml:space="preserve">standard </w:t>
      </w:r>
      <w:r w:rsidRPr="005B123E">
        <w:rPr>
          <w:b/>
        </w:rPr>
        <w:t xml:space="preserve">VAT rate in Mauritius is 15 percent, </w:t>
      </w:r>
      <w:r w:rsidR="00AE398E" w:rsidRPr="005B123E">
        <w:rPr>
          <w:b/>
        </w:rPr>
        <w:t>except for</w:t>
      </w:r>
      <w:r w:rsidRPr="005B123E">
        <w:rPr>
          <w:b/>
        </w:rPr>
        <w:t xml:space="preserve"> </w:t>
      </w:r>
      <w:r w:rsidR="00BD2338" w:rsidRPr="005B123E">
        <w:rPr>
          <w:b/>
        </w:rPr>
        <w:t xml:space="preserve">zero-rated </w:t>
      </w:r>
      <w:r w:rsidR="004811E2">
        <w:rPr>
          <w:b/>
        </w:rPr>
        <w:t>and</w:t>
      </w:r>
      <w:r w:rsidR="00BD2338" w:rsidRPr="005B123E">
        <w:rPr>
          <w:b/>
        </w:rPr>
        <w:t xml:space="preserve"> exempt</w:t>
      </w:r>
      <w:r w:rsidR="00F70904" w:rsidRPr="005B123E">
        <w:rPr>
          <w:b/>
        </w:rPr>
        <w:t xml:space="preserve"> goods and services</w:t>
      </w:r>
      <w:r w:rsidR="00BD2338" w:rsidRPr="005B123E">
        <w:rPr>
          <w:b/>
        </w:rPr>
        <w:t xml:space="preserve">. </w:t>
      </w:r>
      <w:r w:rsidR="00BD2338">
        <w:t xml:space="preserve">The standard VAT rate in </w:t>
      </w:r>
      <w:r w:rsidR="00D76E18">
        <w:t>Mauritius</w:t>
      </w:r>
      <w:r w:rsidR="00BD2338">
        <w:t xml:space="preserve"> is 1</w:t>
      </w:r>
      <w:r w:rsidR="00D76E18">
        <w:t>5</w:t>
      </w:r>
      <w:r w:rsidR="00BD2338">
        <w:t xml:space="preserve"> percent</w:t>
      </w:r>
      <w:r w:rsidR="00816E20">
        <w:t xml:space="preserve"> (VAT Tax Act</w:t>
      </w:r>
      <w:r w:rsidR="00841540">
        <w:t xml:space="preserve"> 1998</w:t>
      </w:r>
      <w:r w:rsidR="004B682D">
        <w:t>,</w:t>
      </w:r>
      <w:r w:rsidR="00841540">
        <w:t xml:space="preserve"> as amended by the Fina</w:t>
      </w:r>
      <w:r w:rsidR="00576776">
        <w:t>ncial Act 2017</w:t>
      </w:r>
      <w:r w:rsidR="00816E20">
        <w:t>)</w:t>
      </w:r>
      <w:r w:rsidR="004811E2">
        <w:t xml:space="preserve">, which </w:t>
      </w:r>
      <w:r w:rsidR="004B682D">
        <w:t xml:space="preserve">is </w:t>
      </w:r>
      <w:r w:rsidR="00D76E18">
        <w:t xml:space="preserve">in line with the rate for </w:t>
      </w:r>
      <w:r w:rsidR="004B682D">
        <w:t>personal income</w:t>
      </w:r>
      <w:r w:rsidR="00D76E18">
        <w:t xml:space="preserve"> and business income</w:t>
      </w:r>
      <w:r w:rsidR="004B682D">
        <w:t xml:space="preserve"> tax</w:t>
      </w:r>
      <w:r w:rsidR="00BD2338">
        <w:t xml:space="preserve">. </w:t>
      </w:r>
      <w:r w:rsidR="00576776">
        <w:t>Certain goods and services are zero-rate</w:t>
      </w:r>
      <w:r w:rsidR="00F86761">
        <w:t>d</w:t>
      </w:r>
      <w:r w:rsidR="00576776">
        <w:t xml:space="preserve"> </w:t>
      </w:r>
      <w:r w:rsidR="00F86761">
        <w:t>and other</w:t>
      </w:r>
      <w:r w:rsidR="00334693">
        <w:t>s</w:t>
      </w:r>
      <w:r w:rsidR="00F86761">
        <w:t xml:space="preserve"> are exempt. </w:t>
      </w:r>
      <w:r w:rsidR="00CC574E">
        <w:t>F</w:t>
      </w:r>
      <w:r w:rsidR="00F86761">
        <w:t>irm</w:t>
      </w:r>
      <w:r w:rsidR="00CC574E">
        <w:t>s</w:t>
      </w:r>
      <w:r w:rsidR="00F86761">
        <w:t xml:space="preserve"> </w:t>
      </w:r>
      <w:r w:rsidR="00CC574E">
        <w:t xml:space="preserve">that produce or </w:t>
      </w:r>
      <w:r w:rsidR="00F86761">
        <w:t>sell</w:t>
      </w:r>
      <w:r w:rsidR="00CC574E">
        <w:t xml:space="preserve"> standard-rated or zero-rate</w:t>
      </w:r>
      <w:r w:rsidR="00334693">
        <w:t>d</w:t>
      </w:r>
      <w:r w:rsidR="00CC574E">
        <w:t xml:space="preserve"> items</w:t>
      </w:r>
      <w:r w:rsidR="00903C19">
        <w:t xml:space="preserve"> are </w:t>
      </w:r>
      <w:r w:rsidR="005B123E">
        <w:t>eligible</w:t>
      </w:r>
      <w:r w:rsidR="00903C19">
        <w:t xml:space="preserve"> for </w:t>
      </w:r>
      <w:r w:rsidR="005B123E">
        <w:t>reimbursement</w:t>
      </w:r>
      <w:r w:rsidR="00903C19">
        <w:t xml:space="preserve"> of VAT if they have an excess credit on the VAT paid for inputs in the production process. </w:t>
      </w:r>
      <w:r w:rsidR="00334693">
        <w:t xml:space="preserve">By </w:t>
      </w:r>
      <w:r w:rsidR="00FB5D94">
        <w:t>contrast</w:t>
      </w:r>
      <w:r w:rsidR="00334693">
        <w:t>, f</w:t>
      </w:r>
      <w:r w:rsidR="005B123E">
        <w:t>irms</w:t>
      </w:r>
      <w:r w:rsidR="00334693">
        <w:t xml:space="preserve"> producing or</w:t>
      </w:r>
      <w:r w:rsidR="005B123E">
        <w:t xml:space="preserve"> selling exempt items</w:t>
      </w:r>
      <w:r w:rsidR="00FB5D94">
        <w:t xml:space="preserve"> cannot reclaim the VAT paid for the inputs used if they have an excess credit. </w:t>
      </w:r>
      <w:r w:rsidR="001B3843">
        <w:t xml:space="preserve">However, as opposed to the case of zero-rate items, </w:t>
      </w:r>
      <w:r w:rsidR="003E3723">
        <w:t xml:space="preserve">the final consumer bears the burden </w:t>
      </w:r>
      <w:r w:rsidR="001B3843">
        <w:t>o</w:t>
      </w:r>
      <w:r w:rsidR="003E3723">
        <w:t xml:space="preserve">n the VAT </w:t>
      </w:r>
      <w:r w:rsidR="001B3843">
        <w:t xml:space="preserve">charged </w:t>
      </w:r>
      <w:r w:rsidR="003E3723">
        <w:t>on previous stages of production and distribution on exempt goods and services</w:t>
      </w:r>
      <w:r w:rsidR="00990B8B">
        <w:t>.</w:t>
      </w:r>
      <w:r w:rsidR="003E3723">
        <w:t xml:space="preserve"> </w:t>
      </w:r>
      <w:r w:rsidR="001F4D6C">
        <w:t>In Mauritius</w:t>
      </w:r>
      <w:r w:rsidR="00240C81">
        <w:t>,</w:t>
      </w:r>
      <w:r w:rsidR="001F4D6C">
        <w:t xml:space="preserve"> the main </w:t>
      </w:r>
      <w:r w:rsidR="00E8613F">
        <w:t xml:space="preserve">consumption </w:t>
      </w:r>
      <w:r w:rsidR="006C70A5">
        <w:t>items that are zero-rated are</w:t>
      </w:r>
      <w:r w:rsidR="00E16317">
        <w:t xml:space="preserve"> </w:t>
      </w:r>
      <w:r w:rsidR="005140B2">
        <w:t>rice, wheat flour, e</w:t>
      </w:r>
      <w:r w:rsidR="00922065">
        <w:t>d</w:t>
      </w:r>
      <w:r w:rsidR="005140B2">
        <w:t>ible oils, milk</w:t>
      </w:r>
      <w:r w:rsidR="00F41462">
        <w:t>, cream, cheese</w:t>
      </w:r>
      <w:r w:rsidR="00ED6D4F">
        <w:t>,</w:t>
      </w:r>
      <w:r w:rsidR="005140B2">
        <w:t xml:space="preserve"> sugar</w:t>
      </w:r>
      <w:r w:rsidR="00ED6D4F">
        <w:t>, tea, meat and fish.</w:t>
      </w:r>
      <w:r w:rsidR="006C70A5" w:rsidRPr="009A17D2">
        <w:t xml:space="preserve"> </w:t>
      </w:r>
      <w:r w:rsidR="006C70A5" w:rsidRPr="00944B4A">
        <w:t>Among the exempt items, the</w:t>
      </w:r>
      <w:r w:rsidR="00CC5171">
        <w:t xml:space="preserve"> </w:t>
      </w:r>
      <w:r w:rsidR="00CC5171" w:rsidRPr="00944B4A">
        <w:t xml:space="preserve">most </w:t>
      </w:r>
      <w:r w:rsidR="00CC5171">
        <w:t>common</w:t>
      </w:r>
      <w:r w:rsidR="009A17D2">
        <w:t>ly consumed are</w:t>
      </w:r>
      <w:r w:rsidR="006C70A5" w:rsidRPr="00944B4A">
        <w:t xml:space="preserve"> </w:t>
      </w:r>
      <w:r w:rsidR="00ED6D4F" w:rsidRPr="00944B4A">
        <w:t>bread</w:t>
      </w:r>
      <w:r w:rsidR="00487E25" w:rsidRPr="00944B4A">
        <w:t xml:space="preserve">, cereal flours, </w:t>
      </w:r>
      <w:r w:rsidR="009A17D2">
        <w:t xml:space="preserve">vegetables, fruits, and </w:t>
      </w:r>
      <w:r w:rsidR="00944B4A" w:rsidRPr="00944B4A">
        <w:t>egg</w:t>
      </w:r>
      <w:r w:rsidR="009A17D2">
        <w:t>s</w:t>
      </w:r>
      <w:r w:rsidR="006C70A5">
        <w:t>.</w:t>
      </w:r>
      <w:r w:rsidR="007C4FA5">
        <w:t xml:space="preserve"> </w:t>
      </w:r>
      <w:r w:rsidR="00BD2338" w:rsidRPr="00BD2338">
        <w:t xml:space="preserve">VAT is </w:t>
      </w:r>
      <w:r w:rsidR="007205BF">
        <w:t>re</w:t>
      </w:r>
      <w:r w:rsidR="00BD2338" w:rsidRPr="00BD2338">
        <w:t xml:space="preserve">gressive </w:t>
      </w:r>
      <w:r w:rsidR="00BC5A75">
        <w:t>as its concentration curve</w:t>
      </w:r>
      <w:r w:rsidR="00421B98">
        <w:t xml:space="preserve"> </w:t>
      </w:r>
      <w:r w:rsidR="00BC5A75">
        <w:t>lies above the Lore</w:t>
      </w:r>
      <w:r w:rsidR="0029254C">
        <w:t>n</w:t>
      </w:r>
      <w:r w:rsidR="00BC5A75">
        <w:t xml:space="preserve">z curve for </w:t>
      </w:r>
      <w:r w:rsidR="00C11058">
        <w:t>pre</w:t>
      </w:r>
      <w:r w:rsidR="00BC5A75">
        <w:t>fiscal income</w:t>
      </w:r>
      <w:r w:rsidR="00E46AC2">
        <w:t xml:space="preserve"> (</w:t>
      </w:r>
      <w:r w:rsidR="00E46AC2">
        <w:fldChar w:fldCharType="begin"/>
      </w:r>
      <w:r w:rsidR="00E46AC2">
        <w:instrText xml:space="preserve"> REF _Ref8064707 \h  \* MERGEFORMAT </w:instrText>
      </w:r>
      <w:r w:rsidR="00E46AC2">
        <w:fldChar w:fldCharType="separate"/>
      </w:r>
      <w:r w:rsidR="00C37C80" w:rsidRPr="00C37C80">
        <w:t>Figure 3.5</w:t>
      </w:r>
      <w:r w:rsidR="00E46AC2">
        <w:fldChar w:fldCharType="end"/>
      </w:r>
      <w:r w:rsidR="00E46AC2">
        <w:t xml:space="preserve"> – panel a)</w:t>
      </w:r>
      <w:r w:rsidR="00BD2338" w:rsidRPr="00BD2338">
        <w:t>.</w:t>
      </w:r>
      <w:r w:rsidR="00BD2338">
        <w:t xml:space="preserve"> The bottom</w:t>
      </w:r>
      <w:r w:rsidR="0029254C">
        <w:t xml:space="preserve"> </w:t>
      </w:r>
      <w:r w:rsidR="00BD2338">
        <w:t xml:space="preserve">40 </w:t>
      </w:r>
      <w:r w:rsidR="009633D4">
        <w:t xml:space="preserve">pays </w:t>
      </w:r>
      <w:r w:rsidR="003621C0">
        <w:t xml:space="preserve">about </w:t>
      </w:r>
      <w:r w:rsidR="009633D4">
        <w:t>17</w:t>
      </w:r>
      <w:r w:rsidR="002D5DAC">
        <w:t>.2</w:t>
      </w:r>
      <w:r w:rsidR="009633D4">
        <w:t xml:space="preserve"> percent of</w:t>
      </w:r>
      <w:r w:rsidR="00BD2338">
        <w:t xml:space="preserve"> the VAT burden, compared to a share in </w:t>
      </w:r>
      <w:r w:rsidR="00C11058">
        <w:t>pre</w:t>
      </w:r>
      <w:r w:rsidR="00A55515">
        <w:t>fiscal</w:t>
      </w:r>
      <w:r w:rsidR="00BD2338">
        <w:t xml:space="preserve"> income of 1</w:t>
      </w:r>
      <w:r w:rsidR="00A55515">
        <w:t>5</w:t>
      </w:r>
      <w:r w:rsidR="00BD2338">
        <w:t>.</w:t>
      </w:r>
      <w:r w:rsidR="00A55515">
        <w:t>7</w:t>
      </w:r>
      <w:r w:rsidR="00BD2338">
        <w:t xml:space="preserve"> percent. The average share of VAT in total household </w:t>
      </w:r>
      <w:r w:rsidR="00C11058">
        <w:t>pre</w:t>
      </w:r>
      <w:r w:rsidR="00E52F8F">
        <w:t>fiscal income</w:t>
      </w:r>
      <w:r w:rsidR="00BD2338">
        <w:t xml:space="preserve"> is </w:t>
      </w:r>
      <w:r w:rsidR="0058693B">
        <w:t>32</w:t>
      </w:r>
      <w:r w:rsidR="00BD2338">
        <w:t xml:space="preserve"> percent</w:t>
      </w:r>
      <w:r w:rsidR="000F2F73">
        <w:t xml:space="preserve">, and it ranges between </w:t>
      </w:r>
      <w:r w:rsidR="00241139">
        <w:t>42</w:t>
      </w:r>
      <w:r w:rsidR="00B76536">
        <w:t xml:space="preserve"> percent among </w:t>
      </w:r>
      <w:r w:rsidR="00052A1D">
        <w:t xml:space="preserve">the bottom 20 percent of </w:t>
      </w:r>
      <w:r w:rsidR="00B76536">
        <w:t xml:space="preserve">households </w:t>
      </w:r>
      <w:r w:rsidR="00052A1D">
        <w:t>and</w:t>
      </w:r>
      <w:r w:rsidR="0000067F">
        <w:t xml:space="preserve"> </w:t>
      </w:r>
      <w:r w:rsidR="00241139">
        <w:t>26</w:t>
      </w:r>
      <w:r w:rsidR="00052A1D">
        <w:t xml:space="preserve"> percent among those at the top (20 percent)</w:t>
      </w:r>
      <w:r w:rsidR="00CF324B">
        <w:t xml:space="preserve"> (</w:t>
      </w:r>
      <w:r w:rsidR="00E46AC2">
        <w:fldChar w:fldCharType="begin"/>
      </w:r>
      <w:r w:rsidR="00E46AC2">
        <w:instrText xml:space="preserve"> REF _Ref8064707 \h  \* MERGEFORMAT </w:instrText>
      </w:r>
      <w:r w:rsidR="00E46AC2">
        <w:fldChar w:fldCharType="separate"/>
      </w:r>
      <w:r w:rsidR="00C37C80" w:rsidRPr="00C37C80">
        <w:t>Figure 3.5</w:t>
      </w:r>
      <w:r w:rsidR="00E46AC2">
        <w:fldChar w:fldCharType="end"/>
      </w:r>
      <w:r w:rsidR="00E46AC2">
        <w:t xml:space="preserve"> – panel b</w:t>
      </w:r>
      <w:r w:rsidR="00CF324B">
        <w:t>)</w:t>
      </w:r>
      <w:r w:rsidR="00052A1D">
        <w:t>.</w:t>
      </w:r>
      <w:r w:rsidR="00EB6806">
        <w:t xml:space="preserve"> </w:t>
      </w:r>
      <w:r w:rsidR="00056803">
        <w:t>This is not surprising s</w:t>
      </w:r>
      <w:r w:rsidR="00EB6806">
        <w:t xml:space="preserve">ince </w:t>
      </w:r>
      <w:r w:rsidR="00917C43" w:rsidRPr="0088236B">
        <w:t xml:space="preserve">lower-income households </w:t>
      </w:r>
      <w:r w:rsidR="00EB6806" w:rsidRPr="0088236B">
        <w:t xml:space="preserve">typically </w:t>
      </w:r>
      <w:r w:rsidR="00917C43" w:rsidRPr="0088236B">
        <w:t xml:space="preserve">spend a </w:t>
      </w:r>
      <w:r w:rsidR="00EB6806" w:rsidRPr="0088236B">
        <w:t>larger</w:t>
      </w:r>
      <w:r w:rsidR="00917C43" w:rsidRPr="0088236B">
        <w:t xml:space="preserve"> share of their income on consumption </w:t>
      </w:r>
      <w:r w:rsidR="00EB6806" w:rsidRPr="0088236B">
        <w:t>relative to</w:t>
      </w:r>
      <w:r w:rsidR="00917C43" w:rsidRPr="0088236B">
        <w:t xml:space="preserve"> higher-income households</w:t>
      </w:r>
      <w:r w:rsidR="00056803" w:rsidRPr="0088236B">
        <w:t>. Therefore,</w:t>
      </w:r>
      <w:r w:rsidR="00917C43" w:rsidRPr="0088236B">
        <w:t xml:space="preserve"> the tax burden as a share of income is highest for low-income households and falls as household income rises.</w:t>
      </w:r>
      <w:r w:rsidR="0088236B">
        <w:t xml:space="preserve"> Often</w:t>
      </w:r>
      <w:r w:rsidR="00C61103">
        <w:t xml:space="preserve"> times, e</w:t>
      </w:r>
      <w:r w:rsidR="00147AEC" w:rsidRPr="0088236B">
        <w:t>xempti</w:t>
      </w:r>
      <w:r w:rsidR="006E064F">
        <w:t>ng</w:t>
      </w:r>
      <w:r w:rsidR="00C61103">
        <w:t xml:space="preserve"> and</w:t>
      </w:r>
      <w:r w:rsidR="00147AEC" w:rsidRPr="0088236B">
        <w:t xml:space="preserve"> zero rating</w:t>
      </w:r>
      <w:r w:rsidR="00C61103">
        <w:t xml:space="preserve"> </w:t>
      </w:r>
      <w:r w:rsidR="00147AEC" w:rsidRPr="0088236B">
        <w:t xml:space="preserve">certain essential consumption goods </w:t>
      </w:r>
      <w:r w:rsidR="006E064F">
        <w:t xml:space="preserve">that </w:t>
      </w:r>
      <w:r w:rsidR="007A7800" w:rsidRPr="00C77B78">
        <w:t xml:space="preserve">represent a larger </w:t>
      </w:r>
      <w:r w:rsidR="007A7800" w:rsidRPr="007A7800">
        <w:t>share of the spending for lower-income households than for higher-income households</w:t>
      </w:r>
      <w:r w:rsidR="007A7800" w:rsidRPr="00C77B78">
        <w:t xml:space="preserve"> is used as a way to </w:t>
      </w:r>
      <w:r w:rsidR="00147AEC" w:rsidRPr="0088236B">
        <w:t xml:space="preserve">reduce the regressivity of VAT. </w:t>
      </w:r>
      <w:r w:rsidR="003A4704">
        <w:t>However, such</w:t>
      </w:r>
      <w:r w:rsidR="00147AEC" w:rsidRPr="0088236B">
        <w:t xml:space="preserve"> preferential treatment to </w:t>
      </w:r>
      <w:r w:rsidR="003A4704">
        <w:t xml:space="preserve">certain </w:t>
      </w:r>
      <w:r w:rsidR="00DD560F" w:rsidRPr="0088236B">
        <w:t>goods</w:t>
      </w:r>
      <w:r w:rsidR="003A4704">
        <w:t xml:space="preserve"> and/or services is not </w:t>
      </w:r>
      <w:r w:rsidR="00147AEC" w:rsidRPr="0088236B">
        <w:t xml:space="preserve">an efficient way to make </w:t>
      </w:r>
      <w:r w:rsidR="00A467D9">
        <w:t>VAT</w:t>
      </w:r>
      <w:r w:rsidR="00147AEC" w:rsidRPr="0088236B">
        <w:t xml:space="preserve"> less regressive because </w:t>
      </w:r>
      <w:r w:rsidR="00A467D9">
        <w:t xml:space="preserve">affluent </w:t>
      </w:r>
      <w:r w:rsidR="00147AEC" w:rsidRPr="0088236B">
        <w:t>households consume more of th</w:t>
      </w:r>
      <w:r w:rsidR="00283E3D">
        <w:t>ose</w:t>
      </w:r>
      <w:r w:rsidR="00147AEC" w:rsidRPr="0088236B">
        <w:t xml:space="preserve"> goods than </w:t>
      </w:r>
      <w:r w:rsidR="00283E3D">
        <w:t>poor</w:t>
      </w:r>
      <w:r w:rsidR="00147AEC" w:rsidRPr="0088236B">
        <w:t xml:space="preserve"> households do. </w:t>
      </w:r>
      <w:r w:rsidR="00283E3D">
        <w:t>Toder et al (2012) show that a</w:t>
      </w:r>
      <w:r w:rsidR="00147AEC" w:rsidRPr="0088236B">
        <w:t xml:space="preserve"> better approach </w:t>
      </w:r>
      <w:r w:rsidR="00283E3D">
        <w:t>to r</w:t>
      </w:r>
      <w:r w:rsidR="001153F4">
        <w:t xml:space="preserve">educe the regressivity of VAT </w:t>
      </w:r>
      <w:r w:rsidR="00096E8B">
        <w:t>would be</w:t>
      </w:r>
      <w:r w:rsidR="00147AEC" w:rsidRPr="0088236B">
        <w:t xml:space="preserve"> to provide a limited cash payment</w:t>
      </w:r>
      <w:r w:rsidR="001153F4">
        <w:t xml:space="preserve">, </w:t>
      </w:r>
      <w:r w:rsidR="005F5E3B">
        <w:t xml:space="preserve">that is, </w:t>
      </w:r>
      <w:r w:rsidR="00147AEC" w:rsidRPr="0088236B">
        <w:t xml:space="preserve">a </w:t>
      </w:r>
      <w:r w:rsidR="00935F94">
        <w:t>refundable tax credit</w:t>
      </w:r>
      <w:r w:rsidR="00311260">
        <w:t xml:space="preserve"> or </w:t>
      </w:r>
      <w:r w:rsidR="00AE5703" w:rsidRPr="0088236B">
        <w:t>rebate</w:t>
      </w:r>
      <w:r w:rsidR="001153F4">
        <w:t>, so that</w:t>
      </w:r>
      <w:r w:rsidR="00147AEC" w:rsidRPr="0088236B">
        <w:t xml:space="preserve"> everyone receives the same benefit, </w:t>
      </w:r>
      <w:r w:rsidR="001153F4">
        <w:t>yet this</w:t>
      </w:r>
      <w:r w:rsidR="00147AEC" w:rsidRPr="0088236B">
        <w:t xml:space="preserve"> translates into a larger share of </w:t>
      </w:r>
      <w:r w:rsidR="00C77B78">
        <w:t xml:space="preserve">income among </w:t>
      </w:r>
      <w:r w:rsidR="00147AEC" w:rsidRPr="0088236B">
        <w:t>low-income households.</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ED6E3A" w:rsidRPr="001E6C40" w14:paraId="3C67290A" w14:textId="77777777" w:rsidTr="009379E6">
        <w:trPr>
          <w:cantSplit/>
        </w:trPr>
        <w:tc>
          <w:tcPr>
            <w:tcW w:w="9360" w:type="dxa"/>
            <w:gridSpan w:val="2"/>
            <w:hideMark/>
          </w:tcPr>
          <w:p w14:paraId="56CE1E24" w14:textId="5BC7902B" w:rsidR="00ED6E3A" w:rsidRPr="001E6C40" w:rsidRDefault="00ED6E3A" w:rsidP="009379E6">
            <w:pPr>
              <w:pStyle w:val="Caption2"/>
              <w:spacing w:line="256" w:lineRule="auto"/>
              <w:jc w:val="left"/>
              <w:rPr>
                <w:b/>
                <w:i w:val="0"/>
                <w:sz w:val="18"/>
                <w:szCs w:val="18"/>
                <w:lang w:eastAsia="en-GB"/>
              </w:rPr>
            </w:pPr>
            <w:bookmarkStart w:id="70" w:name="_Ref8064707"/>
            <w:bookmarkStart w:id="71" w:name="_Toc11255068"/>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5</w:t>
            </w:r>
            <w:r w:rsidR="00275542">
              <w:rPr>
                <w:b/>
                <w:i w:val="0"/>
                <w:sz w:val="18"/>
                <w:szCs w:val="18"/>
                <w:lang w:eastAsia="en-GB"/>
              </w:rPr>
              <w:fldChar w:fldCharType="end"/>
            </w:r>
            <w:bookmarkEnd w:id="70"/>
            <w:r w:rsidRPr="001E6C40">
              <w:rPr>
                <w:b/>
                <w:i w:val="0"/>
                <w:sz w:val="18"/>
                <w:szCs w:val="18"/>
                <w:lang w:eastAsia="en-GB"/>
              </w:rPr>
              <w:t xml:space="preserve">. </w:t>
            </w:r>
            <w:r w:rsidRPr="0070773C">
              <w:rPr>
                <w:b/>
                <w:i w:val="0"/>
                <w:sz w:val="18"/>
                <w:szCs w:val="18"/>
                <w:lang w:eastAsia="en-GB"/>
              </w:rPr>
              <w:t xml:space="preserve">Lorenz and concentration curves </w:t>
            </w:r>
            <w:r>
              <w:rPr>
                <w:b/>
                <w:i w:val="0"/>
                <w:sz w:val="18"/>
                <w:szCs w:val="18"/>
                <w:lang w:eastAsia="en-GB"/>
              </w:rPr>
              <w:t>for</w:t>
            </w:r>
            <w:r w:rsidRPr="0070773C">
              <w:rPr>
                <w:b/>
                <w:i w:val="0"/>
                <w:sz w:val="18"/>
                <w:szCs w:val="18"/>
                <w:lang w:eastAsia="en-GB"/>
              </w:rPr>
              <w:t xml:space="preserve"> per capita market income</w:t>
            </w:r>
            <w:r w:rsidR="0047338F" w:rsidRPr="0070773C">
              <w:rPr>
                <w:b/>
                <w:i w:val="0"/>
                <w:sz w:val="18"/>
                <w:szCs w:val="18"/>
                <w:lang w:eastAsia="en-GB"/>
              </w:rPr>
              <w:t xml:space="preserve"> </w:t>
            </w:r>
            <w:r w:rsidRPr="0070773C">
              <w:rPr>
                <w:b/>
                <w:i w:val="0"/>
                <w:sz w:val="18"/>
                <w:szCs w:val="18"/>
                <w:lang w:eastAsia="en-GB"/>
              </w:rPr>
              <w:t xml:space="preserve">and </w:t>
            </w:r>
            <w:r w:rsidR="005E71C5">
              <w:rPr>
                <w:b/>
                <w:i w:val="0"/>
                <w:sz w:val="18"/>
                <w:szCs w:val="18"/>
                <w:lang w:eastAsia="en-GB"/>
              </w:rPr>
              <w:t>VAT</w:t>
            </w:r>
            <w:r w:rsidRPr="0070773C">
              <w:rPr>
                <w:b/>
                <w:i w:val="0"/>
                <w:sz w:val="18"/>
                <w:szCs w:val="18"/>
                <w:lang w:eastAsia="en-GB"/>
              </w:rPr>
              <w:t xml:space="preserve"> and share </w:t>
            </w:r>
            <w:r>
              <w:rPr>
                <w:b/>
                <w:i w:val="0"/>
                <w:sz w:val="18"/>
                <w:szCs w:val="18"/>
                <w:lang w:eastAsia="en-GB"/>
              </w:rPr>
              <w:t>of</w:t>
            </w:r>
            <w:r w:rsidR="001C17FD">
              <w:rPr>
                <w:b/>
                <w:i w:val="0"/>
                <w:sz w:val="18"/>
                <w:szCs w:val="18"/>
                <w:lang w:eastAsia="en-GB"/>
              </w:rPr>
              <w:t xml:space="preserve"> </w:t>
            </w:r>
            <w:r w:rsidR="005E71C5">
              <w:rPr>
                <w:b/>
                <w:i w:val="0"/>
                <w:sz w:val="18"/>
                <w:szCs w:val="18"/>
                <w:lang w:eastAsia="en-GB"/>
              </w:rPr>
              <w:t>VAT</w:t>
            </w:r>
            <w:r>
              <w:rPr>
                <w:b/>
                <w:i w:val="0"/>
                <w:sz w:val="18"/>
                <w:szCs w:val="18"/>
                <w:lang w:eastAsia="en-GB"/>
              </w:rPr>
              <w:t xml:space="preserve"> </w:t>
            </w:r>
            <w:r w:rsidRPr="0070773C">
              <w:rPr>
                <w:b/>
                <w:i w:val="0"/>
                <w:sz w:val="18"/>
                <w:szCs w:val="18"/>
                <w:lang w:eastAsia="en-GB"/>
              </w:rPr>
              <w:t xml:space="preserve">in </w:t>
            </w:r>
            <w:r>
              <w:rPr>
                <w:b/>
                <w:i w:val="0"/>
                <w:sz w:val="18"/>
                <w:szCs w:val="18"/>
                <w:lang w:eastAsia="en-GB"/>
              </w:rPr>
              <w:t xml:space="preserve">total </w:t>
            </w:r>
            <w:r w:rsidRPr="0070773C">
              <w:rPr>
                <w:b/>
                <w:i w:val="0"/>
                <w:sz w:val="18"/>
                <w:szCs w:val="18"/>
                <w:lang w:eastAsia="en-GB"/>
              </w:rPr>
              <w:t>market income by quintile.</w:t>
            </w:r>
            <w:bookmarkEnd w:id="71"/>
          </w:p>
        </w:tc>
      </w:tr>
      <w:tr w:rsidR="00ED6E3A" w14:paraId="401EC758" w14:textId="77777777" w:rsidTr="009379E6">
        <w:trPr>
          <w:cantSplit/>
        </w:trPr>
        <w:tc>
          <w:tcPr>
            <w:tcW w:w="4680" w:type="dxa"/>
            <w:hideMark/>
          </w:tcPr>
          <w:p w14:paraId="5C9E35EE" w14:textId="60E06B4B" w:rsidR="00ED6E3A" w:rsidRDefault="00ED6E3A" w:rsidP="009379E6">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 xml:space="preserve">Lorenz and concentration curve </w:t>
            </w:r>
            <w:r>
              <w:rPr>
                <w:rFonts w:cs="Times New Roman"/>
                <w:b/>
                <w:sz w:val="18"/>
                <w:szCs w:val="18"/>
                <w:lang w:eastAsia="en-GB"/>
              </w:rPr>
              <w:t>for</w:t>
            </w:r>
            <w:r w:rsidRPr="00D60C8A">
              <w:rPr>
                <w:rFonts w:cs="Times New Roman"/>
                <w:b/>
                <w:sz w:val="18"/>
                <w:szCs w:val="18"/>
                <w:lang w:eastAsia="en-GB"/>
              </w:rPr>
              <w:t xml:space="preserve"> </w:t>
            </w:r>
            <w:r w:rsidR="005E71C5">
              <w:rPr>
                <w:rFonts w:cs="Times New Roman"/>
                <w:b/>
                <w:sz w:val="18"/>
                <w:szCs w:val="18"/>
                <w:lang w:eastAsia="en-GB"/>
              </w:rPr>
              <w:t>VAT</w:t>
            </w:r>
            <w:r w:rsidRPr="00D60C8A">
              <w:rPr>
                <w:rFonts w:cs="Times New Roman"/>
                <w:b/>
                <w:sz w:val="18"/>
                <w:szCs w:val="18"/>
                <w:lang w:eastAsia="en-GB"/>
              </w:rPr>
              <w:t xml:space="preserve"> and market income</w:t>
            </w:r>
          </w:p>
        </w:tc>
        <w:tc>
          <w:tcPr>
            <w:tcW w:w="4680" w:type="dxa"/>
            <w:hideMark/>
          </w:tcPr>
          <w:p w14:paraId="3C87C85F" w14:textId="0C474239" w:rsidR="00ED6E3A" w:rsidRDefault="00ED6E3A" w:rsidP="009379E6">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sidR="005E71C5">
              <w:rPr>
                <w:rFonts w:cs="Times New Roman"/>
                <w:b/>
                <w:sz w:val="18"/>
                <w:szCs w:val="18"/>
                <w:lang w:eastAsia="en-GB"/>
              </w:rPr>
              <w:t>VAT</w:t>
            </w:r>
            <w:r w:rsidRPr="00F2330A">
              <w:rPr>
                <w:rFonts w:cs="Times New Roman"/>
                <w:b/>
                <w:sz w:val="18"/>
                <w:szCs w:val="18"/>
                <w:lang w:eastAsia="en-GB"/>
              </w:rPr>
              <w:t xml:space="preserve"> in </w:t>
            </w:r>
            <w:r w:rsidR="007F2BD3">
              <w:rPr>
                <w:rFonts w:cs="Times New Roman"/>
                <w:b/>
                <w:sz w:val="18"/>
                <w:szCs w:val="18"/>
                <w:lang w:eastAsia="en-GB"/>
              </w:rPr>
              <w:t>household</w:t>
            </w:r>
            <w:r w:rsidR="007F2BD3" w:rsidRPr="00F2330A">
              <w:rPr>
                <w:rFonts w:cs="Times New Roman"/>
                <w:b/>
                <w:sz w:val="18"/>
                <w:szCs w:val="18"/>
                <w:lang w:eastAsia="en-GB"/>
              </w:rPr>
              <w:t xml:space="preserve"> </w:t>
            </w:r>
            <w:r>
              <w:rPr>
                <w:rFonts w:cs="Times New Roman"/>
                <w:b/>
                <w:sz w:val="18"/>
                <w:szCs w:val="18"/>
                <w:lang w:eastAsia="en-GB"/>
              </w:rPr>
              <w:t>market income</w:t>
            </w:r>
            <w:r w:rsidRPr="00F2330A">
              <w:rPr>
                <w:rFonts w:cs="Times New Roman"/>
                <w:b/>
                <w:sz w:val="18"/>
                <w:szCs w:val="18"/>
                <w:lang w:eastAsia="en-GB"/>
              </w:rPr>
              <w:t xml:space="preserve"> by quintile</w:t>
            </w:r>
          </w:p>
        </w:tc>
      </w:tr>
      <w:tr w:rsidR="00ED6E3A" w14:paraId="4370DBC4" w14:textId="77777777" w:rsidTr="009379E6">
        <w:trPr>
          <w:cantSplit/>
        </w:trPr>
        <w:tc>
          <w:tcPr>
            <w:tcW w:w="4680" w:type="dxa"/>
            <w:tcMar>
              <w:top w:w="0" w:type="dxa"/>
              <w:left w:w="108" w:type="dxa"/>
              <w:bottom w:w="0" w:type="dxa"/>
              <w:right w:w="108" w:type="dxa"/>
            </w:tcMar>
            <w:hideMark/>
          </w:tcPr>
          <w:p w14:paraId="77D244D8" w14:textId="0D15727A" w:rsidR="00ED6E3A" w:rsidRDefault="0049726B" w:rsidP="009379E6">
            <w:pPr>
              <w:spacing w:after="120"/>
              <w:rPr>
                <w:rFonts w:cs="Times New Roman"/>
                <w:sz w:val="16"/>
                <w:szCs w:val="16"/>
              </w:rPr>
            </w:pPr>
            <w:r>
              <w:rPr>
                <w:rFonts w:cs="Times New Roman"/>
                <w:noProof/>
                <w:sz w:val="16"/>
                <w:szCs w:val="16"/>
              </w:rPr>
              <w:drawing>
                <wp:inline distT="0" distB="0" distL="0" distR="0" wp14:anchorId="0AD57C34" wp14:editId="3849B779">
                  <wp:extent cx="2971800" cy="2066544"/>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Concentration_VATax.png"/>
                          <pic:cNvPicPr/>
                        </pic:nvPicPr>
                        <pic:blipFill rotWithShape="1">
                          <a:blip r:embed="rId16" cstate="print">
                            <a:extLst>
                              <a:ext uri="{28A0092B-C50C-407E-A947-70E740481C1C}">
                                <a14:useLocalDpi xmlns:a14="http://schemas.microsoft.com/office/drawing/2010/main" val="0"/>
                              </a:ext>
                            </a:extLst>
                          </a:blip>
                          <a:srcRect l="12904" r="6452"/>
                          <a:stretch/>
                        </pic:blipFill>
                        <pic:spPr bwMode="auto">
                          <a:xfrm>
                            <a:off x="0" y="0"/>
                            <a:ext cx="2971800" cy="206654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69FCB770" w14:textId="01A1C38F" w:rsidR="00AE3573" w:rsidRDefault="00555443" w:rsidP="009379E6">
            <w:pPr>
              <w:spacing w:after="120"/>
              <w:rPr>
                <w:rFonts w:cs="Times New Roman"/>
                <w:sz w:val="16"/>
                <w:szCs w:val="16"/>
              </w:rPr>
            </w:pPr>
            <w:r>
              <w:rPr>
                <w:rFonts w:cs="Times New Roman"/>
                <w:noProof/>
                <w:sz w:val="16"/>
                <w:szCs w:val="16"/>
              </w:rPr>
              <w:drawing>
                <wp:inline distT="0" distB="0" distL="0" distR="0" wp14:anchorId="35D7E95E" wp14:editId="2739B34D">
                  <wp:extent cx="2834640" cy="1889760"/>
                  <wp:effectExtent l="0" t="0" r="3810" b="0"/>
                  <wp:docPr id="45" name="Picture 4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_3.5.B._Share_of_VAT_in_total_market_income_plus_pension_by_quintile.png"/>
                          <pic:cNvPicPr/>
                        </pic:nvPicPr>
                        <pic:blipFill>
                          <a:blip r:embed="rId17">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p w14:paraId="58A8166B" w14:textId="7BE0612B" w:rsidR="00ED6E3A" w:rsidRDefault="00ED6E3A" w:rsidP="009379E6">
            <w:pPr>
              <w:spacing w:after="120"/>
              <w:rPr>
                <w:rFonts w:cs="Times New Roman"/>
                <w:sz w:val="16"/>
                <w:szCs w:val="16"/>
              </w:rPr>
            </w:pPr>
          </w:p>
        </w:tc>
      </w:tr>
      <w:tr w:rsidR="00ED6E3A" w14:paraId="3B4521C6" w14:textId="77777777" w:rsidTr="009379E6">
        <w:trPr>
          <w:cantSplit/>
        </w:trPr>
        <w:tc>
          <w:tcPr>
            <w:tcW w:w="9360" w:type="dxa"/>
            <w:gridSpan w:val="2"/>
            <w:tcMar>
              <w:top w:w="0" w:type="dxa"/>
              <w:left w:w="108" w:type="dxa"/>
              <w:bottom w:w="0" w:type="dxa"/>
              <w:right w:w="108" w:type="dxa"/>
            </w:tcMar>
            <w:hideMark/>
          </w:tcPr>
          <w:p w14:paraId="5BABC053" w14:textId="77777777" w:rsidR="00ED6E3A" w:rsidRDefault="00ED6E3A" w:rsidP="009379E6">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66FE0CFD" w14:textId="6AC807AC" w:rsidR="00ED6E3A" w:rsidRPr="00767FF8" w:rsidRDefault="00ED6E3A" w:rsidP="009379E6">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C574B8">
              <w:rPr>
                <w:rFonts w:cs="Times New Roman"/>
                <w:sz w:val="18"/>
                <w:szCs w:val="18"/>
              </w:rPr>
              <w:t xml:space="preserve">(1) </w:t>
            </w:r>
            <w:r w:rsidR="00C574B8" w:rsidRPr="00767FF8">
              <w:rPr>
                <w:rFonts w:cs="Times New Roman"/>
                <w:sz w:val="18"/>
                <w:szCs w:val="18"/>
              </w:rPr>
              <w:t>Market inco</w:t>
            </w:r>
            <w:r w:rsidR="00C574B8" w:rsidRPr="00793B42">
              <w:rPr>
                <w:rFonts w:cs="Times New Roman"/>
                <w:sz w:val="18"/>
                <w:szCs w:val="18"/>
              </w:rPr>
              <w:t xml:space="preserve">me </w:t>
            </w:r>
            <w:r w:rsidR="00C574B8">
              <w:rPr>
                <w:rFonts w:cs="Times New Roman"/>
                <w:sz w:val="18"/>
                <w:szCs w:val="18"/>
              </w:rPr>
              <w:t xml:space="preserve">refers to market income </w:t>
            </w:r>
            <w:r w:rsidR="00C574B8" w:rsidRPr="00793B42">
              <w:rPr>
                <w:rFonts w:cs="Times New Roman"/>
                <w:sz w:val="18"/>
                <w:szCs w:val="18"/>
              </w:rPr>
              <w:t xml:space="preserve">plus pensions </w:t>
            </w:r>
            <w:r w:rsidR="00C574B8">
              <w:rPr>
                <w:rFonts w:cs="Times New Roman"/>
                <w:sz w:val="18"/>
                <w:szCs w:val="18"/>
              </w:rPr>
              <w:t xml:space="preserve">and </w:t>
            </w:r>
            <w:r w:rsidR="00C574B8" w:rsidRPr="00793B42">
              <w:rPr>
                <w:rFonts w:cs="Times New Roman"/>
                <w:sz w:val="18"/>
                <w:szCs w:val="18"/>
              </w:rPr>
              <w:t>comprises pretax wages, salaries, income earned from capital assets (rent, interest, or dividends), contributory pensions, and private transfers.</w:t>
            </w:r>
            <w:r w:rsidR="00C574B8">
              <w:rPr>
                <w:rFonts w:cs="Times New Roman"/>
                <w:sz w:val="18"/>
                <w:szCs w:val="18"/>
              </w:rPr>
              <w:t xml:space="preserve"> (2) </w:t>
            </w:r>
            <w:r w:rsidR="00C574B8" w:rsidRPr="007D5AD4">
              <w:rPr>
                <w:rFonts w:cs="Times New Roman"/>
                <w:sz w:val="18"/>
                <w:szCs w:val="18"/>
              </w:rPr>
              <w:t>95</w:t>
            </w:r>
            <w:r w:rsidR="00C574B8">
              <w:rPr>
                <w:rFonts w:cs="Times New Roman"/>
                <w:sz w:val="18"/>
                <w:szCs w:val="18"/>
              </w:rPr>
              <w:t xml:space="preserve"> </w:t>
            </w:r>
            <w:r w:rsidR="00C574B8" w:rsidRPr="007D5AD4">
              <w:rPr>
                <w:rFonts w:cs="Times New Roman"/>
                <w:sz w:val="18"/>
                <w:szCs w:val="18"/>
              </w:rPr>
              <w:t xml:space="preserve">percent confidence intervals </w:t>
            </w:r>
            <w:r w:rsidR="00C574B8">
              <w:rPr>
                <w:rFonts w:cs="Times New Roman"/>
                <w:sz w:val="18"/>
                <w:szCs w:val="18"/>
              </w:rPr>
              <w:t>displayed</w:t>
            </w:r>
            <w:r w:rsidR="00C574B8" w:rsidRPr="007D5AD4">
              <w:rPr>
                <w:rFonts w:cs="Times New Roman"/>
                <w:sz w:val="18"/>
                <w:szCs w:val="18"/>
              </w:rPr>
              <w:t xml:space="preserve"> in panel (b)</w:t>
            </w:r>
            <w:r w:rsidR="00C574B8">
              <w:rPr>
                <w:rFonts w:cs="Times New Roman"/>
                <w:sz w:val="18"/>
                <w:szCs w:val="18"/>
              </w:rPr>
              <w:t>.</w:t>
            </w:r>
          </w:p>
        </w:tc>
      </w:tr>
    </w:tbl>
    <w:p w14:paraId="0D782FCA" w14:textId="4D3D6170" w:rsidR="00ED6E3A" w:rsidRDefault="00ED6E3A" w:rsidP="002E6831"/>
    <w:p w14:paraId="46CFE06D" w14:textId="7FC7D064" w:rsidR="001254CC" w:rsidRDefault="000E738D" w:rsidP="000E738D">
      <w:pPr>
        <w:pStyle w:val="Heading3"/>
      </w:pPr>
      <w:bookmarkStart w:id="72" w:name="_Toc8812802"/>
      <w:bookmarkStart w:id="73" w:name="_Toc10824875"/>
      <w:bookmarkStart w:id="74" w:name="_Toc10824947"/>
      <w:r>
        <w:t>Excise Taxes</w:t>
      </w:r>
      <w:bookmarkEnd w:id="72"/>
      <w:bookmarkEnd w:id="73"/>
      <w:bookmarkEnd w:id="74"/>
    </w:p>
    <w:p w14:paraId="55584032" w14:textId="75833993" w:rsidR="00521DE0" w:rsidRDefault="0057240E" w:rsidP="00D13421">
      <w:pPr>
        <w:shd w:val="clear" w:color="auto" w:fill="FFFFFF"/>
        <w:spacing w:before="15" w:after="15" w:line="270" w:lineRule="atLeast"/>
      </w:pPr>
      <w:r w:rsidRPr="0002057E">
        <w:rPr>
          <w:b/>
        </w:rPr>
        <w:t>Excise</w:t>
      </w:r>
      <w:r w:rsidR="00E53C67">
        <w:rPr>
          <w:b/>
        </w:rPr>
        <w:t>s</w:t>
      </w:r>
      <w:r w:rsidR="00CC6E36">
        <w:rPr>
          <w:b/>
        </w:rPr>
        <w:t xml:space="preserve"> </w:t>
      </w:r>
      <w:r w:rsidR="00D5235B">
        <w:rPr>
          <w:b/>
        </w:rPr>
        <w:t xml:space="preserve">on </w:t>
      </w:r>
      <w:r w:rsidR="00DC0A7B">
        <w:rPr>
          <w:b/>
        </w:rPr>
        <w:t>fuel, alcohol and tobacco products</w:t>
      </w:r>
      <w:r w:rsidR="00CC6E36">
        <w:rPr>
          <w:b/>
        </w:rPr>
        <w:t xml:space="preserve"> contribute about 80 percent of</w:t>
      </w:r>
      <w:r w:rsidR="00E53C67">
        <w:rPr>
          <w:b/>
        </w:rPr>
        <w:t xml:space="preserve"> </w:t>
      </w:r>
      <w:r w:rsidR="00DC0A7B">
        <w:rPr>
          <w:b/>
        </w:rPr>
        <w:t xml:space="preserve">all </w:t>
      </w:r>
      <w:r w:rsidR="00E53C67">
        <w:rPr>
          <w:b/>
        </w:rPr>
        <w:t xml:space="preserve">revenues from this </w:t>
      </w:r>
      <w:r w:rsidR="00DC0A7B">
        <w:rPr>
          <w:b/>
        </w:rPr>
        <w:t>tax</w:t>
      </w:r>
      <w:r w:rsidR="00E53C67">
        <w:rPr>
          <w:b/>
        </w:rPr>
        <w:t>.</w:t>
      </w:r>
      <w:r w:rsidR="0051261E">
        <w:rPr>
          <w:b/>
        </w:rPr>
        <w:t xml:space="preserve"> </w:t>
      </w:r>
      <w:r w:rsidR="00E53C67" w:rsidRPr="00E53C67">
        <w:t xml:space="preserve">Excises </w:t>
      </w:r>
      <w:r w:rsidR="00AC68D5" w:rsidRPr="00E53C67">
        <w:t>are a type of indirect tax levied per u</w:t>
      </w:r>
      <w:r w:rsidR="0099693C" w:rsidRPr="00E53C67">
        <w:t>n</w:t>
      </w:r>
      <w:r w:rsidR="00AC68D5" w:rsidRPr="00E53C67">
        <w:t>it of manufactured</w:t>
      </w:r>
      <w:r w:rsidR="0099693C" w:rsidRPr="00E53C67">
        <w:t xml:space="preserve"> and specific imported goods.</w:t>
      </w:r>
      <w:r w:rsidR="0099693C">
        <w:t xml:space="preserve"> According to data from the Mauritius Revenue Authority, </w:t>
      </w:r>
      <w:r w:rsidR="00D5434F">
        <w:t xml:space="preserve">excise duties on </w:t>
      </w:r>
      <w:r w:rsidR="001F197E">
        <w:t>alcoholic</w:t>
      </w:r>
      <w:r w:rsidR="00D5434F">
        <w:t xml:space="preserve"> beverages</w:t>
      </w:r>
      <w:r w:rsidR="001F197E">
        <w:t xml:space="preserve"> (28.4 percent)</w:t>
      </w:r>
      <w:r w:rsidR="00D5434F">
        <w:t xml:space="preserve">, tobacco products </w:t>
      </w:r>
      <w:r w:rsidR="001F197E">
        <w:t xml:space="preserve">(27.4 percent), </w:t>
      </w:r>
      <w:r w:rsidR="00D5434F">
        <w:t xml:space="preserve">and petroleum products </w:t>
      </w:r>
      <w:r w:rsidR="001F197E">
        <w:t>(21.2 percent)</w:t>
      </w:r>
      <w:r w:rsidR="00D25AA3">
        <w:t xml:space="preserve"> </w:t>
      </w:r>
      <w:r w:rsidR="00D5434F">
        <w:t xml:space="preserve">account for </w:t>
      </w:r>
      <w:r w:rsidR="00D25AA3">
        <w:t>almost</w:t>
      </w:r>
      <w:r w:rsidR="00D5434F">
        <w:t xml:space="preserve"> 80 percent of </w:t>
      </w:r>
      <w:r w:rsidR="00444476">
        <w:t>revenues from</w:t>
      </w:r>
      <w:r w:rsidR="00D5434F">
        <w:t xml:space="preserve"> excise</w:t>
      </w:r>
      <w:r w:rsidR="00444476">
        <w:t xml:space="preserve"> taxes</w:t>
      </w:r>
      <w:r w:rsidR="00D5434F">
        <w:t xml:space="preserve"> in fiscal year 2016/17</w:t>
      </w:r>
      <w:r w:rsidR="00F91331">
        <w:t xml:space="preserve"> as well as 2017/18</w:t>
      </w:r>
      <w:r w:rsidR="00685169">
        <w:t xml:space="preserve"> (</w:t>
      </w:r>
      <w:r w:rsidR="00685169">
        <w:fldChar w:fldCharType="begin"/>
      </w:r>
      <w:r w:rsidR="00685169">
        <w:instrText xml:space="preserve"> REF _Ref8144227 \h  \* MERGEFORMAT </w:instrText>
      </w:r>
      <w:r w:rsidR="00685169">
        <w:fldChar w:fldCharType="separate"/>
      </w:r>
      <w:r w:rsidR="00C37C80" w:rsidRPr="00C37C80">
        <w:t>Table 3.4</w:t>
      </w:r>
      <w:r w:rsidR="00685169">
        <w:fldChar w:fldCharType="end"/>
      </w:r>
      <w:r w:rsidR="00685169">
        <w:t>)</w:t>
      </w:r>
      <w:r w:rsidR="00D5434F">
        <w:t>.</w:t>
      </w:r>
      <w:r w:rsidR="00D25AA3">
        <w:t xml:space="preserve"> </w:t>
      </w:r>
      <w:r w:rsidR="001254CC">
        <w:t>The analysis considers excise tax</w:t>
      </w:r>
      <w:r w:rsidR="001254CC" w:rsidRPr="00B96C33">
        <w:t>es on beer, wine and spirits, ciga</w:t>
      </w:r>
      <w:r w:rsidR="001254CC">
        <w:t>rettes</w:t>
      </w:r>
      <w:r w:rsidR="00BC3EA5">
        <w:t xml:space="preserve"> and cigars</w:t>
      </w:r>
      <w:r w:rsidR="001254CC">
        <w:t xml:space="preserve">, and </w:t>
      </w:r>
      <w:r w:rsidR="008C79C4">
        <w:t>fuel</w:t>
      </w:r>
      <w:r w:rsidR="00997D6A">
        <w:t xml:space="preserve"> (</w:t>
      </w:r>
      <w:r w:rsidR="00B96C33">
        <w:t xml:space="preserve">including </w:t>
      </w:r>
      <w:r w:rsidR="00E106A7" w:rsidRPr="00E106A7">
        <w:t xml:space="preserve">liquified petroleum gas </w:t>
      </w:r>
      <w:r w:rsidR="00E106A7">
        <w:t>[</w:t>
      </w:r>
      <w:r w:rsidR="00BC3EA5">
        <w:t>LPG</w:t>
      </w:r>
      <w:r w:rsidR="00E106A7">
        <w:t>]</w:t>
      </w:r>
      <w:r w:rsidR="00BC3EA5">
        <w:t xml:space="preserve">, kerosene, </w:t>
      </w:r>
      <w:r w:rsidR="00997D6A">
        <w:t>gasoline</w:t>
      </w:r>
      <w:r w:rsidR="00E106A7">
        <w:t>,</w:t>
      </w:r>
      <w:r w:rsidR="00997D6A">
        <w:t xml:space="preserve"> and gasoil)</w:t>
      </w:r>
      <w:r w:rsidR="00E431B4">
        <w:t>.</w:t>
      </w:r>
      <w:r w:rsidR="00BA5282">
        <w:rPr>
          <w:rStyle w:val="FootnoteReference"/>
        </w:rPr>
        <w:footnoteReference w:id="12"/>
      </w:r>
      <w:r w:rsidR="00220F62">
        <w:t xml:space="preserve"> The analysis captures the direct effect of excises, in other words the effect of excises paid directly by households </w:t>
      </w:r>
      <w:r w:rsidR="00E62952">
        <w:t>at the time of purchases of manufactured and imported goods subject to such duty, as well as the indirect effects that excises on fuel can have</w:t>
      </w:r>
      <w:r w:rsidR="000122EB">
        <w:t xml:space="preserve"> on the price of other products consumed by households</w:t>
      </w:r>
      <w:r w:rsidR="005F5E3B">
        <w:t>,</w:t>
      </w:r>
      <w:r w:rsidR="005F5E3B" w:rsidRPr="005F5E3B">
        <w:t xml:space="preserve"> </w:t>
      </w:r>
      <w:r w:rsidR="005F5E3B">
        <w:t>that is,</w:t>
      </w:r>
      <w:r w:rsidR="000122EB">
        <w:t xml:space="preserve"> the effect of a change </w:t>
      </w:r>
      <w:r w:rsidR="002E531C">
        <w:t>in the excise levied on gasoline on the price of bread since gasoline is used as an input in the production process of bread.</w:t>
      </w:r>
      <w:r w:rsidR="00B40FA1">
        <w:rPr>
          <w:rStyle w:val="FootnoteReference"/>
        </w:rPr>
        <w:footnoteReference w:id="13"/>
      </w:r>
    </w:p>
    <w:p w14:paraId="756D13E8" w14:textId="77777777" w:rsidR="00D52A6F" w:rsidRDefault="00D52A6F" w:rsidP="00D13421">
      <w:pPr>
        <w:shd w:val="clear" w:color="auto" w:fill="FFFFFF"/>
        <w:spacing w:before="15" w:after="15" w:line="270" w:lineRule="atLeast"/>
      </w:pPr>
    </w:p>
    <w:tbl>
      <w:tblPr>
        <w:tblStyle w:val="PlainTable2"/>
        <w:tblW w:w="9340" w:type="dxa"/>
        <w:tblLook w:val="04A0" w:firstRow="1" w:lastRow="0" w:firstColumn="1" w:lastColumn="0" w:noHBand="0" w:noVBand="1"/>
      </w:tblPr>
      <w:tblGrid>
        <w:gridCol w:w="3500"/>
        <w:gridCol w:w="1720"/>
        <w:gridCol w:w="1720"/>
        <w:gridCol w:w="1200"/>
        <w:gridCol w:w="1200"/>
      </w:tblGrid>
      <w:tr w:rsidR="008C309F" w:rsidRPr="00D73851" w14:paraId="2A79B4EA" w14:textId="77777777" w:rsidTr="00105F5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5"/>
            <w:tcBorders>
              <w:top w:val="nil"/>
            </w:tcBorders>
          </w:tcPr>
          <w:p w14:paraId="1726117D" w14:textId="722D5C25" w:rsidR="008C309F" w:rsidRPr="00105F52" w:rsidRDefault="008C309F" w:rsidP="008C309F">
            <w:pPr>
              <w:jc w:val="left"/>
              <w:rPr>
                <w:rFonts w:asciiTheme="majorHAnsi" w:eastAsia="Times New Roman" w:hAnsiTheme="majorHAnsi" w:cstheme="majorHAnsi"/>
                <w:bCs w:val="0"/>
                <w:sz w:val="18"/>
                <w:szCs w:val="18"/>
              </w:rPr>
            </w:pPr>
            <w:bookmarkStart w:id="75" w:name="_Ref8144227"/>
            <w:bookmarkStart w:id="76" w:name="_Toc11255087"/>
            <w:r w:rsidRPr="00105F52">
              <w:rPr>
                <w:sz w:val="18"/>
                <w:szCs w:val="18"/>
              </w:rPr>
              <w:t xml:space="preserve">Table </w:t>
            </w:r>
            <w:r w:rsidR="00275542">
              <w:rPr>
                <w:sz w:val="18"/>
                <w:szCs w:val="18"/>
              </w:rPr>
              <w:fldChar w:fldCharType="begin"/>
            </w:r>
            <w:r w:rsidR="00275542">
              <w:rPr>
                <w:sz w:val="18"/>
                <w:szCs w:val="18"/>
              </w:rPr>
              <w:instrText xml:space="preserve"> STYLEREF 1 \s </w:instrText>
            </w:r>
            <w:r w:rsidR="00275542">
              <w:rPr>
                <w:sz w:val="18"/>
                <w:szCs w:val="18"/>
              </w:rPr>
              <w:fldChar w:fldCharType="separate"/>
            </w:r>
            <w:r w:rsidR="00C37C80">
              <w:rPr>
                <w:noProof/>
                <w:sz w:val="18"/>
                <w:szCs w:val="18"/>
              </w:rPr>
              <w:t>3</w:t>
            </w:r>
            <w:r w:rsidR="00275542">
              <w:rPr>
                <w:sz w:val="18"/>
                <w:szCs w:val="18"/>
              </w:rPr>
              <w:fldChar w:fldCharType="end"/>
            </w:r>
            <w:r w:rsidR="00275542">
              <w:rPr>
                <w:sz w:val="18"/>
                <w:szCs w:val="18"/>
              </w:rPr>
              <w:t>.</w:t>
            </w:r>
            <w:r w:rsidR="00275542">
              <w:rPr>
                <w:sz w:val="18"/>
                <w:szCs w:val="18"/>
              </w:rPr>
              <w:fldChar w:fldCharType="begin"/>
            </w:r>
            <w:r w:rsidR="00275542">
              <w:rPr>
                <w:sz w:val="18"/>
                <w:szCs w:val="18"/>
              </w:rPr>
              <w:instrText xml:space="preserve"> SEQ Table \* ARABIC \s 1 </w:instrText>
            </w:r>
            <w:r w:rsidR="00275542">
              <w:rPr>
                <w:sz w:val="18"/>
                <w:szCs w:val="18"/>
              </w:rPr>
              <w:fldChar w:fldCharType="separate"/>
            </w:r>
            <w:r w:rsidR="00C37C80">
              <w:rPr>
                <w:noProof/>
                <w:sz w:val="18"/>
                <w:szCs w:val="18"/>
              </w:rPr>
              <w:t>4</w:t>
            </w:r>
            <w:r w:rsidR="00275542">
              <w:rPr>
                <w:sz w:val="18"/>
                <w:szCs w:val="18"/>
              </w:rPr>
              <w:fldChar w:fldCharType="end"/>
            </w:r>
            <w:bookmarkEnd w:id="75"/>
            <w:r w:rsidRPr="00105F52">
              <w:rPr>
                <w:sz w:val="18"/>
                <w:szCs w:val="18"/>
              </w:rPr>
              <w:t>: Revenues from excise tax</w:t>
            </w:r>
            <w:r w:rsidR="004226F1">
              <w:rPr>
                <w:sz w:val="18"/>
                <w:szCs w:val="18"/>
              </w:rPr>
              <w:t>,</w:t>
            </w:r>
            <w:r w:rsidRPr="00105F52">
              <w:rPr>
                <w:sz w:val="18"/>
                <w:szCs w:val="18"/>
              </w:rPr>
              <w:t xml:space="preserve"> by item, 2016/17 and 2017/18</w:t>
            </w:r>
            <w:bookmarkEnd w:id="76"/>
          </w:p>
        </w:tc>
      </w:tr>
      <w:tr w:rsidR="00C61F66" w:rsidRPr="00D73851" w14:paraId="2D458916" w14:textId="77777777" w:rsidTr="00C61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vMerge w:val="restart"/>
            <w:hideMark/>
          </w:tcPr>
          <w:p w14:paraId="7AA08AE0" w14:textId="44905FC1" w:rsidR="00D73851" w:rsidRPr="00727D48" w:rsidRDefault="00D73851" w:rsidP="00D73851">
            <w:pPr>
              <w:jc w:val="center"/>
              <w:rPr>
                <w:rFonts w:asciiTheme="majorHAnsi" w:eastAsia="Times New Roman" w:hAnsiTheme="majorHAnsi" w:cstheme="majorHAnsi"/>
                <w:b w:val="0"/>
                <w:i/>
                <w:color w:val="FFFFFF"/>
                <w:sz w:val="18"/>
                <w:szCs w:val="18"/>
              </w:rPr>
            </w:pPr>
          </w:p>
        </w:tc>
        <w:tc>
          <w:tcPr>
            <w:tcW w:w="1720" w:type="dxa"/>
            <w:hideMark/>
          </w:tcPr>
          <w:p w14:paraId="7BFCAF9B" w14:textId="77777777" w:rsidR="00D73851" w:rsidRPr="00727D48" w:rsidRDefault="00D73851" w:rsidP="00D7385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FY2016/17 </w:t>
            </w:r>
          </w:p>
        </w:tc>
        <w:tc>
          <w:tcPr>
            <w:tcW w:w="1720" w:type="dxa"/>
            <w:hideMark/>
          </w:tcPr>
          <w:p w14:paraId="27E9B8D5" w14:textId="77777777" w:rsidR="00D73851" w:rsidRPr="00727D48" w:rsidRDefault="00D73851" w:rsidP="00D7385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FY2017/18 </w:t>
            </w:r>
          </w:p>
        </w:tc>
        <w:tc>
          <w:tcPr>
            <w:tcW w:w="1200" w:type="dxa"/>
            <w:hideMark/>
          </w:tcPr>
          <w:p w14:paraId="4C649008" w14:textId="77777777" w:rsidR="00D73851" w:rsidRPr="00727D48" w:rsidRDefault="00D73851" w:rsidP="00D7385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FY2016/17 </w:t>
            </w:r>
          </w:p>
        </w:tc>
        <w:tc>
          <w:tcPr>
            <w:tcW w:w="1200" w:type="dxa"/>
            <w:hideMark/>
          </w:tcPr>
          <w:p w14:paraId="48F655C7" w14:textId="77777777" w:rsidR="00D73851" w:rsidRPr="00727D48" w:rsidRDefault="00D73851" w:rsidP="00D7385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FY2017/18 </w:t>
            </w:r>
          </w:p>
        </w:tc>
      </w:tr>
      <w:tr w:rsidR="00D73851" w:rsidRPr="00D73851" w14:paraId="6B1FBC01" w14:textId="77777777" w:rsidTr="00C61F66">
        <w:trPr>
          <w:trHeight w:val="315"/>
        </w:trPr>
        <w:tc>
          <w:tcPr>
            <w:cnfStyle w:val="001000000000" w:firstRow="0" w:lastRow="0" w:firstColumn="1" w:lastColumn="0" w:oddVBand="0" w:evenVBand="0" w:oddHBand="0" w:evenHBand="0" w:firstRowFirstColumn="0" w:firstRowLastColumn="0" w:lastRowFirstColumn="0" w:lastRowLastColumn="0"/>
            <w:tcW w:w="3500" w:type="dxa"/>
            <w:vMerge/>
            <w:tcBorders>
              <w:bottom w:val="single" w:sz="4" w:space="0" w:color="auto"/>
            </w:tcBorders>
            <w:hideMark/>
          </w:tcPr>
          <w:p w14:paraId="5FA8EA01" w14:textId="77777777" w:rsidR="00D73851" w:rsidRPr="00727D48" w:rsidRDefault="00D73851" w:rsidP="00D73851">
            <w:pPr>
              <w:jc w:val="left"/>
              <w:rPr>
                <w:rFonts w:asciiTheme="majorHAnsi" w:eastAsia="Times New Roman" w:hAnsiTheme="majorHAnsi" w:cstheme="majorHAnsi"/>
                <w:b w:val="0"/>
                <w:i/>
                <w:color w:val="FFFFFF"/>
                <w:sz w:val="18"/>
                <w:szCs w:val="18"/>
              </w:rPr>
            </w:pPr>
          </w:p>
        </w:tc>
        <w:tc>
          <w:tcPr>
            <w:tcW w:w="3440" w:type="dxa"/>
            <w:gridSpan w:val="2"/>
            <w:tcBorders>
              <w:bottom w:val="single" w:sz="4" w:space="0" w:color="auto"/>
            </w:tcBorders>
            <w:hideMark/>
          </w:tcPr>
          <w:p w14:paraId="47B8A251" w14:textId="71B64AF9" w:rsidR="00D73851" w:rsidRPr="00727D48" w:rsidRDefault="00C465B1" w:rsidP="00D7385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MUR,</w:t>
            </w:r>
            <w:r w:rsidR="00D73851" w:rsidRPr="00727D48">
              <w:rPr>
                <w:rFonts w:asciiTheme="majorHAnsi" w:eastAsia="Times New Roman" w:hAnsiTheme="majorHAnsi" w:cstheme="majorHAnsi"/>
                <w:bCs/>
                <w:i/>
                <w:sz w:val="18"/>
                <w:szCs w:val="18"/>
              </w:rPr>
              <w:t xml:space="preserve"> million</w:t>
            </w:r>
          </w:p>
        </w:tc>
        <w:tc>
          <w:tcPr>
            <w:tcW w:w="2400" w:type="dxa"/>
            <w:gridSpan w:val="2"/>
            <w:tcBorders>
              <w:bottom w:val="single" w:sz="4" w:space="0" w:color="auto"/>
            </w:tcBorders>
            <w:hideMark/>
          </w:tcPr>
          <w:p w14:paraId="23F43847" w14:textId="17ED8BC1" w:rsidR="00D73851" w:rsidRPr="00727D48" w:rsidRDefault="00D73851" w:rsidP="00D7385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Shares in total</w:t>
            </w:r>
            <w:r w:rsidR="00C26BC9" w:rsidRPr="00727D48">
              <w:rPr>
                <w:rFonts w:asciiTheme="majorHAnsi" w:eastAsia="Times New Roman" w:hAnsiTheme="majorHAnsi" w:cstheme="majorHAnsi"/>
                <w:bCs/>
                <w:i/>
                <w:sz w:val="18"/>
                <w:szCs w:val="18"/>
              </w:rPr>
              <w:t xml:space="preserve"> (%)</w:t>
            </w:r>
          </w:p>
        </w:tc>
      </w:tr>
      <w:tr w:rsidR="0088658E" w:rsidRPr="00D73851" w14:paraId="26F3D03E" w14:textId="77777777" w:rsidTr="00C61F6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bottom w:val="nil"/>
            </w:tcBorders>
            <w:hideMark/>
          </w:tcPr>
          <w:p w14:paraId="3B7C65C1" w14:textId="2375CBD4" w:rsidR="0088658E" w:rsidRPr="00727D48" w:rsidRDefault="00A30D36" w:rsidP="0088658E">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Spirits, liquors and alcoholic beverages</w:t>
            </w:r>
          </w:p>
        </w:tc>
        <w:tc>
          <w:tcPr>
            <w:tcW w:w="1720" w:type="dxa"/>
            <w:tcBorders>
              <w:top w:val="single" w:sz="4" w:space="0" w:color="auto"/>
              <w:bottom w:val="nil"/>
            </w:tcBorders>
            <w:hideMark/>
          </w:tcPr>
          <w:p w14:paraId="2E586C77" w14:textId="77777777" w:rsidR="0088658E" w:rsidRPr="00D73851" w:rsidRDefault="0088658E" w:rsidP="0088658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4,898</w:t>
            </w:r>
          </w:p>
        </w:tc>
        <w:tc>
          <w:tcPr>
            <w:tcW w:w="1720" w:type="dxa"/>
            <w:tcBorders>
              <w:top w:val="single" w:sz="4" w:space="0" w:color="auto"/>
              <w:bottom w:val="nil"/>
            </w:tcBorders>
            <w:hideMark/>
          </w:tcPr>
          <w:p w14:paraId="1145D26C" w14:textId="77777777" w:rsidR="0088658E" w:rsidRPr="00D73851" w:rsidRDefault="0088658E" w:rsidP="0088658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5,350</w:t>
            </w:r>
          </w:p>
        </w:tc>
        <w:tc>
          <w:tcPr>
            <w:tcW w:w="1200" w:type="dxa"/>
            <w:tcBorders>
              <w:top w:val="single" w:sz="4" w:space="0" w:color="auto"/>
              <w:bottom w:val="nil"/>
            </w:tcBorders>
            <w:noWrap/>
            <w:hideMark/>
          </w:tcPr>
          <w:p w14:paraId="3EA62DC2" w14:textId="6CC7B403" w:rsidR="0088658E" w:rsidRPr="00D73851" w:rsidRDefault="0088658E" w:rsidP="0088658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28.4</w:t>
            </w:r>
          </w:p>
        </w:tc>
        <w:tc>
          <w:tcPr>
            <w:tcW w:w="1200" w:type="dxa"/>
            <w:tcBorders>
              <w:top w:val="single" w:sz="4" w:space="0" w:color="auto"/>
              <w:bottom w:val="nil"/>
            </w:tcBorders>
            <w:noWrap/>
            <w:hideMark/>
          </w:tcPr>
          <w:p w14:paraId="083651FB" w14:textId="0E115FCC" w:rsidR="0088658E" w:rsidRPr="00D73851" w:rsidRDefault="0088658E" w:rsidP="0088658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26.6</w:t>
            </w:r>
          </w:p>
        </w:tc>
      </w:tr>
      <w:tr w:rsidR="0088658E" w:rsidRPr="00D73851" w14:paraId="79A80057" w14:textId="77777777" w:rsidTr="00C61F66">
        <w:trPr>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7288ADFE" w14:textId="59E8321F" w:rsidR="0088658E" w:rsidRPr="00727D48" w:rsidRDefault="00A30D36" w:rsidP="0088658E">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Tobacco products</w:t>
            </w:r>
          </w:p>
        </w:tc>
        <w:tc>
          <w:tcPr>
            <w:tcW w:w="1720" w:type="dxa"/>
            <w:tcBorders>
              <w:top w:val="nil"/>
              <w:bottom w:val="nil"/>
            </w:tcBorders>
            <w:hideMark/>
          </w:tcPr>
          <w:p w14:paraId="0087D074" w14:textId="77777777" w:rsidR="0088658E" w:rsidRPr="00D73851" w:rsidRDefault="0088658E" w:rsidP="0088658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4,735</w:t>
            </w:r>
          </w:p>
        </w:tc>
        <w:tc>
          <w:tcPr>
            <w:tcW w:w="1720" w:type="dxa"/>
            <w:tcBorders>
              <w:top w:val="nil"/>
              <w:bottom w:val="nil"/>
            </w:tcBorders>
            <w:hideMark/>
          </w:tcPr>
          <w:p w14:paraId="7554AA42" w14:textId="77777777" w:rsidR="0088658E" w:rsidRPr="00D73851" w:rsidRDefault="0088658E" w:rsidP="0088658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5,333</w:t>
            </w:r>
          </w:p>
        </w:tc>
        <w:tc>
          <w:tcPr>
            <w:tcW w:w="1200" w:type="dxa"/>
            <w:tcBorders>
              <w:top w:val="nil"/>
              <w:bottom w:val="nil"/>
            </w:tcBorders>
            <w:noWrap/>
            <w:hideMark/>
          </w:tcPr>
          <w:p w14:paraId="4C14A80E" w14:textId="250E1D9B" w:rsidR="0088658E" w:rsidRPr="00D73851" w:rsidRDefault="0088658E" w:rsidP="0088658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27.4</w:t>
            </w:r>
          </w:p>
        </w:tc>
        <w:tc>
          <w:tcPr>
            <w:tcW w:w="1200" w:type="dxa"/>
            <w:tcBorders>
              <w:top w:val="nil"/>
              <w:bottom w:val="nil"/>
            </w:tcBorders>
            <w:noWrap/>
            <w:hideMark/>
          </w:tcPr>
          <w:p w14:paraId="4F7FECB0" w14:textId="77A977BA" w:rsidR="0088658E" w:rsidRPr="00D73851" w:rsidRDefault="0088658E" w:rsidP="0088658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26.5</w:t>
            </w:r>
          </w:p>
        </w:tc>
      </w:tr>
      <w:tr w:rsidR="00B57116" w:rsidRPr="00D73851" w14:paraId="64C7ADC8" w14:textId="77777777" w:rsidTr="008558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tcPr>
          <w:p w14:paraId="3CA558CF" w14:textId="5E2B3D56" w:rsidR="00B57116" w:rsidRPr="00727D48" w:rsidRDefault="00A30D36" w:rsidP="00855877">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Petroleum products</w:t>
            </w:r>
          </w:p>
        </w:tc>
        <w:tc>
          <w:tcPr>
            <w:tcW w:w="1720" w:type="dxa"/>
            <w:tcBorders>
              <w:top w:val="nil"/>
              <w:bottom w:val="nil"/>
            </w:tcBorders>
          </w:tcPr>
          <w:p w14:paraId="2E4CBF10" w14:textId="77777777" w:rsidR="00B57116" w:rsidRPr="00D73851" w:rsidRDefault="00B57116"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3,656</w:t>
            </w:r>
          </w:p>
        </w:tc>
        <w:tc>
          <w:tcPr>
            <w:tcW w:w="1720" w:type="dxa"/>
            <w:tcBorders>
              <w:top w:val="nil"/>
              <w:bottom w:val="nil"/>
            </w:tcBorders>
          </w:tcPr>
          <w:p w14:paraId="514A95B0" w14:textId="77777777" w:rsidR="00B57116" w:rsidRPr="00D73851" w:rsidRDefault="00B57116"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5,141</w:t>
            </w:r>
          </w:p>
        </w:tc>
        <w:tc>
          <w:tcPr>
            <w:tcW w:w="1200" w:type="dxa"/>
            <w:tcBorders>
              <w:top w:val="nil"/>
              <w:bottom w:val="nil"/>
            </w:tcBorders>
            <w:noWrap/>
          </w:tcPr>
          <w:p w14:paraId="355D68B7" w14:textId="77777777" w:rsidR="00B57116" w:rsidRPr="00D73851" w:rsidRDefault="00B57116"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21.2</w:t>
            </w:r>
          </w:p>
        </w:tc>
        <w:tc>
          <w:tcPr>
            <w:tcW w:w="1200" w:type="dxa"/>
            <w:tcBorders>
              <w:top w:val="nil"/>
              <w:bottom w:val="nil"/>
            </w:tcBorders>
            <w:noWrap/>
          </w:tcPr>
          <w:p w14:paraId="5B86FDE9" w14:textId="77777777" w:rsidR="00B57116" w:rsidRPr="00D73851" w:rsidRDefault="00B57116"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25.6</w:t>
            </w:r>
          </w:p>
        </w:tc>
      </w:tr>
      <w:tr w:rsidR="00B57116" w:rsidRPr="00D73851" w14:paraId="3BD9C14B" w14:textId="77777777" w:rsidTr="00855877">
        <w:trPr>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1A39E44A" w14:textId="26E0695E" w:rsidR="00B57116" w:rsidRPr="00727D48" w:rsidRDefault="00A30D36" w:rsidP="00855877">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Motor vehicles &amp; motor cycles</w:t>
            </w:r>
          </w:p>
        </w:tc>
        <w:tc>
          <w:tcPr>
            <w:tcW w:w="1720" w:type="dxa"/>
            <w:tcBorders>
              <w:top w:val="nil"/>
              <w:bottom w:val="nil"/>
            </w:tcBorders>
            <w:hideMark/>
          </w:tcPr>
          <w:p w14:paraId="39F7A733" w14:textId="77777777" w:rsidR="00B57116" w:rsidRPr="00D73851" w:rsidRDefault="00B57116"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3,116</w:t>
            </w:r>
          </w:p>
        </w:tc>
        <w:tc>
          <w:tcPr>
            <w:tcW w:w="1720" w:type="dxa"/>
            <w:tcBorders>
              <w:top w:val="nil"/>
              <w:bottom w:val="nil"/>
            </w:tcBorders>
            <w:hideMark/>
          </w:tcPr>
          <w:p w14:paraId="6CD631D5" w14:textId="77777777" w:rsidR="00B57116" w:rsidRPr="00D73851" w:rsidRDefault="00B57116"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3,386</w:t>
            </w:r>
          </w:p>
        </w:tc>
        <w:tc>
          <w:tcPr>
            <w:tcW w:w="1200" w:type="dxa"/>
            <w:tcBorders>
              <w:top w:val="nil"/>
              <w:bottom w:val="nil"/>
            </w:tcBorders>
            <w:noWrap/>
            <w:hideMark/>
          </w:tcPr>
          <w:p w14:paraId="70429E34" w14:textId="77777777" w:rsidR="00B57116" w:rsidRPr="00D73851" w:rsidRDefault="00B57116"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18.1</w:t>
            </w:r>
          </w:p>
        </w:tc>
        <w:tc>
          <w:tcPr>
            <w:tcW w:w="1200" w:type="dxa"/>
            <w:tcBorders>
              <w:top w:val="nil"/>
              <w:bottom w:val="nil"/>
            </w:tcBorders>
            <w:noWrap/>
            <w:hideMark/>
          </w:tcPr>
          <w:p w14:paraId="46BC2B66" w14:textId="77777777" w:rsidR="00B57116" w:rsidRPr="00D73851" w:rsidRDefault="00B57116"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16.9</w:t>
            </w:r>
          </w:p>
        </w:tc>
      </w:tr>
      <w:tr w:rsidR="00B57116" w:rsidRPr="00D73851" w14:paraId="69892682" w14:textId="77777777" w:rsidTr="00C61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7890E595" w14:textId="7CF0CDCE" w:rsidR="00B57116" w:rsidRPr="00727D48" w:rsidRDefault="00A30D36" w:rsidP="00B57116">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Plastic products</w:t>
            </w:r>
          </w:p>
        </w:tc>
        <w:tc>
          <w:tcPr>
            <w:tcW w:w="1720" w:type="dxa"/>
            <w:tcBorders>
              <w:top w:val="nil"/>
              <w:bottom w:val="nil"/>
            </w:tcBorders>
            <w:hideMark/>
          </w:tcPr>
          <w:p w14:paraId="69C489D3" w14:textId="77777777"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232</w:t>
            </w:r>
          </w:p>
        </w:tc>
        <w:tc>
          <w:tcPr>
            <w:tcW w:w="1720" w:type="dxa"/>
            <w:tcBorders>
              <w:top w:val="nil"/>
              <w:bottom w:val="nil"/>
            </w:tcBorders>
            <w:hideMark/>
          </w:tcPr>
          <w:p w14:paraId="33E857DE" w14:textId="77777777"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252</w:t>
            </w:r>
          </w:p>
        </w:tc>
        <w:tc>
          <w:tcPr>
            <w:tcW w:w="1200" w:type="dxa"/>
            <w:tcBorders>
              <w:top w:val="nil"/>
              <w:bottom w:val="nil"/>
            </w:tcBorders>
            <w:noWrap/>
            <w:hideMark/>
          </w:tcPr>
          <w:p w14:paraId="737FAEEB" w14:textId="46A8B50A"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1.3</w:t>
            </w:r>
          </w:p>
        </w:tc>
        <w:tc>
          <w:tcPr>
            <w:tcW w:w="1200" w:type="dxa"/>
            <w:tcBorders>
              <w:top w:val="nil"/>
              <w:bottom w:val="nil"/>
            </w:tcBorders>
            <w:noWrap/>
            <w:hideMark/>
          </w:tcPr>
          <w:p w14:paraId="04667452" w14:textId="237467B3"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1.3</w:t>
            </w:r>
          </w:p>
        </w:tc>
      </w:tr>
      <w:tr w:rsidR="00B57116" w:rsidRPr="00D73851" w14:paraId="053F12B4" w14:textId="77777777" w:rsidTr="00C61F66">
        <w:trPr>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4D973652" w14:textId="4F62D650" w:rsidR="00B57116" w:rsidRPr="00727D48" w:rsidRDefault="00A30D36" w:rsidP="00B57116">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Sugar content</w:t>
            </w:r>
          </w:p>
        </w:tc>
        <w:tc>
          <w:tcPr>
            <w:tcW w:w="1720" w:type="dxa"/>
            <w:tcBorders>
              <w:top w:val="nil"/>
              <w:bottom w:val="nil"/>
            </w:tcBorders>
            <w:hideMark/>
          </w:tcPr>
          <w:p w14:paraId="3D0BD39D" w14:textId="77777777"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373</w:t>
            </w:r>
          </w:p>
        </w:tc>
        <w:tc>
          <w:tcPr>
            <w:tcW w:w="1720" w:type="dxa"/>
            <w:tcBorders>
              <w:top w:val="nil"/>
              <w:bottom w:val="nil"/>
            </w:tcBorders>
            <w:hideMark/>
          </w:tcPr>
          <w:p w14:paraId="09C1F020" w14:textId="77777777"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404</w:t>
            </w:r>
          </w:p>
        </w:tc>
        <w:tc>
          <w:tcPr>
            <w:tcW w:w="1200" w:type="dxa"/>
            <w:tcBorders>
              <w:top w:val="nil"/>
              <w:bottom w:val="nil"/>
            </w:tcBorders>
            <w:noWrap/>
            <w:hideMark/>
          </w:tcPr>
          <w:p w14:paraId="7025B70A" w14:textId="79E044B7"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2.2</w:t>
            </w:r>
          </w:p>
        </w:tc>
        <w:tc>
          <w:tcPr>
            <w:tcW w:w="1200" w:type="dxa"/>
            <w:tcBorders>
              <w:top w:val="nil"/>
              <w:bottom w:val="nil"/>
            </w:tcBorders>
            <w:noWrap/>
            <w:hideMark/>
          </w:tcPr>
          <w:p w14:paraId="71EBFC68" w14:textId="78BD2498"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2.0</w:t>
            </w:r>
          </w:p>
        </w:tc>
      </w:tr>
      <w:tr w:rsidR="00B57116" w:rsidRPr="00D73851" w14:paraId="14A9A725" w14:textId="77777777" w:rsidTr="00C61F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tcBorders>
            <w:hideMark/>
          </w:tcPr>
          <w:p w14:paraId="5FBD2CAD" w14:textId="190FD96A" w:rsidR="00B57116" w:rsidRPr="00727D48" w:rsidRDefault="00A30D36" w:rsidP="00B57116">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Miscellaneous excise</w:t>
            </w:r>
          </w:p>
        </w:tc>
        <w:tc>
          <w:tcPr>
            <w:tcW w:w="1720" w:type="dxa"/>
            <w:tcBorders>
              <w:top w:val="nil"/>
            </w:tcBorders>
            <w:hideMark/>
          </w:tcPr>
          <w:p w14:paraId="7767C5E8" w14:textId="77777777"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242</w:t>
            </w:r>
          </w:p>
        </w:tc>
        <w:tc>
          <w:tcPr>
            <w:tcW w:w="1720" w:type="dxa"/>
            <w:tcBorders>
              <w:top w:val="nil"/>
            </w:tcBorders>
            <w:hideMark/>
          </w:tcPr>
          <w:p w14:paraId="6320460C" w14:textId="77777777"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223</w:t>
            </w:r>
          </w:p>
        </w:tc>
        <w:tc>
          <w:tcPr>
            <w:tcW w:w="1200" w:type="dxa"/>
            <w:tcBorders>
              <w:top w:val="nil"/>
            </w:tcBorders>
            <w:noWrap/>
            <w:hideMark/>
          </w:tcPr>
          <w:p w14:paraId="682C226F" w14:textId="10574B9B"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1.4</w:t>
            </w:r>
          </w:p>
        </w:tc>
        <w:tc>
          <w:tcPr>
            <w:tcW w:w="1200" w:type="dxa"/>
            <w:tcBorders>
              <w:top w:val="nil"/>
            </w:tcBorders>
            <w:noWrap/>
            <w:hideMark/>
          </w:tcPr>
          <w:p w14:paraId="0031E1A2" w14:textId="09A4FD4E" w:rsidR="00B57116" w:rsidRPr="00D73851" w:rsidRDefault="00B57116" w:rsidP="00B571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88658E">
              <w:rPr>
                <w:rFonts w:asciiTheme="majorHAnsi" w:eastAsia="Times New Roman" w:hAnsiTheme="majorHAnsi" w:cstheme="majorHAnsi"/>
                <w:color w:val="000000"/>
                <w:sz w:val="18"/>
                <w:szCs w:val="18"/>
              </w:rPr>
              <w:t>1.1</w:t>
            </w:r>
          </w:p>
        </w:tc>
      </w:tr>
      <w:tr w:rsidR="00B57116" w:rsidRPr="00D73851" w14:paraId="3D685168" w14:textId="77777777" w:rsidTr="00C61F66">
        <w:trPr>
          <w:trHeight w:val="315"/>
        </w:trPr>
        <w:tc>
          <w:tcPr>
            <w:cnfStyle w:val="001000000000" w:firstRow="0" w:lastRow="0" w:firstColumn="1" w:lastColumn="0" w:oddVBand="0" w:evenVBand="0" w:oddHBand="0" w:evenHBand="0" w:firstRowFirstColumn="0" w:firstRowLastColumn="0" w:lastRowFirstColumn="0" w:lastRowLastColumn="0"/>
            <w:tcW w:w="3500" w:type="dxa"/>
            <w:tcBorders>
              <w:bottom w:val="single" w:sz="4" w:space="0" w:color="auto"/>
            </w:tcBorders>
            <w:hideMark/>
          </w:tcPr>
          <w:p w14:paraId="11DA9E4B" w14:textId="795382FC" w:rsidR="00B57116" w:rsidRPr="00727D48" w:rsidRDefault="00A30D36" w:rsidP="00B57116">
            <w:pPr>
              <w:jc w:val="left"/>
              <w:rPr>
                <w:rFonts w:asciiTheme="majorHAnsi" w:eastAsia="Times New Roman" w:hAnsiTheme="majorHAnsi" w:cstheme="majorHAnsi"/>
                <w:b w:val="0"/>
                <w:i/>
                <w:color w:val="000000"/>
                <w:sz w:val="18"/>
                <w:szCs w:val="18"/>
              </w:rPr>
            </w:pPr>
            <w:r w:rsidRPr="00261F53">
              <w:rPr>
                <w:rFonts w:asciiTheme="majorHAnsi" w:eastAsia="Times New Roman" w:hAnsiTheme="majorHAnsi" w:cstheme="majorHAnsi"/>
                <w:i/>
                <w:color w:val="000000"/>
                <w:sz w:val="18"/>
                <w:szCs w:val="18"/>
              </w:rPr>
              <w:t>Total excise duties</w:t>
            </w:r>
          </w:p>
        </w:tc>
        <w:tc>
          <w:tcPr>
            <w:tcW w:w="1720" w:type="dxa"/>
            <w:tcBorders>
              <w:bottom w:val="single" w:sz="4" w:space="0" w:color="auto"/>
            </w:tcBorders>
            <w:hideMark/>
          </w:tcPr>
          <w:p w14:paraId="0AF74E55" w14:textId="2554E4F3"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E7231">
              <w:rPr>
                <w:rFonts w:asciiTheme="majorHAnsi" w:eastAsia="Times New Roman" w:hAnsiTheme="majorHAnsi" w:cstheme="majorHAnsi"/>
                <w:color w:val="000000"/>
                <w:sz w:val="18"/>
                <w:szCs w:val="18"/>
              </w:rPr>
              <w:t>17,252</w:t>
            </w:r>
          </w:p>
        </w:tc>
        <w:tc>
          <w:tcPr>
            <w:tcW w:w="1720" w:type="dxa"/>
            <w:tcBorders>
              <w:bottom w:val="single" w:sz="4" w:space="0" w:color="auto"/>
            </w:tcBorders>
            <w:hideMark/>
          </w:tcPr>
          <w:p w14:paraId="4C84D75D" w14:textId="5E95076C"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8E7231">
              <w:rPr>
                <w:rFonts w:asciiTheme="majorHAnsi" w:eastAsia="Times New Roman" w:hAnsiTheme="majorHAnsi" w:cstheme="majorHAnsi"/>
                <w:color w:val="000000"/>
                <w:sz w:val="18"/>
                <w:szCs w:val="18"/>
              </w:rPr>
              <w:t>20,089</w:t>
            </w:r>
          </w:p>
        </w:tc>
        <w:tc>
          <w:tcPr>
            <w:tcW w:w="1200" w:type="dxa"/>
            <w:tcBorders>
              <w:bottom w:val="single" w:sz="4" w:space="0" w:color="auto"/>
            </w:tcBorders>
            <w:noWrap/>
            <w:hideMark/>
          </w:tcPr>
          <w:p w14:paraId="1F46E560" w14:textId="77777777"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100.0</w:t>
            </w:r>
          </w:p>
        </w:tc>
        <w:tc>
          <w:tcPr>
            <w:tcW w:w="1200" w:type="dxa"/>
            <w:tcBorders>
              <w:bottom w:val="single" w:sz="4" w:space="0" w:color="auto"/>
            </w:tcBorders>
            <w:noWrap/>
            <w:hideMark/>
          </w:tcPr>
          <w:p w14:paraId="7DDA5E80" w14:textId="77777777" w:rsidR="00B57116" w:rsidRPr="00D73851" w:rsidRDefault="00B57116" w:rsidP="00B571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100.0</w:t>
            </w:r>
          </w:p>
        </w:tc>
      </w:tr>
      <w:tr w:rsidR="00B57116" w:rsidRPr="00857676" w14:paraId="60F5D030" w14:textId="77777777" w:rsidTr="008558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5"/>
            <w:tcBorders>
              <w:top w:val="single" w:sz="4" w:space="0" w:color="auto"/>
              <w:bottom w:val="nil"/>
            </w:tcBorders>
          </w:tcPr>
          <w:p w14:paraId="6E66765C" w14:textId="47F76154" w:rsidR="00B57116" w:rsidRPr="00857676" w:rsidRDefault="00B57116" w:rsidP="00B57116">
            <w:pPr>
              <w:widowControl w:val="0"/>
              <w:rPr>
                <w:rFonts w:cs="Times New Roman"/>
                <w:b w:val="0"/>
                <w:sz w:val="18"/>
                <w:szCs w:val="18"/>
              </w:rPr>
            </w:pPr>
            <w:r w:rsidRPr="00857676">
              <w:rPr>
                <w:rFonts w:cs="Times New Roman"/>
                <w:b w:val="0"/>
                <w:i/>
                <w:sz w:val="18"/>
                <w:szCs w:val="18"/>
              </w:rPr>
              <w:t xml:space="preserve">Source: </w:t>
            </w:r>
            <w:r w:rsidRPr="00857676">
              <w:rPr>
                <w:rFonts w:cs="Times New Roman"/>
                <w:b w:val="0"/>
                <w:sz w:val="18"/>
                <w:szCs w:val="18"/>
              </w:rPr>
              <w:t>Based on data of the Mauritius</w:t>
            </w:r>
            <w:r>
              <w:rPr>
                <w:rFonts w:cs="Times New Roman"/>
                <w:b w:val="0"/>
                <w:sz w:val="18"/>
                <w:szCs w:val="18"/>
              </w:rPr>
              <w:t xml:space="preserve"> Revenue Authority</w:t>
            </w:r>
            <w:r w:rsidRPr="00857676">
              <w:rPr>
                <w:rFonts w:cs="Times New Roman"/>
                <w:b w:val="0"/>
                <w:sz w:val="18"/>
                <w:szCs w:val="18"/>
              </w:rPr>
              <w:t>.</w:t>
            </w:r>
          </w:p>
          <w:p w14:paraId="7C9AFD56" w14:textId="77777777" w:rsidR="00B57116" w:rsidRPr="00857676" w:rsidRDefault="00B57116" w:rsidP="00B57116">
            <w:pPr>
              <w:jc w:val="left"/>
              <w:rPr>
                <w:rFonts w:asciiTheme="majorHAnsi" w:eastAsia="Times New Roman" w:hAnsiTheme="majorHAnsi" w:cstheme="majorHAnsi"/>
                <w:b w:val="0"/>
                <w:color w:val="000000"/>
                <w:sz w:val="18"/>
                <w:szCs w:val="18"/>
              </w:rPr>
            </w:pPr>
          </w:p>
        </w:tc>
      </w:tr>
    </w:tbl>
    <w:p w14:paraId="6271ADF4" w14:textId="77777777" w:rsidR="00980ED8" w:rsidRDefault="00980ED8" w:rsidP="00BF6414">
      <w:pPr>
        <w:shd w:val="clear" w:color="auto" w:fill="FFFFFF"/>
        <w:spacing w:before="15" w:after="15" w:line="270" w:lineRule="atLeast"/>
        <w:rPr>
          <w:highlight w:val="yellow"/>
        </w:rPr>
      </w:pPr>
    </w:p>
    <w:p w14:paraId="20A245BD" w14:textId="7D57C57A" w:rsidR="00C95BEE" w:rsidRDefault="00074F10" w:rsidP="009728FC">
      <w:pPr>
        <w:shd w:val="clear" w:color="auto" w:fill="FFFFFF"/>
        <w:spacing w:before="15" w:after="15" w:line="270" w:lineRule="atLeast"/>
      </w:pPr>
      <w:r w:rsidRPr="00BF6414">
        <w:rPr>
          <w:b/>
        </w:rPr>
        <w:t xml:space="preserve">Excise taxes </w:t>
      </w:r>
      <w:r w:rsidR="006E7F86">
        <w:rPr>
          <w:b/>
        </w:rPr>
        <w:t xml:space="preserve">on alcohol and tobacco products </w:t>
      </w:r>
      <w:r w:rsidRPr="00BF6414">
        <w:rPr>
          <w:b/>
        </w:rPr>
        <w:t xml:space="preserve">are </w:t>
      </w:r>
      <w:r w:rsidR="00312930">
        <w:rPr>
          <w:b/>
        </w:rPr>
        <w:t>re</w:t>
      </w:r>
      <w:r w:rsidRPr="00BF6414">
        <w:rPr>
          <w:b/>
        </w:rPr>
        <w:t>gressive.</w:t>
      </w:r>
      <w:r>
        <w:t xml:space="preserve"> </w:t>
      </w:r>
      <w:r w:rsidR="006E07C4">
        <w:t xml:space="preserve">Households </w:t>
      </w:r>
      <w:r w:rsidR="004076CD">
        <w:t xml:space="preserve">in </w:t>
      </w:r>
      <w:r w:rsidR="006E07C4">
        <w:t>the</w:t>
      </w:r>
      <w:r>
        <w:t xml:space="preserve"> bottom 40 account for </w:t>
      </w:r>
      <w:r w:rsidR="007360D1">
        <w:t>15</w:t>
      </w:r>
      <w:r w:rsidR="00AE47E6">
        <w:t>.7</w:t>
      </w:r>
      <w:r>
        <w:t xml:space="preserve"> percent of </w:t>
      </w:r>
      <w:r w:rsidR="00C11058">
        <w:t>pre</w:t>
      </w:r>
      <w:r w:rsidR="00663B0A">
        <w:t>fiscal</w:t>
      </w:r>
      <w:r>
        <w:t xml:space="preserve"> income</w:t>
      </w:r>
      <w:r w:rsidR="00E71A48">
        <w:t xml:space="preserve"> and 23 </w:t>
      </w:r>
      <w:r w:rsidR="00F24620">
        <w:t xml:space="preserve">and 29 </w:t>
      </w:r>
      <w:r w:rsidR="00E71A48">
        <w:t>percent</w:t>
      </w:r>
      <w:r>
        <w:t xml:space="preserve"> of excise taxes</w:t>
      </w:r>
      <w:r w:rsidR="00E71A48">
        <w:t xml:space="preserve"> on alcoholic beverages</w:t>
      </w:r>
      <w:r w:rsidR="00F24620">
        <w:t xml:space="preserve"> and tobacco respectively (</w:t>
      </w:r>
      <w:r w:rsidR="00275B19">
        <w:fldChar w:fldCharType="begin"/>
      </w:r>
      <w:r w:rsidR="00275B19">
        <w:instrText xml:space="preserve"> REF _Ref8122614 \h  \* MERGEFORMAT </w:instrText>
      </w:r>
      <w:r w:rsidR="00275B19">
        <w:fldChar w:fldCharType="separate"/>
      </w:r>
      <w:r w:rsidR="00C37C80" w:rsidRPr="00C37C80">
        <w:t>Figure 3.6</w:t>
      </w:r>
      <w:r w:rsidR="00275B19">
        <w:fldChar w:fldCharType="end"/>
      </w:r>
      <w:r w:rsidR="00275B19">
        <w:t xml:space="preserve"> – panel a</w:t>
      </w:r>
      <w:r w:rsidR="00F24620">
        <w:t>).</w:t>
      </w:r>
      <w:r w:rsidR="00C265F7">
        <w:t xml:space="preserve"> </w:t>
      </w:r>
      <w:r w:rsidR="00724CD0">
        <w:t>In</w:t>
      </w:r>
      <w:r w:rsidR="00AF5B61">
        <w:t xml:space="preserve"> the case of tobacco products, the bottom 40 </w:t>
      </w:r>
      <w:r w:rsidR="00ED307A">
        <w:t xml:space="preserve">bears 28 percent of total tax burden that </w:t>
      </w:r>
      <w:r w:rsidR="00B57566">
        <w:t>is as</w:t>
      </w:r>
      <w:r w:rsidR="005F7432">
        <w:t xml:space="preserve"> large as the contribution of households at</w:t>
      </w:r>
      <w:r w:rsidR="00ED307A">
        <w:t xml:space="preserve"> the top 20 percent.</w:t>
      </w:r>
      <w:r w:rsidR="00AF5B61">
        <w:t xml:space="preserve"> </w:t>
      </w:r>
      <w:r w:rsidR="00C265F7">
        <w:t xml:space="preserve">By contrast, </w:t>
      </w:r>
      <w:r w:rsidR="00E7554B">
        <w:t>in the case of excises on fuel, the bottom 40 account</w:t>
      </w:r>
      <w:r w:rsidR="004076CD">
        <w:t>s</w:t>
      </w:r>
      <w:r w:rsidR="00E7554B">
        <w:t xml:space="preserve"> for only </w:t>
      </w:r>
      <w:r w:rsidR="00B86678">
        <w:t>1</w:t>
      </w:r>
      <w:r w:rsidR="002672A8">
        <w:t>5</w:t>
      </w:r>
      <w:r w:rsidR="00E7554B">
        <w:t xml:space="preserve"> percent</w:t>
      </w:r>
      <w:r w:rsidR="00CE47CD">
        <w:t xml:space="preserve"> of </w:t>
      </w:r>
      <w:r w:rsidR="00362798">
        <w:t>excises</w:t>
      </w:r>
      <w:r w:rsidR="00CE47CD">
        <w:t xml:space="preserve"> paid as opposed to </w:t>
      </w:r>
      <w:r w:rsidR="0046705B">
        <w:t>50</w:t>
      </w:r>
      <w:r w:rsidR="00362798">
        <w:t xml:space="preserve"> </w:t>
      </w:r>
      <w:r w:rsidR="00CE47CD">
        <w:t xml:space="preserve">percent </w:t>
      </w:r>
      <w:r w:rsidR="00362798">
        <w:t xml:space="preserve">among paid by household </w:t>
      </w:r>
      <w:r w:rsidR="00CE47CD">
        <w:t>at the top 20 percent.</w:t>
      </w:r>
      <w:r w:rsidR="00F24620">
        <w:t xml:space="preserve"> </w:t>
      </w:r>
      <w:r w:rsidR="00B24E0B">
        <w:t>E</w:t>
      </w:r>
      <w:r w:rsidR="00960300">
        <w:t xml:space="preserve">xcises on alcohol and tobacco are globally </w:t>
      </w:r>
      <w:r w:rsidR="00FE45AC">
        <w:t>re</w:t>
      </w:r>
      <w:r w:rsidR="00960300">
        <w:t xml:space="preserve">gressive, whereas </w:t>
      </w:r>
      <w:r w:rsidR="000A7532">
        <w:t xml:space="preserve">the effect of the excise tax on fuel is </w:t>
      </w:r>
      <w:r w:rsidR="00315F71">
        <w:t xml:space="preserve">ambiguous since the </w:t>
      </w:r>
      <w:r w:rsidR="000A7532">
        <w:t>concentration</w:t>
      </w:r>
      <w:r w:rsidR="00315F71">
        <w:t xml:space="preserve"> curve crosses the Lorenz curve for </w:t>
      </w:r>
      <w:r w:rsidR="00C11058">
        <w:t>pre</w:t>
      </w:r>
      <w:r w:rsidR="00315F71">
        <w:t>fiscal income</w:t>
      </w:r>
      <w:r w:rsidR="00960300">
        <w:t xml:space="preserve">. </w:t>
      </w:r>
      <w:r w:rsidR="00362798">
        <w:t>T</w:t>
      </w:r>
      <w:r w:rsidR="00F24620">
        <w:t>his is ascribable to</w:t>
      </w:r>
      <w:r>
        <w:t xml:space="preserve"> </w:t>
      </w:r>
      <w:r w:rsidR="001836CF">
        <w:t xml:space="preserve">the fact that </w:t>
      </w:r>
      <w:r w:rsidR="002C712A">
        <w:t xml:space="preserve">the share of </w:t>
      </w:r>
      <w:r w:rsidR="00275B19">
        <w:t>expenditures</w:t>
      </w:r>
      <w:r w:rsidR="001836CF">
        <w:t xml:space="preserve"> on </w:t>
      </w:r>
      <w:r w:rsidR="00275B19">
        <w:t>alcohol</w:t>
      </w:r>
      <w:r w:rsidR="001836CF">
        <w:t xml:space="preserve"> </w:t>
      </w:r>
      <w:r w:rsidR="00305BBD">
        <w:t>and</w:t>
      </w:r>
      <w:r w:rsidR="004139D0">
        <w:t xml:space="preserve"> </w:t>
      </w:r>
      <w:r w:rsidR="001836CF">
        <w:t xml:space="preserve">tobacco products </w:t>
      </w:r>
      <w:r w:rsidR="002C712A">
        <w:t xml:space="preserve">in </w:t>
      </w:r>
      <w:r w:rsidR="00C11058">
        <w:t>pre</w:t>
      </w:r>
      <w:r w:rsidR="002C712A">
        <w:t xml:space="preserve">fiscal income </w:t>
      </w:r>
      <w:r w:rsidR="001836CF">
        <w:t>is significantly larger among the poorest household</w:t>
      </w:r>
      <w:r w:rsidR="00305BBD">
        <w:t>s</w:t>
      </w:r>
      <w:r w:rsidR="004139D0">
        <w:t xml:space="preserve"> </w:t>
      </w:r>
      <w:r w:rsidR="00006087">
        <w:t xml:space="preserve">and </w:t>
      </w:r>
      <w:r w:rsidR="00043E12">
        <w:t xml:space="preserve">declines with income </w:t>
      </w:r>
      <w:r w:rsidR="004139D0">
        <w:t>(</w:t>
      </w:r>
      <w:r w:rsidR="0052460B">
        <w:t>8.2</w:t>
      </w:r>
      <w:r w:rsidR="00B63B40">
        <w:t xml:space="preserve"> and 1</w:t>
      </w:r>
      <w:r w:rsidR="0052460B">
        <w:t>4</w:t>
      </w:r>
      <w:r w:rsidR="00B63B40">
        <w:t>.</w:t>
      </w:r>
      <w:r w:rsidR="0052460B">
        <w:t>2</w:t>
      </w:r>
      <w:r w:rsidR="00B63B40">
        <w:t xml:space="preserve"> percent vs </w:t>
      </w:r>
      <w:r w:rsidR="0052460B">
        <w:t>2</w:t>
      </w:r>
      <w:r w:rsidR="00305BBD">
        <w:t>.</w:t>
      </w:r>
      <w:r w:rsidR="0052460B">
        <w:t>7</w:t>
      </w:r>
      <w:r w:rsidR="00305BBD">
        <w:t xml:space="preserve"> and </w:t>
      </w:r>
      <w:r w:rsidR="0052460B">
        <w:t>2.9</w:t>
      </w:r>
      <w:r w:rsidR="00305BBD">
        <w:t xml:space="preserve"> percent,</w:t>
      </w:r>
      <w:r w:rsidR="006A22E8">
        <w:t xml:space="preserve"> </w:t>
      </w:r>
      <w:r w:rsidR="00305BBD">
        <w:t>respectively at the bottom and at the top</w:t>
      </w:r>
      <w:r w:rsidR="004139D0">
        <w:t>)</w:t>
      </w:r>
      <w:r w:rsidR="001836CF">
        <w:t xml:space="preserve">, </w:t>
      </w:r>
      <w:r w:rsidR="00006087">
        <w:t>whereas</w:t>
      </w:r>
      <w:r w:rsidR="001836CF">
        <w:t xml:space="preserve"> </w:t>
      </w:r>
      <w:r w:rsidR="002C712A">
        <w:t>the share</w:t>
      </w:r>
      <w:r w:rsidR="001836CF">
        <w:t xml:space="preserve"> on fuel is </w:t>
      </w:r>
      <w:r w:rsidR="000877EF">
        <w:t>U-shaped: it is at 18.4 percent at the bottom, it declines to 15 percent in the second quintile and it slowly increases with income</w:t>
      </w:r>
      <w:r w:rsidR="005F020C">
        <w:t xml:space="preserve"> among households in the third, fourth and fifth quintile</w:t>
      </w:r>
      <w:r w:rsidR="001836CF">
        <w:t xml:space="preserve"> </w:t>
      </w:r>
      <w:r w:rsidR="0072350C">
        <w:t>(1</w:t>
      </w:r>
      <w:r w:rsidR="005F020C">
        <w:t>8.4</w:t>
      </w:r>
      <w:r w:rsidR="0072350C">
        <w:t xml:space="preserve"> percent </w:t>
      </w:r>
      <w:r w:rsidR="005F020C">
        <w:t xml:space="preserve">at the bottom </w:t>
      </w:r>
      <w:r w:rsidR="0072350C">
        <w:t xml:space="preserve">vs </w:t>
      </w:r>
      <w:r w:rsidR="000F2DA6">
        <w:t>1</w:t>
      </w:r>
      <w:r w:rsidR="005F020C">
        <w:t>5</w:t>
      </w:r>
      <w:r w:rsidR="0072350C">
        <w:t xml:space="preserve"> percent at the </w:t>
      </w:r>
      <w:r w:rsidR="005F020C">
        <w:t xml:space="preserve">top) </w:t>
      </w:r>
      <w:r w:rsidR="001836CF">
        <w:t>(</w:t>
      </w:r>
      <w:r w:rsidR="00275B19">
        <w:fldChar w:fldCharType="begin"/>
      </w:r>
      <w:r w:rsidR="00275B19">
        <w:instrText xml:space="preserve"> REF _Ref8122614 \h  \* MERGEFORMAT </w:instrText>
      </w:r>
      <w:r w:rsidR="00275B19">
        <w:fldChar w:fldCharType="separate"/>
      </w:r>
      <w:r w:rsidR="00C37C80" w:rsidRPr="00C37C80">
        <w:t>Figure 3.6</w:t>
      </w:r>
      <w:r w:rsidR="00275B19">
        <w:fldChar w:fldCharType="end"/>
      </w:r>
      <w:r w:rsidR="00275B19">
        <w:t xml:space="preserve"> – panel b</w:t>
      </w:r>
      <w:r w:rsidR="001836CF" w:rsidRPr="002E004B">
        <w:t>).</w:t>
      </w:r>
      <w:r w:rsidR="008727D0" w:rsidRPr="002E004B">
        <w:rPr>
          <w:rStyle w:val="FootnoteReference"/>
        </w:rPr>
        <w:footnoteReference w:id="14"/>
      </w:r>
      <w:r w:rsidR="001836CF" w:rsidRPr="002E004B">
        <w:t xml:space="preserve"> </w:t>
      </w:r>
      <w:r w:rsidR="009F4DCE" w:rsidRPr="002E004B">
        <w:t>Across the population, excise duties acco</w:t>
      </w:r>
      <w:r w:rsidR="009F4DCE" w:rsidRPr="00711ABC">
        <w:t xml:space="preserve">unts for between </w:t>
      </w:r>
      <w:r w:rsidR="002463D9" w:rsidRPr="00711ABC">
        <w:t>40</w:t>
      </w:r>
      <w:r w:rsidR="009F4DCE" w:rsidRPr="00711ABC">
        <w:t xml:space="preserve"> percent of </w:t>
      </w:r>
      <w:r w:rsidR="00C11058">
        <w:t>pre</w:t>
      </w:r>
      <w:r w:rsidR="009F4DCE" w:rsidRPr="00711ABC">
        <w:t>fiscal income among households at the bottom 20 percent and 2</w:t>
      </w:r>
      <w:r w:rsidR="00711ABC" w:rsidRPr="00711ABC">
        <w:t>0</w:t>
      </w:r>
      <w:r w:rsidR="009F4DCE" w:rsidRPr="00711ABC">
        <w:t xml:space="preserve"> percent at the top 20 percent.</w:t>
      </w:r>
    </w:p>
    <w:p w14:paraId="414721CC" w14:textId="6A45197C" w:rsidR="00AE333C" w:rsidRDefault="00C95BEE" w:rsidP="009728FC">
      <w:pPr>
        <w:shd w:val="clear" w:color="auto" w:fill="FFFFFF"/>
        <w:spacing w:before="15" w:after="15" w:line="270" w:lineRule="atLeast"/>
      </w:pPr>
      <w:r>
        <w:br/>
      </w:r>
      <w:r w:rsidR="0008403A" w:rsidRPr="00941491">
        <w:rPr>
          <w:b/>
        </w:rPr>
        <w:t>H</w:t>
      </w:r>
      <w:r w:rsidR="009D4D77" w:rsidRPr="00941491">
        <w:rPr>
          <w:b/>
        </w:rPr>
        <w:t xml:space="preserve">owever, </w:t>
      </w:r>
      <w:r w:rsidR="00245C70" w:rsidRPr="00941491">
        <w:rPr>
          <w:b/>
        </w:rPr>
        <w:t xml:space="preserve">increases in </w:t>
      </w:r>
      <w:r w:rsidR="0008403A" w:rsidRPr="00941491">
        <w:rPr>
          <w:b/>
        </w:rPr>
        <w:t xml:space="preserve">excise </w:t>
      </w:r>
      <w:r w:rsidR="00EF3D50" w:rsidRPr="00941491">
        <w:rPr>
          <w:b/>
        </w:rPr>
        <w:t>duties</w:t>
      </w:r>
      <w:r w:rsidR="0008403A" w:rsidRPr="00941491">
        <w:rPr>
          <w:b/>
        </w:rPr>
        <w:t xml:space="preserve"> on </w:t>
      </w:r>
      <w:r w:rsidR="00EF3D50" w:rsidRPr="00941491">
        <w:rPr>
          <w:b/>
        </w:rPr>
        <w:t>alcohol and</w:t>
      </w:r>
      <w:r w:rsidR="00245C70" w:rsidRPr="00941491">
        <w:rPr>
          <w:b/>
        </w:rPr>
        <w:t xml:space="preserve"> tobacco product</w:t>
      </w:r>
      <w:r w:rsidR="00EF3D50" w:rsidRPr="00941491">
        <w:rPr>
          <w:b/>
        </w:rPr>
        <w:t>s</w:t>
      </w:r>
      <w:r w:rsidR="00245C70" w:rsidRPr="00941491">
        <w:rPr>
          <w:b/>
        </w:rPr>
        <w:t xml:space="preserve"> are the most effective </w:t>
      </w:r>
      <w:r w:rsidR="00EF3D50" w:rsidRPr="00941491">
        <w:rPr>
          <w:b/>
        </w:rPr>
        <w:t>instrument</w:t>
      </w:r>
      <w:r w:rsidR="00245C70" w:rsidRPr="00941491">
        <w:rPr>
          <w:b/>
        </w:rPr>
        <w:t xml:space="preserve"> for reducing the </w:t>
      </w:r>
      <w:r w:rsidR="00941491" w:rsidRPr="00941491">
        <w:rPr>
          <w:b/>
        </w:rPr>
        <w:t xml:space="preserve">negative health and economic </w:t>
      </w:r>
      <w:r w:rsidR="00941491">
        <w:rPr>
          <w:b/>
        </w:rPr>
        <w:t>effects</w:t>
      </w:r>
      <w:r w:rsidR="00941491" w:rsidRPr="00941491">
        <w:rPr>
          <w:b/>
        </w:rPr>
        <w:t xml:space="preserve"> associated </w:t>
      </w:r>
      <w:r w:rsidR="00941491">
        <w:rPr>
          <w:b/>
        </w:rPr>
        <w:t>w</w:t>
      </w:r>
      <w:r w:rsidR="00941491" w:rsidRPr="00941491">
        <w:rPr>
          <w:b/>
        </w:rPr>
        <w:t>it</w:t>
      </w:r>
      <w:r w:rsidR="00941491">
        <w:rPr>
          <w:b/>
        </w:rPr>
        <w:t>h</w:t>
      </w:r>
      <w:r w:rsidR="00941491" w:rsidRPr="00941491">
        <w:rPr>
          <w:b/>
        </w:rPr>
        <w:t xml:space="preserve"> their consumption.</w:t>
      </w:r>
      <w:r w:rsidR="00941491">
        <w:t xml:space="preserve"> </w:t>
      </w:r>
      <w:r w:rsidR="008E191D">
        <w:t>I</w:t>
      </w:r>
      <w:r w:rsidR="00736CF8">
        <w:t xml:space="preserve">t is worth reminding the </w:t>
      </w:r>
      <w:r w:rsidR="00826173">
        <w:t>adverse</w:t>
      </w:r>
      <w:r w:rsidR="00736CF8">
        <w:t xml:space="preserve"> economic effects of tobacco and alcohol consumption that can manifest in the medium and long</w:t>
      </w:r>
      <w:r w:rsidR="00826173">
        <w:t xml:space="preserve"> run. Such high costs on public </w:t>
      </w:r>
      <w:r w:rsidR="008E191D">
        <w:t>finances</w:t>
      </w:r>
      <w:r w:rsidR="00826173">
        <w:t xml:space="preserve"> might affect the assessment of progressivity of </w:t>
      </w:r>
      <w:r w:rsidR="008E191D">
        <w:t xml:space="preserve">such </w:t>
      </w:r>
      <w:r w:rsidR="00826173">
        <w:t>excise duties illustrated above.</w:t>
      </w:r>
      <w:r w:rsidR="004A6FA4">
        <w:t xml:space="preserve"> </w:t>
      </w:r>
      <w:r w:rsidR="008E191D">
        <w:t>C</w:t>
      </w:r>
      <w:r w:rsidR="004A6FA4">
        <w:t xml:space="preserve">onsumption of tobacco </w:t>
      </w:r>
      <w:r w:rsidR="003F7362">
        <w:t>and alcoholism are</w:t>
      </w:r>
      <w:r w:rsidR="004A6FA4">
        <w:t xml:space="preserve"> associated with </w:t>
      </w:r>
      <w:r w:rsidR="006274BD">
        <w:t>shorter</w:t>
      </w:r>
      <w:r w:rsidR="004A6FA4">
        <w:t xml:space="preserve"> life expectancy, more years of </w:t>
      </w:r>
      <w:r w:rsidR="008E191D">
        <w:t>morbidity</w:t>
      </w:r>
      <w:r w:rsidR="004A6FA4">
        <w:t>, and</w:t>
      </w:r>
      <w:r w:rsidR="00036A98">
        <w:t xml:space="preserve"> </w:t>
      </w:r>
      <w:r w:rsidR="00155B48">
        <w:t xml:space="preserve">as a consequence </w:t>
      </w:r>
      <w:r w:rsidR="00DE7B3C">
        <w:t>higher medical cost</w:t>
      </w:r>
      <w:r w:rsidR="00036A98">
        <w:t xml:space="preserve">. </w:t>
      </w:r>
      <w:r w:rsidR="00DE7B3C">
        <w:t xml:space="preserve">If the demand for tobacco </w:t>
      </w:r>
      <w:r w:rsidR="00833872">
        <w:t xml:space="preserve">and alcoholic </w:t>
      </w:r>
      <w:r w:rsidR="00DE7B3C">
        <w:t xml:space="preserve">products is </w:t>
      </w:r>
      <w:r w:rsidR="0034087D">
        <w:t xml:space="preserve">substantially </w:t>
      </w:r>
      <w:r w:rsidR="00DE7B3C">
        <w:t>elastic to price, h</w:t>
      </w:r>
      <w:r w:rsidR="00036A98">
        <w:t>igher taxes on tobacco</w:t>
      </w:r>
      <w:r w:rsidR="0034087D">
        <w:t>,</w:t>
      </w:r>
      <w:r w:rsidR="00036A98">
        <w:t xml:space="preserve"> together with</w:t>
      </w:r>
      <w:r w:rsidR="00EF7CD8">
        <w:t xml:space="preserve"> smoking bans in private </w:t>
      </w:r>
      <w:r w:rsidR="006274BD">
        <w:t>premises</w:t>
      </w:r>
      <w:r w:rsidR="00EF7CD8">
        <w:t xml:space="preserve"> open to the public such as bars, cafés, and </w:t>
      </w:r>
      <w:r w:rsidR="00155B48">
        <w:t>restaurants</w:t>
      </w:r>
      <w:r w:rsidR="00EF7CD8">
        <w:t>, have the potential to</w:t>
      </w:r>
      <w:r w:rsidR="006274BD">
        <w:t xml:space="preserve"> reduce its consumption and therefore the negative economic effect on </w:t>
      </w:r>
      <w:r w:rsidR="0034087D">
        <w:t>public</w:t>
      </w:r>
      <w:r w:rsidR="006274BD">
        <w:t xml:space="preserve"> finances. </w:t>
      </w:r>
      <w:r w:rsidR="00833872">
        <w:t>Evidence from</w:t>
      </w:r>
      <w:r w:rsidR="00BE4548" w:rsidRPr="00AF519B">
        <w:t xml:space="preserve"> developing countries suggest that the aggregate net effect of </w:t>
      </w:r>
      <w:r w:rsidR="001C6A90">
        <w:t xml:space="preserve">an </w:t>
      </w:r>
      <w:r w:rsidR="00BE4548" w:rsidRPr="00AF519B">
        <w:t xml:space="preserve">immediate </w:t>
      </w:r>
      <w:r w:rsidR="001C6A90">
        <w:t>reduction in</w:t>
      </w:r>
      <w:r w:rsidR="00BE4548" w:rsidRPr="00AF519B">
        <w:t xml:space="preserve"> income </w:t>
      </w:r>
      <w:r w:rsidR="00A76AA2">
        <w:t>associated with a price increase</w:t>
      </w:r>
      <w:r w:rsidR="00BE4548" w:rsidRPr="00AF519B">
        <w:t xml:space="preserve"> and </w:t>
      </w:r>
      <w:r w:rsidR="00A76AA2">
        <w:t xml:space="preserve">of </w:t>
      </w:r>
      <w:r w:rsidR="00BE4548" w:rsidRPr="00AF519B">
        <w:t xml:space="preserve">long-term benefits of reduced </w:t>
      </w:r>
      <w:r w:rsidR="00A76AA2">
        <w:t>consumption</w:t>
      </w:r>
      <w:r w:rsidR="00BE4548" w:rsidRPr="00AF519B">
        <w:t xml:space="preserve"> can </w:t>
      </w:r>
      <w:r w:rsidR="00442777">
        <w:t>turn out to be</w:t>
      </w:r>
      <w:r w:rsidR="00BE4548" w:rsidRPr="00AF519B">
        <w:t xml:space="preserve"> </w:t>
      </w:r>
      <w:r w:rsidR="00E81ADD" w:rsidRPr="00AF519B">
        <w:t xml:space="preserve">positive </w:t>
      </w:r>
      <w:r w:rsidR="00E81ADD">
        <w:t>particularly</w:t>
      </w:r>
      <w:r w:rsidR="00BE4548" w:rsidRPr="00AF519B">
        <w:t xml:space="preserve"> among low-income households </w:t>
      </w:r>
      <w:r w:rsidR="00BE4548">
        <w:t>(</w:t>
      </w:r>
      <w:r w:rsidR="00BE4548">
        <w:rPr>
          <w:noProof/>
        </w:rPr>
        <w:t xml:space="preserve">Fuchs </w:t>
      </w:r>
      <w:r w:rsidR="0007726E">
        <w:rPr>
          <w:noProof/>
        </w:rPr>
        <w:t>and</w:t>
      </w:r>
      <w:r w:rsidR="00BE4548">
        <w:rPr>
          <w:noProof/>
        </w:rPr>
        <w:t xml:space="preserve"> Meneses 2017a</w:t>
      </w:r>
      <w:r w:rsidR="0007726E">
        <w:rPr>
          <w:noProof/>
        </w:rPr>
        <w:t>;</w:t>
      </w:r>
      <w:r w:rsidR="00BE4548">
        <w:rPr>
          <w:noProof/>
        </w:rPr>
        <w:t xml:space="preserve"> Fuchs </w:t>
      </w:r>
      <w:r w:rsidR="0007726E">
        <w:rPr>
          <w:noProof/>
        </w:rPr>
        <w:t>and</w:t>
      </w:r>
      <w:r w:rsidR="00BE4548">
        <w:rPr>
          <w:noProof/>
        </w:rPr>
        <w:t xml:space="preserve"> Meneses 2017b; Fuchs, Del Carmen, </w:t>
      </w:r>
      <w:r w:rsidR="0007726E">
        <w:rPr>
          <w:noProof/>
        </w:rPr>
        <w:t>and</w:t>
      </w:r>
      <w:r w:rsidR="00BE4548">
        <w:rPr>
          <w:noProof/>
        </w:rPr>
        <w:t xml:space="preserve"> Kechia Mukong 2018</w:t>
      </w:r>
      <w:r w:rsidR="004405AB">
        <w:rPr>
          <w:noProof/>
        </w:rPr>
        <w:t>; Fuch</w:t>
      </w:r>
      <w:r w:rsidR="00A47166">
        <w:rPr>
          <w:noProof/>
        </w:rPr>
        <w:t>s</w:t>
      </w:r>
      <w:r w:rsidR="004405AB">
        <w:rPr>
          <w:noProof/>
        </w:rPr>
        <w:t>, Icaza</w:t>
      </w:r>
      <w:r w:rsidR="00E106A7">
        <w:rPr>
          <w:noProof/>
        </w:rPr>
        <w:t>,</w:t>
      </w:r>
      <w:r w:rsidR="004405AB">
        <w:rPr>
          <w:noProof/>
        </w:rPr>
        <w:t xml:space="preserve"> and </w:t>
      </w:r>
      <w:r w:rsidR="00304F0A">
        <w:rPr>
          <w:noProof/>
        </w:rPr>
        <w:t>Paz 2019</w:t>
      </w:r>
      <w:r w:rsidR="00BE4548">
        <w:rPr>
          <w:noProof/>
        </w:rPr>
        <w:t>).</w:t>
      </w:r>
      <w:r w:rsidR="0007726E">
        <w:rPr>
          <w:color w:val="FF0000"/>
        </w:rPr>
        <w:t xml:space="preserve"> </w:t>
      </w:r>
    </w:p>
    <w:p w14:paraId="575AC78E" w14:textId="77777777" w:rsidR="009728FC" w:rsidRPr="009728FC" w:rsidRDefault="009728FC" w:rsidP="009728FC">
      <w:pPr>
        <w:shd w:val="clear" w:color="auto" w:fill="FFFFFF"/>
        <w:spacing w:before="15" w:after="15" w:line="270" w:lineRule="atLeast"/>
        <w:rPr>
          <w:color w:val="FF0000"/>
        </w:rPr>
      </w:pPr>
    </w:p>
    <w:tbl>
      <w:tblPr>
        <w:tblW w:w="9360" w:type="dxa"/>
        <w:tblLayout w:type="fixed"/>
        <w:tblCellMar>
          <w:left w:w="0" w:type="dxa"/>
          <w:right w:w="0" w:type="dxa"/>
        </w:tblCellMar>
        <w:tblLook w:val="04A0" w:firstRow="1" w:lastRow="0" w:firstColumn="1" w:lastColumn="0" w:noHBand="0" w:noVBand="1"/>
      </w:tblPr>
      <w:tblGrid>
        <w:gridCol w:w="4680"/>
        <w:gridCol w:w="4680"/>
      </w:tblGrid>
      <w:tr w:rsidR="00F97F7F" w:rsidRPr="001E6C40" w14:paraId="1DAAABEA" w14:textId="77777777" w:rsidTr="00855877">
        <w:trPr>
          <w:cantSplit/>
        </w:trPr>
        <w:tc>
          <w:tcPr>
            <w:tcW w:w="9360" w:type="dxa"/>
            <w:gridSpan w:val="2"/>
            <w:hideMark/>
          </w:tcPr>
          <w:p w14:paraId="3B2F3901" w14:textId="16EB3AC7" w:rsidR="00F97F7F" w:rsidRPr="001E6C40" w:rsidRDefault="00F97F7F" w:rsidP="00855877">
            <w:pPr>
              <w:pStyle w:val="Caption2"/>
              <w:spacing w:line="256" w:lineRule="auto"/>
              <w:jc w:val="left"/>
              <w:rPr>
                <w:b/>
                <w:i w:val="0"/>
                <w:sz w:val="18"/>
                <w:szCs w:val="18"/>
                <w:lang w:eastAsia="en-GB"/>
              </w:rPr>
            </w:pPr>
            <w:bookmarkStart w:id="77" w:name="_Ref8122614"/>
            <w:bookmarkStart w:id="78" w:name="_Toc11255069"/>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6</w:t>
            </w:r>
            <w:r w:rsidR="00275542">
              <w:rPr>
                <w:b/>
                <w:i w:val="0"/>
                <w:sz w:val="18"/>
                <w:szCs w:val="18"/>
                <w:lang w:eastAsia="en-GB"/>
              </w:rPr>
              <w:fldChar w:fldCharType="end"/>
            </w:r>
            <w:bookmarkEnd w:id="77"/>
            <w:r w:rsidRPr="001E6C40">
              <w:rPr>
                <w:b/>
                <w:i w:val="0"/>
                <w:sz w:val="18"/>
                <w:szCs w:val="18"/>
                <w:lang w:eastAsia="en-GB"/>
              </w:rPr>
              <w:t xml:space="preserve">. </w:t>
            </w:r>
            <w:r w:rsidRPr="0070773C">
              <w:rPr>
                <w:b/>
                <w:i w:val="0"/>
                <w:sz w:val="18"/>
                <w:szCs w:val="18"/>
                <w:lang w:eastAsia="en-GB"/>
              </w:rPr>
              <w:t xml:space="preserve">Lorenz and concentration curves </w:t>
            </w:r>
            <w:r>
              <w:rPr>
                <w:b/>
                <w:i w:val="0"/>
                <w:sz w:val="18"/>
                <w:szCs w:val="18"/>
                <w:lang w:eastAsia="en-GB"/>
              </w:rPr>
              <w:t>for</w:t>
            </w:r>
            <w:r w:rsidRPr="0070773C">
              <w:rPr>
                <w:b/>
                <w:i w:val="0"/>
                <w:sz w:val="18"/>
                <w:szCs w:val="18"/>
                <w:lang w:eastAsia="en-GB"/>
              </w:rPr>
              <w:t xml:space="preserve"> per capita market income</w:t>
            </w:r>
            <w:r w:rsidR="0047338F" w:rsidRPr="0070773C">
              <w:rPr>
                <w:b/>
                <w:i w:val="0"/>
                <w:sz w:val="18"/>
                <w:szCs w:val="18"/>
                <w:lang w:eastAsia="en-GB"/>
              </w:rPr>
              <w:t xml:space="preserve"> </w:t>
            </w:r>
            <w:r w:rsidRPr="0070773C">
              <w:rPr>
                <w:b/>
                <w:i w:val="0"/>
                <w:sz w:val="18"/>
                <w:szCs w:val="18"/>
                <w:lang w:eastAsia="en-GB"/>
              </w:rPr>
              <w:t xml:space="preserve">and </w:t>
            </w:r>
            <w:r>
              <w:rPr>
                <w:b/>
                <w:i w:val="0"/>
                <w:sz w:val="18"/>
                <w:szCs w:val="18"/>
                <w:lang w:eastAsia="en-GB"/>
              </w:rPr>
              <w:t>excise</w:t>
            </w:r>
            <w:r w:rsidRPr="0070773C">
              <w:rPr>
                <w:b/>
                <w:i w:val="0"/>
                <w:sz w:val="18"/>
                <w:szCs w:val="18"/>
                <w:lang w:eastAsia="en-GB"/>
              </w:rPr>
              <w:t xml:space="preserve"> taxes and share </w:t>
            </w:r>
            <w:r>
              <w:rPr>
                <w:b/>
                <w:i w:val="0"/>
                <w:sz w:val="18"/>
                <w:szCs w:val="18"/>
                <w:lang w:eastAsia="en-GB"/>
              </w:rPr>
              <w:t xml:space="preserve">of excise taxes </w:t>
            </w:r>
            <w:r w:rsidRPr="0070773C">
              <w:rPr>
                <w:b/>
                <w:i w:val="0"/>
                <w:sz w:val="18"/>
                <w:szCs w:val="18"/>
                <w:lang w:eastAsia="en-GB"/>
              </w:rPr>
              <w:t xml:space="preserve">in </w:t>
            </w:r>
            <w:r>
              <w:rPr>
                <w:b/>
                <w:i w:val="0"/>
                <w:sz w:val="18"/>
                <w:szCs w:val="18"/>
                <w:lang w:eastAsia="en-GB"/>
              </w:rPr>
              <w:t xml:space="preserve">total </w:t>
            </w:r>
            <w:r w:rsidRPr="0070773C">
              <w:rPr>
                <w:b/>
                <w:i w:val="0"/>
                <w:sz w:val="18"/>
                <w:szCs w:val="18"/>
                <w:lang w:eastAsia="en-GB"/>
              </w:rPr>
              <w:t>market income</w:t>
            </w:r>
            <w:r w:rsidR="0047338F" w:rsidRPr="0070773C">
              <w:rPr>
                <w:b/>
                <w:i w:val="0"/>
                <w:sz w:val="18"/>
                <w:szCs w:val="18"/>
                <w:lang w:eastAsia="en-GB"/>
              </w:rPr>
              <w:t xml:space="preserve"> </w:t>
            </w:r>
            <w:r w:rsidRPr="0070773C">
              <w:rPr>
                <w:b/>
                <w:i w:val="0"/>
                <w:sz w:val="18"/>
                <w:szCs w:val="18"/>
                <w:lang w:eastAsia="en-GB"/>
              </w:rPr>
              <w:t>by quintile.</w:t>
            </w:r>
            <w:bookmarkEnd w:id="78"/>
          </w:p>
        </w:tc>
      </w:tr>
      <w:tr w:rsidR="00F97F7F" w14:paraId="78F88C78" w14:textId="77777777" w:rsidTr="00855877">
        <w:trPr>
          <w:cantSplit/>
        </w:trPr>
        <w:tc>
          <w:tcPr>
            <w:tcW w:w="4680" w:type="dxa"/>
            <w:hideMark/>
          </w:tcPr>
          <w:p w14:paraId="3791ED9A" w14:textId="77ADC7F5" w:rsidR="00F97F7F" w:rsidRDefault="00F97F7F" w:rsidP="00855877">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 xml:space="preserve">Lorenz and concentration curve </w:t>
            </w:r>
            <w:r>
              <w:rPr>
                <w:rFonts w:cs="Times New Roman"/>
                <w:b/>
                <w:sz w:val="18"/>
                <w:szCs w:val="18"/>
                <w:lang w:eastAsia="en-GB"/>
              </w:rPr>
              <w:t>for</w:t>
            </w:r>
            <w:r w:rsidRPr="00D60C8A">
              <w:rPr>
                <w:rFonts w:cs="Times New Roman"/>
                <w:b/>
                <w:sz w:val="18"/>
                <w:szCs w:val="18"/>
                <w:lang w:eastAsia="en-GB"/>
              </w:rPr>
              <w:t xml:space="preserve"> </w:t>
            </w:r>
            <w:r>
              <w:rPr>
                <w:rFonts w:cs="Times New Roman"/>
                <w:b/>
                <w:sz w:val="18"/>
                <w:szCs w:val="18"/>
                <w:lang w:eastAsia="en-GB"/>
              </w:rPr>
              <w:t>excise</w:t>
            </w:r>
            <w:r w:rsidRPr="00D60C8A">
              <w:rPr>
                <w:rFonts w:cs="Times New Roman"/>
                <w:b/>
                <w:sz w:val="18"/>
                <w:szCs w:val="18"/>
                <w:lang w:eastAsia="en-GB"/>
              </w:rPr>
              <w:t xml:space="preserve"> taxes and market income</w:t>
            </w:r>
          </w:p>
        </w:tc>
        <w:tc>
          <w:tcPr>
            <w:tcW w:w="4680" w:type="dxa"/>
            <w:hideMark/>
          </w:tcPr>
          <w:p w14:paraId="7454EC42" w14:textId="017BFA8A" w:rsidR="00F97F7F" w:rsidRDefault="00F97F7F" w:rsidP="00855877">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Pr>
                <w:rFonts w:cs="Times New Roman"/>
                <w:b/>
                <w:sz w:val="18"/>
                <w:szCs w:val="18"/>
                <w:lang w:eastAsia="en-GB"/>
              </w:rPr>
              <w:t>excise</w:t>
            </w:r>
            <w:r w:rsidRPr="00F2330A">
              <w:rPr>
                <w:rFonts w:cs="Times New Roman"/>
                <w:b/>
                <w:sz w:val="18"/>
                <w:szCs w:val="18"/>
                <w:lang w:eastAsia="en-GB"/>
              </w:rPr>
              <w:t xml:space="preserve"> tax</w:t>
            </w:r>
            <w:r>
              <w:rPr>
                <w:rFonts w:cs="Times New Roman"/>
                <w:b/>
                <w:sz w:val="18"/>
                <w:szCs w:val="18"/>
                <w:lang w:eastAsia="en-GB"/>
              </w:rPr>
              <w:t>es</w:t>
            </w:r>
            <w:r w:rsidRPr="00F2330A">
              <w:rPr>
                <w:rFonts w:cs="Times New Roman"/>
                <w:b/>
                <w:sz w:val="18"/>
                <w:szCs w:val="18"/>
                <w:lang w:eastAsia="en-GB"/>
              </w:rPr>
              <w:t xml:space="preserve"> in </w:t>
            </w:r>
            <w:r w:rsidR="007F2BD3">
              <w:rPr>
                <w:rFonts w:cs="Times New Roman"/>
                <w:b/>
                <w:sz w:val="18"/>
                <w:szCs w:val="18"/>
                <w:lang w:eastAsia="en-GB"/>
              </w:rPr>
              <w:t>household</w:t>
            </w:r>
            <w:r w:rsidR="007F2BD3" w:rsidRPr="00F2330A">
              <w:rPr>
                <w:rFonts w:cs="Times New Roman"/>
                <w:b/>
                <w:sz w:val="18"/>
                <w:szCs w:val="18"/>
                <w:lang w:eastAsia="en-GB"/>
              </w:rPr>
              <w:t xml:space="preserve"> </w:t>
            </w:r>
            <w:r>
              <w:rPr>
                <w:rFonts w:cs="Times New Roman"/>
                <w:b/>
                <w:sz w:val="18"/>
                <w:szCs w:val="18"/>
                <w:lang w:eastAsia="en-GB"/>
              </w:rPr>
              <w:t>market income</w:t>
            </w:r>
            <w:r w:rsidRPr="00F2330A">
              <w:rPr>
                <w:rFonts w:cs="Times New Roman"/>
                <w:b/>
                <w:sz w:val="18"/>
                <w:szCs w:val="18"/>
                <w:lang w:eastAsia="en-GB"/>
              </w:rPr>
              <w:t xml:space="preserve"> by quintile</w:t>
            </w:r>
          </w:p>
        </w:tc>
      </w:tr>
      <w:tr w:rsidR="00F97F7F" w14:paraId="3AB2C71E" w14:textId="77777777" w:rsidTr="00855877">
        <w:trPr>
          <w:cantSplit/>
        </w:trPr>
        <w:tc>
          <w:tcPr>
            <w:tcW w:w="4680" w:type="dxa"/>
            <w:tcMar>
              <w:top w:w="0" w:type="dxa"/>
              <w:left w:w="108" w:type="dxa"/>
              <w:bottom w:w="0" w:type="dxa"/>
              <w:right w:w="108" w:type="dxa"/>
            </w:tcMar>
            <w:hideMark/>
          </w:tcPr>
          <w:p w14:paraId="7231D865" w14:textId="6C660F68" w:rsidR="00F97F7F" w:rsidRDefault="006337D2" w:rsidP="00855877">
            <w:pPr>
              <w:spacing w:after="120"/>
              <w:rPr>
                <w:rFonts w:cs="Times New Roman"/>
                <w:sz w:val="16"/>
                <w:szCs w:val="16"/>
              </w:rPr>
            </w:pPr>
            <w:r>
              <w:rPr>
                <w:rFonts w:cs="Times New Roman"/>
                <w:noProof/>
                <w:sz w:val="16"/>
                <w:szCs w:val="16"/>
              </w:rPr>
              <w:drawing>
                <wp:inline distT="0" distB="0" distL="0" distR="0" wp14:anchorId="2269FBA6" wp14:editId="1D3CE900">
                  <wp:extent cx="2971800" cy="2066544"/>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Concentration_Excise_Tax.png"/>
                          <pic:cNvPicPr/>
                        </pic:nvPicPr>
                        <pic:blipFill rotWithShape="1">
                          <a:blip r:embed="rId18" cstate="print">
                            <a:extLst>
                              <a:ext uri="{28A0092B-C50C-407E-A947-70E740481C1C}">
                                <a14:useLocalDpi xmlns:a14="http://schemas.microsoft.com/office/drawing/2010/main" val="0"/>
                              </a:ext>
                            </a:extLst>
                          </a:blip>
                          <a:srcRect l="16128" r="16129"/>
                          <a:stretch/>
                        </pic:blipFill>
                        <pic:spPr bwMode="auto">
                          <a:xfrm>
                            <a:off x="0" y="0"/>
                            <a:ext cx="2971800" cy="206654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7D477DD1" w14:textId="1A939178" w:rsidR="00F97F7F" w:rsidRDefault="00555443" w:rsidP="00855877">
            <w:pPr>
              <w:spacing w:after="120"/>
              <w:rPr>
                <w:rFonts w:cs="Times New Roman"/>
                <w:sz w:val="16"/>
                <w:szCs w:val="16"/>
              </w:rPr>
            </w:pPr>
            <w:r>
              <w:rPr>
                <w:rFonts w:cs="Times New Roman"/>
                <w:noProof/>
                <w:sz w:val="16"/>
                <w:szCs w:val="16"/>
              </w:rPr>
              <w:drawing>
                <wp:inline distT="0" distB="0" distL="0" distR="0" wp14:anchorId="2A406B95" wp14:editId="4A0C05FA">
                  <wp:extent cx="2834640" cy="1889760"/>
                  <wp:effectExtent l="0" t="0" r="3810" b="0"/>
                  <wp:docPr id="47" name="Picture 47"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_3.6.B._Share_of_excise_taxes_in_total_market_income_by_quintile.png"/>
                          <pic:cNvPicPr/>
                        </pic:nvPicPr>
                        <pic:blipFill>
                          <a:blip r:embed="rId19">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F97F7F" w14:paraId="640835BA" w14:textId="77777777" w:rsidTr="00855877">
        <w:trPr>
          <w:cantSplit/>
        </w:trPr>
        <w:tc>
          <w:tcPr>
            <w:tcW w:w="9360" w:type="dxa"/>
            <w:gridSpan w:val="2"/>
            <w:tcMar>
              <w:top w:w="0" w:type="dxa"/>
              <w:left w:w="108" w:type="dxa"/>
              <w:bottom w:w="0" w:type="dxa"/>
              <w:right w:w="108" w:type="dxa"/>
            </w:tcMar>
            <w:hideMark/>
          </w:tcPr>
          <w:p w14:paraId="778D9E0A" w14:textId="4A058CBC" w:rsidR="00F97F7F" w:rsidRDefault="00F97F7F"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0EF4E52A" w14:textId="21036D4E" w:rsidR="00F97F7F" w:rsidRPr="00767FF8" w:rsidRDefault="00F97F7F"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C574B8">
              <w:rPr>
                <w:rFonts w:cs="Times New Roman"/>
                <w:sz w:val="18"/>
                <w:szCs w:val="18"/>
              </w:rPr>
              <w:t xml:space="preserve">(1) </w:t>
            </w:r>
            <w:r w:rsidR="00C574B8" w:rsidRPr="00767FF8">
              <w:rPr>
                <w:rFonts w:cs="Times New Roman"/>
                <w:sz w:val="18"/>
                <w:szCs w:val="18"/>
              </w:rPr>
              <w:t>Market inco</w:t>
            </w:r>
            <w:r w:rsidR="00C574B8" w:rsidRPr="00793B42">
              <w:rPr>
                <w:rFonts w:cs="Times New Roman"/>
                <w:sz w:val="18"/>
                <w:szCs w:val="18"/>
              </w:rPr>
              <w:t xml:space="preserve">me </w:t>
            </w:r>
            <w:r w:rsidR="00C574B8">
              <w:rPr>
                <w:rFonts w:cs="Times New Roman"/>
                <w:sz w:val="18"/>
                <w:szCs w:val="18"/>
              </w:rPr>
              <w:t xml:space="preserve">refers to market income </w:t>
            </w:r>
            <w:r w:rsidR="00C574B8" w:rsidRPr="00793B42">
              <w:rPr>
                <w:rFonts w:cs="Times New Roman"/>
                <w:sz w:val="18"/>
                <w:szCs w:val="18"/>
              </w:rPr>
              <w:t xml:space="preserve">plus pensions </w:t>
            </w:r>
            <w:r w:rsidR="00C574B8">
              <w:rPr>
                <w:rFonts w:cs="Times New Roman"/>
                <w:sz w:val="18"/>
                <w:szCs w:val="18"/>
              </w:rPr>
              <w:t xml:space="preserve">and </w:t>
            </w:r>
            <w:r w:rsidR="00C574B8" w:rsidRPr="00793B42">
              <w:rPr>
                <w:rFonts w:cs="Times New Roman"/>
                <w:sz w:val="18"/>
                <w:szCs w:val="18"/>
              </w:rPr>
              <w:t>comprises pretax wages, salaries, income earned from capital assets (rent, interest, or dividends), contributory pensions, and private transfers.</w:t>
            </w:r>
            <w:r w:rsidR="00C574B8">
              <w:rPr>
                <w:rFonts w:cs="Times New Roman"/>
                <w:sz w:val="18"/>
                <w:szCs w:val="18"/>
              </w:rPr>
              <w:t xml:space="preserve"> (2) </w:t>
            </w:r>
            <w:r w:rsidR="00C574B8" w:rsidRPr="007D5AD4">
              <w:rPr>
                <w:rFonts w:cs="Times New Roman"/>
                <w:sz w:val="18"/>
                <w:szCs w:val="18"/>
              </w:rPr>
              <w:t>95</w:t>
            </w:r>
            <w:r w:rsidR="00C574B8">
              <w:rPr>
                <w:rFonts w:cs="Times New Roman"/>
                <w:sz w:val="18"/>
                <w:szCs w:val="18"/>
              </w:rPr>
              <w:t xml:space="preserve"> </w:t>
            </w:r>
            <w:r w:rsidR="00C574B8" w:rsidRPr="007D5AD4">
              <w:rPr>
                <w:rFonts w:cs="Times New Roman"/>
                <w:sz w:val="18"/>
                <w:szCs w:val="18"/>
              </w:rPr>
              <w:t xml:space="preserve">percent confidence intervals </w:t>
            </w:r>
            <w:r w:rsidR="00C574B8">
              <w:rPr>
                <w:rFonts w:cs="Times New Roman"/>
                <w:sz w:val="18"/>
                <w:szCs w:val="18"/>
              </w:rPr>
              <w:t>displayed</w:t>
            </w:r>
            <w:r w:rsidR="00C574B8" w:rsidRPr="007D5AD4">
              <w:rPr>
                <w:rFonts w:cs="Times New Roman"/>
                <w:sz w:val="18"/>
                <w:szCs w:val="18"/>
              </w:rPr>
              <w:t xml:space="preserve"> in panel (b)</w:t>
            </w:r>
            <w:r w:rsidR="00C574B8">
              <w:rPr>
                <w:rFonts w:cs="Times New Roman"/>
                <w:sz w:val="18"/>
                <w:szCs w:val="18"/>
              </w:rPr>
              <w:t>.</w:t>
            </w:r>
          </w:p>
        </w:tc>
      </w:tr>
    </w:tbl>
    <w:p w14:paraId="675C3103" w14:textId="77777777" w:rsidR="007245BC" w:rsidRDefault="007245BC" w:rsidP="002E6831"/>
    <w:p w14:paraId="73D46431" w14:textId="484AFC51" w:rsidR="00A87C88" w:rsidRDefault="00EC45CF" w:rsidP="00E72D50">
      <w:pPr>
        <w:pStyle w:val="Heading3"/>
      </w:pPr>
      <w:bookmarkStart w:id="79" w:name="_Toc8812803"/>
      <w:bookmarkStart w:id="80" w:name="_Toc10824876"/>
      <w:bookmarkStart w:id="81" w:name="_Toc10824948"/>
      <w:r>
        <w:t>Subsidies</w:t>
      </w:r>
      <w:bookmarkEnd w:id="79"/>
      <w:bookmarkEnd w:id="80"/>
      <w:bookmarkEnd w:id="81"/>
    </w:p>
    <w:p w14:paraId="1C72C417" w14:textId="580468A2" w:rsidR="00D24F34" w:rsidRDefault="002C50F3" w:rsidP="00871856">
      <w:pPr>
        <w:shd w:val="clear" w:color="auto" w:fill="FFFFFF"/>
        <w:spacing w:before="15" w:after="15" w:line="270" w:lineRule="atLeast"/>
      </w:pPr>
      <w:r w:rsidRPr="00871856">
        <w:rPr>
          <w:b/>
        </w:rPr>
        <w:t>The government subsidies</w:t>
      </w:r>
      <w:r w:rsidR="0094004A" w:rsidRPr="00871856">
        <w:rPr>
          <w:b/>
        </w:rPr>
        <w:t xml:space="preserve"> </w:t>
      </w:r>
      <w:r w:rsidR="00F619C2">
        <w:rPr>
          <w:b/>
        </w:rPr>
        <w:t xml:space="preserve">consumption of </w:t>
      </w:r>
      <w:r w:rsidR="007A6982" w:rsidRPr="00871856">
        <w:rPr>
          <w:b/>
        </w:rPr>
        <w:t>rice, flour</w:t>
      </w:r>
      <w:r w:rsidR="003B228D" w:rsidRPr="00871856">
        <w:rPr>
          <w:b/>
        </w:rPr>
        <w:t xml:space="preserve">, </w:t>
      </w:r>
      <w:r w:rsidR="00F619C2">
        <w:rPr>
          <w:b/>
        </w:rPr>
        <w:t xml:space="preserve">and </w:t>
      </w:r>
      <w:r w:rsidR="009806E0">
        <w:rPr>
          <w:b/>
        </w:rPr>
        <w:t>LPG</w:t>
      </w:r>
      <w:r w:rsidR="00A04701" w:rsidRPr="00871856">
        <w:rPr>
          <w:b/>
        </w:rPr>
        <w:t xml:space="preserve"> </w:t>
      </w:r>
      <w:r w:rsidR="00F619C2">
        <w:rPr>
          <w:b/>
        </w:rPr>
        <w:t>as well as</w:t>
      </w:r>
      <w:r w:rsidR="00A04701" w:rsidRPr="00871856">
        <w:rPr>
          <w:b/>
        </w:rPr>
        <w:t xml:space="preserve"> </w:t>
      </w:r>
      <w:r w:rsidR="00603718">
        <w:rPr>
          <w:b/>
        </w:rPr>
        <w:t xml:space="preserve">commutes by </w:t>
      </w:r>
      <w:r w:rsidR="004230FC">
        <w:rPr>
          <w:b/>
        </w:rPr>
        <w:t xml:space="preserve">public </w:t>
      </w:r>
      <w:r w:rsidR="001A176A" w:rsidRPr="00871856">
        <w:rPr>
          <w:b/>
        </w:rPr>
        <w:t>bus.</w:t>
      </w:r>
      <w:r w:rsidR="001A176A" w:rsidRPr="00871856">
        <w:t xml:space="preserve"> </w:t>
      </w:r>
      <w:r w:rsidR="001E07E0" w:rsidRPr="003B228D">
        <w:t>The State Trading Corporation</w:t>
      </w:r>
      <w:r w:rsidR="00A04701">
        <w:t xml:space="preserve"> </w:t>
      </w:r>
      <w:r w:rsidR="001E07E0">
        <w:t>began its operations in 1983 and</w:t>
      </w:r>
      <w:r w:rsidR="003B0B46">
        <w:t xml:space="preserve"> is responsible for sourcing and importation of selected essential strategic commod</w:t>
      </w:r>
      <w:r w:rsidR="003B228D">
        <w:t>ities</w:t>
      </w:r>
      <w:r w:rsidR="003B0B46">
        <w:t xml:space="preserve"> including petroleum products</w:t>
      </w:r>
      <w:r w:rsidR="003B228D">
        <w:t>, LPG, long grain white rice, and wheat flour</w:t>
      </w:r>
      <w:r w:rsidR="00AA2AB0">
        <w:t>.</w:t>
      </w:r>
      <w:r w:rsidR="000D4B12">
        <w:t xml:space="preserve"> </w:t>
      </w:r>
      <w:r w:rsidR="00815A9A">
        <w:t>at its creation, t</w:t>
      </w:r>
      <w:r w:rsidR="00AA2AB0">
        <w:t xml:space="preserve">he </w:t>
      </w:r>
      <w:r w:rsidR="003E1381">
        <w:t xml:space="preserve">State Trading Corporation </w:t>
      </w:r>
      <w:r w:rsidR="00815A9A">
        <w:t xml:space="preserve">was mainly responsible for </w:t>
      </w:r>
      <w:r w:rsidR="00F554B6">
        <w:t xml:space="preserve">the purchase, importation, storage, sale, </w:t>
      </w:r>
      <w:r w:rsidR="0020773A">
        <w:t>and</w:t>
      </w:r>
      <w:r w:rsidR="00F554B6">
        <w:t xml:space="preserve"> marketing of staple </w:t>
      </w:r>
      <w:r w:rsidR="0020773A">
        <w:t>commodities</w:t>
      </w:r>
      <w:r w:rsidR="00F554B6">
        <w:t>, namely rice and flour</w:t>
      </w:r>
      <w:r w:rsidR="00853E5B">
        <w:t xml:space="preserve">. </w:t>
      </w:r>
      <w:r w:rsidR="00465A83">
        <w:t>T</w:t>
      </w:r>
      <w:r w:rsidR="000D5E06">
        <w:t>he retail price of</w:t>
      </w:r>
      <w:r w:rsidR="00853E5B">
        <w:t xml:space="preserve"> long grain white rice (</w:t>
      </w:r>
      <w:r w:rsidR="000D5E06">
        <w:t>also known as</w:t>
      </w:r>
      <w:r w:rsidR="00853E5B">
        <w:t xml:space="preserve"> ration rice)</w:t>
      </w:r>
      <w:r w:rsidR="00192853">
        <w:t xml:space="preserve"> is fixed by the government at </w:t>
      </w:r>
      <w:r w:rsidR="00C465B1">
        <w:t>MUR</w:t>
      </w:r>
      <w:r w:rsidR="00192853">
        <w:t xml:space="preserve"> 5.4 per 0.5 k</w:t>
      </w:r>
      <w:r w:rsidR="00172E32">
        <w:t>g</w:t>
      </w:r>
      <w:r w:rsidR="00264CD4">
        <w:t>. All the wheat flour is sold at a subsidized retail price</w:t>
      </w:r>
      <w:r w:rsidR="00172E32">
        <w:t xml:space="preserve"> fixed </w:t>
      </w:r>
      <w:r w:rsidR="0091579A">
        <w:t>of</w:t>
      </w:r>
      <w:r w:rsidR="00172E32">
        <w:t xml:space="preserve"> </w:t>
      </w:r>
      <w:r w:rsidR="00C465B1">
        <w:t>MUR</w:t>
      </w:r>
      <w:r w:rsidR="00172E32">
        <w:t xml:space="preserve"> 5.85 per 0.5 kg</w:t>
      </w:r>
      <w:r w:rsidR="0091579A">
        <w:t xml:space="preserve">, which was recently decreased to 4.85 for white wheat flour and </w:t>
      </w:r>
      <w:r w:rsidR="00C465B1">
        <w:t>MUR</w:t>
      </w:r>
      <w:r w:rsidR="0091579A">
        <w:t xml:space="preserve"> 4 per 0.5 kg for brown bread flour</w:t>
      </w:r>
      <w:r w:rsidR="00F11738">
        <w:t xml:space="preserve">. </w:t>
      </w:r>
      <w:r w:rsidR="001D1109">
        <w:t>A</w:t>
      </w:r>
      <w:r w:rsidR="00F11738">
        <w:t>bout 80 percent of the flour is absorbed by bakeries, while the remaining 20 percent is for household use. Since 2002, the STC has also been charged with the</w:t>
      </w:r>
      <w:r w:rsidR="000A7939">
        <w:t xml:space="preserve"> importation of </w:t>
      </w:r>
      <w:r w:rsidR="00AD026D">
        <w:t>LPG</w:t>
      </w:r>
      <w:r w:rsidR="000A7939">
        <w:t>, which is virtually all used by households a source of energy for cooking and water-heating.</w:t>
      </w:r>
      <w:r w:rsidR="0065474A">
        <w:t xml:space="preserve"> The price of LPG is fixed by the government at </w:t>
      </w:r>
      <w:r w:rsidR="00C465B1">
        <w:t>MUR</w:t>
      </w:r>
      <w:r w:rsidR="00BF39E9">
        <w:t xml:space="preserve"> 270 </w:t>
      </w:r>
      <w:r w:rsidR="0065474A">
        <w:t>per</w:t>
      </w:r>
      <w:r w:rsidR="00BF39E9">
        <w:t xml:space="preserve"> cylinder (12 kg)</w:t>
      </w:r>
      <w:r w:rsidR="0065474A">
        <w:t xml:space="preserve">. In addition, the government </w:t>
      </w:r>
      <w:r w:rsidR="00F5269C">
        <w:t>budget allows for</w:t>
      </w:r>
      <w:r w:rsidR="00467EE3">
        <w:t xml:space="preserve"> an annual subsidy of about </w:t>
      </w:r>
      <w:r w:rsidR="00C465B1">
        <w:t>MUR</w:t>
      </w:r>
      <w:r w:rsidR="00E626AA">
        <w:t xml:space="preserve"> </w:t>
      </w:r>
      <w:r w:rsidR="00467EE3">
        <w:t>1.26 billion in fiscal year 2017/18</w:t>
      </w:r>
      <w:r w:rsidR="00076701">
        <w:t xml:space="preserve"> </w:t>
      </w:r>
      <w:r w:rsidR="009A77F5">
        <w:t xml:space="preserve">to bus companies </w:t>
      </w:r>
      <w:r w:rsidR="00944E58">
        <w:t>to</w:t>
      </w:r>
      <w:r w:rsidR="00076701">
        <w:t xml:space="preserve"> provide free bus transports to senior citizens (</w:t>
      </w:r>
      <w:r w:rsidR="00DE10E6">
        <w:t>60 years of age and above), disabled, as well as students attending public schools.</w:t>
      </w:r>
    </w:p>
    <w:p w14:paraId="26101D1D" w14:textId="77777777" w:rsidR="00D13421" w:rsidRPr="00D13421" w:rsidRDefault="00D13421" w:rsidP="00D13421"/>
    <w:tbl>
      <w:tblPr>
        <w:tblStyle w:val="PlainTable2"/>
        <w:tblW w:w="6660" w:type="dxa"/>
        <w:tblLook w:val="04A0" w:firstRow="1" w:lastRow="0" w:firstColumn="1" w:lastColumn="0" w:noHBand="0" w:noVBand="1"/>
      </w:tblPr>
      <w:tblGrid>
        <w:gridCol w:w="3500"/>
        <w:gridCol w:w="1720"/>
        <w:gridCol w:w="1440"/>
      </w:tblGrid>
      <w:tr w:rsidR="005C72CD" w:rsidRPr="00D73851" w14:paraId="43F7CD38" w14:textId="77777777" w:rsidTr="008C309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60" w:type="dxa"/>
            <w:gridSpan w:val="3"/>
            <w:tcBorders>
              <w:top w:val="nil"/>
            </w:tcBorders>
          </w:tcPr>
          <w:p w14:paraId="6058A67C" w14:textId="2391C41D" w:rsidR="005C72CD" w:rsidRPr="005C72CD" w:rsidRDefault="005C72CD" w:rsidP="005C72CD">
            <w:pPr>
              <w:pStyle w:val="Caption"/>
              <w:keepNext/>
              <w:rPr>
                <w:b/>
                <w:color w:val="auto"/>
                <w:sz w:val="18"/>
                <w:szCs w:val="18"/>
              </w:rPr>
            </w:pPr>
            <w:bookmarkStart w:id="82" w:name="_Toc517098859"/>
            <w:bookmarkStart w:id="83" w:name="_Toc11255088"/>
            <w:r w:rsidRPr="005C72CD">
              <w:rPr>
                <w:b/>
                <w:color w:val="auto"/>
                <w:sz w:val="18"/>
                <w:szCs w:val="18"/>
              </w:rPr>
              <w:t xml:space="preserve">Table </w:t>
            </w:r>
            <w:r w:rsidR="00275542">
              <w:rPr>
                <w:color w:val="auto"/>
                <w:sz w:val="18"/>
                <w:szCs w:val="18"/>
              </w:rPr>
              <w:fldChar w:fldCharType="begin"/>
            </w:r>
            <w:r w:rsidR="00275542">
              <w:rPr>
                <w:b/>
                <w:color w:val="auto"/>
                <w:sz w:val="18"/>
                <w:szCs w:val="18"/>
              </w:rPr>
              <w:instrText xml:space="preserve"> STYLEREF 1 \s </w:instrText>
            </w:r>
            <w:r w:rsidR="00275542">
              <w:rPr>
                <w:color w:val="auto"/>
                <w:sz w:val="18"/>
                <w:szCs w:val="18"/>
              </w:rPr>
              <w:fldChar w:fldCharType="separate"/>
            </w:r>
            <w:r w:rsidR="00C37C80">
              <w:rPr>
                <w:b/>
                <w:noProof/>
                <w:color w:val="auto"/>
                <w:sz w:val="18"/>
                <w:szCs w:val="18"/>
              </w:rPr>
              <w:t>3</w:t>
            </w:r>
            <w:r w:rsidR="00275542">
              <w:rPr>
                <w:color w:val="auto"/>
                <w:sz w:val="18"/>
                <w:szCs w:val="18"/>
              </w:rPr>
              <w:fldChar w:fldCharType="end"/>
            </w:r>
            <w:r w:rsidR="00275542">
              <w:rPr>
                <w:b/>
                <w:color w:val="auto"/>
                <w:sz w:val="18"/>
                <w:szCs w:val="18"/>
              </w:rPr>
              <w:t>.</w:t>
            </w:r>
            <w:r w:rsidR="00275542">
              <w:rPr>
                <w:color w:val="auto"/>
                <w:sz w:val="18"/>
                <w:szCs w:val="18"/>
              </w:rPr>
              <w:fldChar w:fldCharType="begin"/>
            </w:r>
            <w:r w:rsidR="00275542">
              <w:rPr>
                <w:b/>
                <w:color w:val="auto"/>
                <w:sz w:val="18"/>
                <w:szCs w:val="18"/>
              </w:rPr>
              <w:instrText xml:space="preserve"> SEQ Table \* ARABIC \s 1 </w:instrText>
            </w:r>
            <w:r w:rsidR="00275542">
              <w:rPr>
                <w:color w:val="auto"/>
                <w:sz w:val="18"/>
                <w:szCs w:val="18"/>
              </w:rPr>
              <w:fldChar w:fldCharType="separate"/>
            </w:r>
            <w:r w:rsidR="00C37C80">
              <w:rPr>
                <w:b/>
                <w:noProof/>
                <w:color w:val="auto"/>
                <w:sz w:val="18"/>
                <w:szCs w:val="18"/>
              </w:rPr>
              <w:t>5</w:t>
            </w:r>
            <w:r w:rsidR="00275542">
              <w:rPr>
                <w:color w:val="auto"/>
                <w:sz w:val="18"/>
                <w:szCs w:val="18"/>
              </w:rPr>
              <w:fldChar w:fldCharType="end"/>
            </w:r>
            <w:r w:rsidRPr="005C72CD">
              <w:rPr>
                <w:b/>
                <w:color w:val="auto"/>
                <w:sz w:val="18"/>
                <w:szCs w:val="18"/>
              </w:rPr>
              <w:t xml:space="preserve">: </w:t>
            </w:r>
            <w:r w:rsidR="00566B58">
              <w:rPr>
                <w:b/>
                <w:color w:val="auto"/>
                <w:sz w:val="18"/>
                <w:szCs w:val="18"/>
              </w:rPr>
              <w:t>Expenditures on subsidies</w:t>
            </w:r>
            <w:r w:rsidRPr="005C72CD">
              <w:rPr>
                <w:b/>
                <w:color w:val="auto"/>
                <w:sz w:val="18"/>
                <w:szCs w:val="18"/>
              </w:rPr>
              <w:t xml:space="preserve"> by item, 201</w:t>
            </w:r>
            <w:r w:rsidR="00566B58">
              <w:rPr>
                <w:b/>
                <w:color w:val="auto"/>
                <w:sz w:val="18"/>
                <w:szCs w:val="18"/>
              </w:rPr>
              <w:t>7/18</w:t>
            </w:r>
            <w:bookmarkEnd w:id="82"/>
            <w:bookmarkEnd w:id="83"/>
          </w:p>
        </w:tc>
      </w:tr>
      <w:tr w:rsidR="00E01AA2" w:rsidRPr="00D73851" w14:paraId="3AD1E447" w14:textId="77777777" w:rsidTr="00E01A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vMerge w:val="restart"/>
            <w:hideMark/>
          </w:tcPr>
          <w:p w14:paraId="26AA5A8F" w14:textId="77777777" w:rsidR="00E01AA2" w:rsidRPr="00727D48" w:rsidRDefault="00E01AA2" w:rsidP="00855877">
            <w:pPr>
              <w:jc w:val="center"/>
              <w:rPr>
                <w:rFonts w:asciiTheme="majorHAnsi" w:eastAsia="Times New Roman" w:hAnsiTheme="majorHAnsi" w:cstheme="majorHAnsi"/>
                <w:b w:val="0"/>
                <w:i/>
                <w:color w:val="FFFFFF"/>
                <w:sz w:val="18"/>
                <w:szCs w:val="18"/>
              </w:rPr>
            </w:pPr>
            <w:r w:rsidRPr="00727D48">
              <w:rPr>
                <w:rFonts w:asciiTheme="majorHAnsi" w:eastAsia="Times New Roman" w:hAnsiTheme="majorHAnsi" w:cstheme="majorHAnsi"/>
                <w:i/>
                <w:color w:val="FFFFFF"/>
                <w:sz w:val="18"/>
                <w:szCs w:val="18"/>
              </w:rPr>
              <w:t> Items</w:t>
            </w:r>
          </w:p>
        </w:tc>
        <w:tc>
          <w:tcPr>
            <w:tcW w:w="1720" w:type="dxa"/>
            <w:hideMark/>
          </w:tcPr>
          <w:p w14:paraId="5313AF49" w14:textId="77777777" w:rsidR="00E01AA2" w:rsidRPr="00727D48" w:rsidRDefault="00E01AA2"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FY2017/18 </w:t>
            </w:r>
          </w:p>
        </w:tc>
        <w:tc>
          <w:tcPr>
            <w:tcW w:w="1440" w:type="dxa"/>
            <w:hideMark/>
          </w:tcPr>
          <w:p w14:paraId="5244F759" w14:textId="77777777" w:rsidR="00E01AA2" w:rsidRPr="00727D48" w:rsidRDefault="00E01AA2"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 xml:space="preserve">FY2017/18 </w:t>
            </w:r>
          </w:p>
        </w:tc>
      </w:tr>
      <w:tr w:rsidR="00E01AA2" w:rsidRPr="00D73851" w14:paraId="55069BAC" w14:textId="77777777" w:rsidTr="00E01AA2">
        <w:trPr>
          <w:trHeight w:val="315"/>
        </w:trPr>
        <w:tc>
          <w:tcPr>
            <w:cnfStyle w:val="001000000000" w:firstRow="0" w:lastRow="0" w:firstColumn="1" w:lastColumn="0" w:oddVBand="0" w:evenVBand="0" w:oddHBand="0" w:evenHBand="0" w:firstRowFirstColumn="0" w:firstRowLastColumn="0" w:lastRowFirstColumn="0" w:lastRowLastColumn="0"/>
            <w:tcW w:w="3500" w:type="dxa"/>
            <w:vMerge/>
            <w:tcBorders>
              <w:bottom w:val="single" w:sz="4" w:space="0" w:color="auto"/>
            </w:tcBorders>
            <w:hideMark/>
          </w:tcPr>
          <w:p w14:paraId="212F548E" w14:textId="77777777" w:rsidR="00E01AA2" w:rsidRPr="00727D48" w:rsidRDefault="00E01AA2" w:rsidP="00855877">
            <w:pPr>
              <w:jc w:val="left"/>
              <w:rPr>
                <w:rFonts w:asciiTheme="majorHAnsi" w:eastAsia="Times New Roman" w:hAnsiTheme="majorHAnsi" w:cstheme="majorHAnsi"/>
                <w:b w:val="0"/>
                <w:i/>
                <w:color w:val="FFFFFF"/>
                <w:sz w:val="18"/>
                <w:szCs w:val="18"/>
              </w:rPr>
            </w:pPr>
          </w:p>
        </w:tc>
        <w:tc>
          <w:tcPr>
            <w:tcW w:w="1720" w:type="dxa"/>
            <w:tcBorders>
              <w:bottom w:val="single" w:sz="4" w:space="0" w:color="auto"/>
            </w:tcBorders>
          </w:tcPr>
          <w:p w14:paraId="2FCBA07B" w14:textId="3C2EF9A0" w:rsidR="00E01AA2" w:rsidRPr="00727D48" w:rsidRDefault="00C465B1"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MUR,</w:t>
            </w:r>
            <w:r w:rsidR="00E01AA2" w:rsidRPr="00727D48">
              <w:rPr>
                <w:rFonts w:asciiTheme="majorHAnsi" w:eastAsia="Times New Roman" w:hAnsiTheme="majorHAnsi" w:cstheme="majorHAnsi"/>
                <w:bCs/>
                <w:i/>
                <w:sz w:val="18"/>
                <w:szCs w:val="18"/>
              </w:rPr>
              <w:t xml:space="preserve"> million</w:t>
            </w:r>
            <w:r w:rsidRPr="00727D48">
              <w:rPr>
                <w:rFonts w:asciiTheme="majorHAnsi" w:eastAsia="Times New Roman" w:hAnsiTheme="majorHAnsi" w:cstheme="majorHAnsi"/>
                <w:bCs/>
                <w:i/>
                <w:sz w:val="18"/>
                <w:szCs w:val="18"/>
              </w:rPr>
              <w:t>s</w:t>
            </w:r>
          </w:p>
        </w:tc>
        <w:tc>
          <w:tcPr>
            <w:tcW w:w="1440" w:type="dxa"/>
            <w:tcBorders>
              <w:bottom w:val="single" w:sz="4" w:space="0" w:color="auto"/>
            </w:tcBorders>
          </w:tcPr>
          <w:p w14:paraId="31D860CE" w14:textId="56CD77C0" w:rsidR="00E01AA2" w:rsidRPr="00727D48" w:rsidRDefault="00E01AA2"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i/>
                <w:sz w:val="18"/>
                <w:szCs w:val="18"/>
              </w:rPr>
            </w:pPr>
            <w:r w:rsidRPr="00727D48">
              <w:rPr>
                <w:rFonts w:asciiTheme="majorHAnsi" w:eastAsia="Times New Roman" w:hAnsiTheme="majorHAnsi" w:cstheme="majorHAnsi"/>
                <w:bCs/>
                <w:i/>
                <w:sz w:val="18"/>
                <w:szCs w:val="18"/>
              </w:rPr>
              <w:t>Shares in total</w:t>
            </w:r>
          </w:p>
        </w:tc>
      </w:tr>
      <w:tr w:rsidR="00E01AA2" w:rsidRPr="00D73851" w14:paraId="3036416A" w14:textId="77777777" w:rsidTr="00E01A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bottom w:val="nil"/>
            </w:tcBorders>
            <w:hideMark/>
          </w:tcPr>
          <w:p w14:paraId="798EF158" w14:textId="4E1C9D98" w:rsidR="00E01AA2" w:rsidRPr="00727D48" w:rsidRDefault="00E01AA2" w:rsidP="00855877">
            <w:pPr>
              <w:jc w:val="left"/>
              <w:rPr>
                <w:rFonts w:asciiTheme="majorHAnsi" w:eastAsia="Times New Roman" w:hAnsiTheme="majorHAnsi" w:cstheme="majorHAnsi"/>
                <w:b w:val="0"/>
                <w:color w:val="000000"/>
                <w:sz w:val="18"/>
                <w:szCs w:val="18"/>
              </w:rPr>
            </w:pPr>
            <w:r w:rsidRPr="00A30D36">
              <w:rPr>
                <w:rFonts w:asciiTheme="majorHAnsi" w:eastAsia="Times New Roman" w:hAnsiTheme="majorHAnsi" w:cstheme="majorHAnsi"/>
                <w:color w:val="000000"/>
                <w:sz w:val="18"/>
                <w:szCs w:val="18"/>
              </w:rPr>
              <w:t>Flour</w:t>
            </w:r>
          </w:p>
        </w:tc>
        <w:tc>
          <w:tcPr>
            <w:tcW w:w="1720" w:type="dxa"/>
            <w:tcBorders>
              <w:top w:val="single" w:sz="4" w:space="0" w:color="auto"/>
              <w:bottom w:val="nil"/>
            </w:tcBorders>
            <w:hideMark/>
          </w:tcPr>
          <w:p w14:paraId="1D18E72B" w14:textId="5DB2EAAD" w:rsidR="00E01AA2" w:rsidRPr="00D73851" w:rsidRDefault="00E01AA2"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409</w:t>
            </w:r>
          </w:p>
        </w:tc>
        <w:tc>
          <w:tcPr>
            <w:tcW w:w="1440" w:type="dxa"/>
            <w:tcBorders>
              <w:top w:val="single" w:sz="4" w:space="0" w:color="auto"/>
              <w:bottom w:val="nil"/>
            </w:tcBorders>
            <w:noWrap/>
          </w:tcPr>
          <w:p w14:paraId="5D70172F" w14:textId="221A84A2" w:rsidR="00E01AA2" w:rsidRPr="00D73851" w:rsidRDefault="00342A04"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w:t>
            </w:r>
            <w:r w:rsidR="00A42758">
              <w:rPr>
                <w:rFonts w:asciiTheme="majorHAnsi" w:eastAsia="Times New Roman" w:hAnsiTheme="majorHAnsi" w:cstheme="majorHAnsi"/>
                <w:color w:val="000000"/>
                <w:sz w:val="18"/>
                <w:szCs w:val="18"/>
              </w:rPr>
              <w:t>32</w:t>
            </w:r>
          </w:p>
        </w:tc>
      </w:tr>
      <w:tr w:rsidR="00E01AA2" w:rsidRPr="00D73851" w14:paraId="3F3E6930" w14:textId="77777777" w:rsidTr="00E01AA2">
        <w:trPr>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2C784318" w14:textId="7077ECF5" w:rsidR="00E01AA2" w:rsidRPr="00727D48" w:rsidRDefault="00E01AA2" w:rsidP="00855877">
            <w:pPr>
              <w:jc w:val="left"/>
              <w:rPr>
                <w:rFonts w:asciiTheme="majorHAnsi" w:eastAsia="Times New Roman" w:hAnsiTheme="majorHAnsi" w:cstheme="majorHAnsi"/>
                <w:b w:val="0"/>
                <w:color w:val="000000"/>
                <w:sz w:val="18"/>
                <w:szCs w:val="18"/>
              </w:rPr>
            </w:pPr>
            <w:r w:rsidRPr="00A30D36">
              <w:rPr>
                <w:rFonts w:asciiTheme="majorHAnsi" w:eastAsia="Times New Roman" w:hAnsiTheme="majorHAnsi" w:cstheme="majorHAnsi"/>
                <w:color w:val="000000"/>
                <w:sz w:val="18"/>
                <w:szCs w:val="18"/>
              </w:rPr>
              <w:t>Rice</w:t>
            </w:r>
          </w:p>
        </w:tc>
        <w:tc>
          <w:tcPr>
            <w:tcW w:w="1720" w:type="dxa"/>
            <w:tcBorders>
              <w:top w:val="nil"/>
              <w:bottom w:val="nil"/>
            </w:tcBorders>
            <w:hideMark/>
          </w:tcPr>
          <w:p w14:paraId="10FF8F3B" w14:textId="234249EF" w:rsidR="00E01AA2" w:rsidRPr="00D73851" w:rsidRDefault="00E01AA2"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117</w:t>
            </w:r>
          </w:p>
        </w:tc>
        <w:tc>
          <w:tcPr>
            <w:tcW w:w="1440" w:type="dxa"/>
            <w:tcBorders>
              <w:top w:val="nil"/>
              <w:bottom w:val="nil"/>
            </w:tcBorders>
            <w:noWrap/>
          </w:tcPr>
          <w:p w14:paraId="598E32C4" w14:textId="398E6E31" w:rsidR="00E01AA2" w:rsidRPr="00D73851" w:rsidRDefault="00A42758"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0.09</w:t>
            </w:r>
          </w:p>
        </w:tc>
      </w:tr>
      <w:tr w:rsidR="00E01AA2" w:rsidRPr="00D73851" w14:paraId="0B4D04C5" w14:textId="77777777" w:rsidTr="00E01A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58562410" w14:textId="5901E6E0" w:rsidR="00E01AA2" w:rsidRPr="00727D48" w:rsidRDefault="00E01AA2" w:rsidP="00855877">
            <w:pPr>
              <w:jc w:val="left"/>
              <w:rPr>
                <w:rFonts w:asciiTheme="majorHAnsi" w:eastAsia="Times New Roman" w:hAnsiTheme="majorHAnsi" w:cstheme="majorHAnsi"/>
                <w:b w:val="0"/>
                <w:color w:val="000000"/>
                <w:sz w:val="18"/>
                <w:szCs w:val="18"/>
              </w:rPr>
            </w:pPr>
            <w:r w:rsidRPr="00A30D36">
              <w:rPr>
                <w:rFonts w:asciiTheme="majorHAnsi" w:eastAsia="Times New Roman" w:hAnsiTheme="majorHAnsi" w:cstheme="majorHAnsi"/>
                <w:color w:val="000000"/>
                <w:sz w:val="18"/>
                <w:szCs w:val="18"/>
              </w:rPr>
              <w:t>Liquified petroleum gas</w:t>
            </w:r>
          </w:p>
        </w:tc>
        <w:tc>
          <w:tcPr>
            <w:tcW w:w="1720" w:type="dxa"/>
            <w:tcBorders>
              <w:top w:val="nil"/>
              <w:bottom w:val="nil"/>
            </w:tcBorders>
            <w:hideMark/>
          </w:tcPr>
          <w:p w14:paraId="04487372" w14:textId="4E37450C" w:rsidR="00E01AA2" w:rsidRPr="00D73851" w:rsidRDefault="00E01AA2"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349</w:t>
            </w:r>
          </w:p>
        </w:tc>
        <w:tc>
          <w:tcPr>
            <w:tcW w:w="1440" w:type="dxa"/>
            <w:tcBorders>
              <w:top w:val="nil"/>
              <w:bottom w:val="nil"/>
            </w:tcBorders>
            <w:noWrap/>
          </w:tcPr>
          <w:p w14:paraId="081AE843" w14:textId="26942025" w:rsidR="00E01AA2" w:rsidRPr="00D73851" w:rsidRDefault="00A42758"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0.27</w:t>
            </w:r>
          </w:p>
        </w:tc>
      </w:tr>
      <w:tr w:rsidR="00E01AA2" w:rsidRPr="00D73851" w14:paraId="0E11BB47" w14:textId="77777777" w:rsidTr="00E01AA2">
        <w:trPr>
          <w:trHeight w:val="315"/>
        </w:trPr>
        <w:tc>
          <w:tcPr>
            <w:cnfStyle w:val="001000000000" w:firstRow="0" w:lastRow="0" w:firstColumn="1" w:lastColumn="0" w:oddVBand="0" w:evenVBand="0" w:oddHBand="0" w:evenHBand="0" w:firstRowFirstColumn="0" w:firstRowLastColumn="0" w:lastRowFirstColumn="0" w:lastRowLastColumn="0"/>
            <w:tcW w:w="3500" w:type="dxa"/>
            <w:tcBorders>
              <w:top w:val="nil"/>
              <w:bottom w:val="nil"/>
            </w:tcBorders>
            <w:hideMark/>
          </w:tcPr>
          <w:p w14:paraId="24BCB669" w14:textId="0ABEE9A9" w:rsidR="00E01AA2" w:rsidRPr="00727D48" w:rsidRDefault="00E01AA2" w:rsidP="00855877">
            <w:pPr>
              <w:jc w:val="left"/>
              <w:rPr>
                <w:rFonts w:asciiTheme="majorHAnsi" w:eastAsia="Times New Roman" w:hAnsiTheme="majorHAnsi" w:cstheme="majorHAnsi"/>
                <w:b w:val="0"/>
                <w:color w:val="000000"/>
                <w:sz w:val="18"/>
                <w:szCs w:val="18"/>
              </w:rPr>
            </w:pPr>
            <w:r w:rsidRPr="00A30D36">
              <w:rPr>
                <w:rFonts w:asciiTheme="majorHAnsi" w:eastAsia="Times New Roman" w:hAnsiTheme="majorHAnsi" w:cstheme="majorHAnsi"/>
                <w:color w:val="000000"/>
                <w:sz w:val="18"/>
                <w:szCs w:val="18"/>
              </w:rPr>
              <w:t>Bus transport</w:t>
            </w:r>
          </w:p>
        </w:tc>
        <w:tc>
          <w:tcPr>
            <w:tcW w:w="1720" w:type="dxa"/>
            <w:tcBorders>
              <w:top w:val="nil"/>
              <w:bottom w:val="nil"/>
            </w:tcBorders>
            <w:hideMark/>
          </w:tcPr>
          <w:p w14:paraId="24503DD8" w14:textId="2A29AB56" w:rsidR="00E01AA2" w:rsidRPr="00D73851" w:rsidRDefault="00E01AA2"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126,000</w:t>
            </w:r>
          </w:p>
        </w:tc>
        <w:tc>
          <w:tcPr>
            <w:tcW w:w="1440" w:type="dxa"/>
            <w:tcBorders>
              <w:top w:val="nil"/>
              <w:bottom w:val="nil"/>
            </w:tcBorders>
            <w:noWrap/>
          </w:tcPr>
          <w:p w14:paraId="736BEA8B" w14:textId="5522E89F" w:rsidR="00E01AA2" w:rsidRPr="00D73851" w:rsidRDefault="00A42758" w:rsidP="0085587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99.3</w:t>
            </w:r>
          </w:p>
        </w:tc>
      </w:tr>
      <w:tr w:rsidR="00E01AA2" w:rsidRPr="00D73851" w14:paraId="27CB26AD" w14:textId="77777777" w:rsidTr="00CD2C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0" w:type="dxa"/>
            <w:hideMark/>
          </w:tcPr>
          <w:p w14:paraId="6A3E7C8D" w14:textId="02988A4B" w:rsidR="00E01AA2" w:rsidRPr="00727D48" w:rsidRDefault="00E01AA2" w:rsidP="00855877">
            <w:pPr>
              <w:jc w:val="left"/>
              <w:rPr>
                <w:rFonts w:asciiTheme="majorHAnsi" w:eastAsia="Times New Roman" w:hAnsiTheme="majorHAnsi" w:cstheme="majorHAnsi"/>
                <w:b w:val="0"/>
                <w:color w:val="000000"/>
                <w:sz w:val="18"/>
                <w:szCs w:val="18"/>
              </w:rPr>
            </w:pPr>
            <w:r w:rsidRPr="00A30D36">
              <w:rPr>
                <w:rFonts w:asciiTheme="majorHAnsi" w:eastAsia="Times New Roman" w:hAnsiTheme="majorHAnsi" w:cstheme="majorHAnsi"/>
                <w:color w:val="000000"/>
                <w:sz w:val="18"/>
                <w:szCs w:val="18"/>
              </w:rPr>
              <w:t>Total subsidies</w:t>
            </w:r>
          </w:p>
        </w:tc>
        <w:tc>
          <w:tcPr>
            <w:tcW w:w="1720" w:type="dxa"/>
          </w:tcPr>
          <w:p w14:paraId="14D42500" w14:textId="7CA0BAD4" w:rsidR="00E01AA2" w:rsidRPr="00D73851" w:rsidRDefault="00A42758"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126,875</w:t>
            </w:r>
          </w:p>
        </w:tc>
        <w:tc>
          <w:tcPr>
            <w:tcW w:w="1440" w:type="dxa"/>
            <w:noWrap/>
            <w:hideMark/>
          </w:tcPr>
          <w:p w14:paraId="69100CE2" w14:textId="77777777" w:rsidR="00E01AA2" w:rsidRPr="00D73851" w:rsidRDefault="00E01AA2" w:rsidP="0085587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73851">
              <w:rPr>
                <w:rFonts w:asciiTheme="majorHAnsi" w:eastAsia="Times New Roman" w:hAnsiTheme="majorHAnsi" w:cstheme="majorHAnsi"/>
                <w:color w:val="000000"/>
                <w:sz w:val="18"/>
                <w:szCs w:val="18"/>
              </w:rPr>
              <w:t>100.0</w:t>
            </w:r>
          </w:p>
        </w:tc>
      </w:tr>
      <w:tr w:rsidR="00CD2C3A" w:rsidRPr="00D73851" w14:paraId="25D7AAE4" w14:textId="77777777" w:rsidTr="00855877">
        <w:trPr>
          <w:trHeight w:val="315"/>
        </w:trPr>
        <w:tc>
          <w:tcPr>
            <w:cnfStyle w:val="001000000000" w:firstRow="0" w:lastRow="0" w:firstColumn="1" w:lastColumn="0" w:oddVBand="0" w:evenVBand="0" w:oddHBand="0" w:evenHBand="0" w:firstRowFirstColumn="0" w:firstRowLastColumn="0" w:lastRowFirstColumn="0" w:lastRowLastColumn="0"/>
            <w:tcW w:w="6660" w:type="dxa"/>
            <w:gridSpan w:val="3"/>
            <w:tcBorders>
              <w:bottom w:val="nil"/>
            </w:tcBorders>
          </w:tcPr>
          <w:p w14:paraId="08364A93" w14:textId="4C9DAD99" w:rsidR="00CD2C3A" w:rsidRPr="00CD2C3A" w:rsidRDefault="00CD2C3A" w:rsidP="00CD2C3A">
            <w:pPr>
              <w:widowControl w:val="0"/>
              <w:rPr>
                <w:rFonts w:cs="Times New Roman"/>
                <w:b w:val="0"/>
                <w:sz w:val="18"/>
                <w:szCs w:val="18"/>
              </w:rPr>
            </w:pPr>
            <w:r w:rsidRPr="00857676">
              <w:rPr>
                <w:rFonts w:cs="Times New Roman"/>
                <w:b w:val="0"/>
                <w:i/>
                <w:sz w:val="18"/>
                <w:szCs w:val="18"/>
              </w:rPr>
              <w:t xml:space="preserve">Source: </w:t>
            </w:r>
            <w:r w:rsidRPr="00857676">
              <w:rPr>
                <w:rFonts w:cs="Times New Roman"/>
                <w:b w:val="0"/>
                <w:sz w:val="18"/>
                <w:szCs w:val="18"/>
              </w:rPr>
              <w:t xml:space="preserve">Based on data of the </w:t>
            </w:r>
            <w:r>
              <w:rPr>
                <w:rFonts w:cs="Times New Roman"/>
                <w:b w:val="0"/>
                <w:sz w:val="18"/>
                <w:szCs w:val="18"/>
              </w:rPr>
              <w:t>State Trading Corporation and Ministry of Finance and Economic Development</w:t>
            </w:r>
          </w:p>
        </w:tc>
      </w:tr>
    </w:tbl>
    <w:p w14:paraId="46EDDACA" w14:textId="2DEF5784" w:rsidR="00D83703" w:rsidRDefault="00D83703" w:rsidP="00D24F34"/>
    <w:p w14:paraId="35FCABEE" w14:textId="7986D79C" w:rsidR="0040767C" w:rsidRPr="00EF17F0" w:rsidRDefault="005A3B2D" w:rsidP="002E6831">
      <w:pPr>
        <w:rPr>
          <w:szCs w:val="22"/>
        </w:rPr>
      </w:pPr>
      <w:r w:rsidRPr="0028702D">
        <w:rPr>
          <w:b/>
          <w:szCs w:val="22"/>
        </w:rPr>
        <w:t xml:space="preserve">All </w:t>
      </w:r>
      <w:r w:rsidR="00206864">
        <w:rPr>
          <w:b/>
          <w:szCs w:val="22"/>
        </w:rPr>
        <w:t xml:space="preserve">consumption </w:t>
      </w:r>
      <w:r w:rsidR="0028702D" w:rsidRPr="0028702D">
        <w:rPr>
          <w:b/>
          <w:szCs w:val="22"/>
        </w:rPr>
        <w:t>subsidies</w:t>
      </w:r>
      <w:r w:rsidRPr="0028702D">
        <w:rPr>
          <w:b/>
          <w:szCs w:val="22"/>
        </w:rPr>
        <w:t xml:space="preserve"> are progressive</w:t>
      </w:r>
      <w:r w:rsidR="00DA406B">
        <w:rPr>
          <w:b/>
          <w:szCs w:val="22"/>
        </w:rPr>
        <w:t xml:space="preserve"> and</w:t>
      </w:r>
      <w:r w:rsidR="00796AD0" w:rsidRPr="0028702D">
        <w:rPr>
          <w:b/>
          <w:szCs w:val="22"/>
        </w:rPr>
        <w:t xml:space="preserve"> </w:t>
      </w:r>
      <w:r w:rsidR="00DA406B">
        <w:rPr>
          <w:b/>
          <w:szCs w:val="22"/>
        </w:rPr>
        <w:t>not</w:t>
      </w:r>
      <w:r w:rsidR="0028702D" w:rsidRPr="0028702D">
        <w:rPr>
          <w:b/>
          <w:szCs w:val="22"/>
        </w:rPr>
        <w:t xml:space="preserve"> pro-poor.</w:t>
      </w:r>
      <w:r w:rsidR="0028702D" w:rsidRPr="0028702D">
        <w:rPr>
          <w:szCs w:val="22"/>
        </w:rPr>
        <w:t xml:space="preserve"> </w:t>
      </w:r>
      <w:r w:rsidR="00FA75C4">
        <w:rPr>
          <w:szCs w:val="22"/>
        </w:rPr>
        <w:t>A</w:t>
      </w:r>
      <w:r w:rsidR="00D17AEE">
        <w:rPr>
          <w:szCs w:val="22"/>
        </w:rPr>
        <w:t xml:space="preserve">ll consumption subsidies are progressive in relative terms as poorer households </w:t>
      </w:r>
      <w:r w:rsidR="007F2991">
        <w:rPr>
          <w:szCs w:val="22"/>
        </w:rPr>
        <w:t>receive</w:t>
      </w:r>
      <w:r w:rsidR="00D17AEE">
        <w:rPr>
          <w:szCs w:val="22"/>
        </w:rPr>
        <w:t xml:space="preserve"> a larger share </w:t>
      </w:r>
      <w:r w:rsidR="004102F6">
        <w:rPr>
          <w:szCs w:val="22"/>
        </w:rPr>
        <w:t xml:space="preserve">in terms of </w:t>
      </w:r>
      <w:r w:rsidR="00C11058">
        <w:rPr>
          <w:szCs w:val="22"/>
        </w:rPr>
        <w:t>pre</w:t>
      </w:r>
      <w:r w:rsidR="004102F6">
        <w:rPr>
          <w:szCs w:val="22"/>
        </w:rPr>
        <w:t xml:space="preserve">fiscal income </w:t>
      </w:r>
      <w:r w:rsidR="00D17AEE">
        <w:rPr>
          <w:szCs w:val="22"/>
        </w:rPr>
        <w:t xml:space="preserve">of rice, flour, and LPG </w:t>
      </w:r>
      <w:r w:rsidR="004102F6">
        <w:rPr>
          <w:szCs w:val="22"/>
        </w:rPr>
        <w:t>subsidy</w:t>
      </w:r>
      <w:r w:rsidR="00D17AEE">
        <w:rPr>
          <w:szCs w:val="22"/>
        </w:rPr>
        <w:t xml:space="preserve"> compared with richer households (</w:t>
      </w:r>
      <w:r w:rsidR="00D17AEE">
        <w:rPr>
          <w:szCs w:val="22"/>
        </w:rPr>
        <w:fldChar w:fldCharType="begin"/>
      </w:r>
      <w:r w:rsidR="00D17AEE">
        <w:rPr>
          <w:szCs w:val="22"/>
        </w:rPr>
        <w:instrText xml:space="preserve"> REF _Ref8122627 \h  \* MERGEFORMAT </w:instrText>
      </w:r>
      <w:r w:rsidR="00D17AEE">
        <w:rPr>
          <w:szCs w:val="22"/>
        </w:rPr>
      </w:r>
      <w:r w:rsidR="00D17AEE">
        <w:rPr>
          <w:szCs w:val="22"/>
        </w:rPr>
        <w:fldChar w:fldCharType="separate"/>
      </w:r>
      <w:r w:rsidR="00C37C80" w:rsidRPr="00C37C80">
        <w:rPr>
          <w:szCs w:val="22"/>
        </w:rPr>
        <w:t>Figure 3.7</w:t>
      </w:r>
      <w:r w:rsidR="00D17AEE">
        <w:rPr>
          <w:szCs w:val="22"/>
        </w:rPr>
        <w:fldChar w:fldCharType="end"/>
      </w:r>
      <w:r w:rsidR="00D17AEE">
        <w:rPr>
          <w:szCs w:val="22"/>
        </w:rPr>
        <w:t xml:space="preserve"> - panel b). </w:t>
      </w:r>
      <w:r w:rsidR="00AC1444">
        <w:rPr>
          <w:szCs w:val="22"/>
        </w:rPr>
        <w:t xml:space="preserve">This is reflected by the fact that the concentration curves </w:t>
      </w:r>
      <w:r w:rsidR="008565C9">
        <w:rPr>
          <w:szCs w:val="22"/>
        </w:rPr>
        <w:t>are</w:t>
      </w:r>
      <w:r w:rsidR="00AC1444">
        <w:rPr>
          <w:szCs w:val="22"/>
        </w:rPr>
        <w:t xml:space="preserve"> </w:t>
      </w:r>
      <w:r w:rsidR="006B4086">
        <w:rPr>
          <w:szCs w:val="22"/>
        </w:rPr>
        <w:t xml:space="preserve">above the Lorenz curve for </w:t>
      </w:r>
      <w:r w:rsidR="00C11058">
        <w:rPr>
          <w:szCs w:val="22"/>
        </w:rPr>
        <w:t>pre</w:t>
      </w:r>
      <w:r w:rsidR="006B4086">
        <w:rPr>
          <w:szCs w:val="22"/>
        </w:rPr>
        <w:t xml:space="preserve">fiscal income. </w:t>
      </w:r>
      <w:r w:rsidR="00A67C2D">
        <w:rPr>
          <w:szCs w:val="22"/>
        </w:rPr>
        <w:t>For example, hou</w:t>
      </w:r>
      <w:r w:rsidR="00F7623A">
        <w:rPr>
          <w:szCs w:val="22"/>
        </w:rPr>
        <w:t>se</w:t>
      </w:r>
      <w:r w:rsidR="00A67C2D">
        <w:rPr>
          <w:szCs w:val="22"/>
        </w:rPr>
        <w:t>holds belonging to the bottom 40 receive</w:t>
      </w:r>
      <w:r w:rsidR="004076CD">
        <w:rPr>
          <w:szCs w:val="22"/>
        </w:rPr>
        <w:t>s</w:t>
      </w:r>
      <w:r w:rsidR="00A67C2D">
        <w:rPr>
          <w:szCs w:val="22"/>
        </w:rPr>
        <w:t xml:space="preserve"> </w:t>
      </w:r>
      <w:r w:rsidR="0074333E">
        <w:rPr>
          <w:szCs w:val="22"/>
        </w:rPr>
        <w:t xml:space="preserve">over 50 percent of the rice subsidy, although they hold </w:t>
      </w:r>
      <w:r w:rsidR="00E4266D">
        <w:rPr>
          <w:szCs w:val="22"/>
        </w:rPr>
        <w:t xml:space="preserve">less than 16 percent of </w:t>
      </w:r>
      <w:r w:rsidR="00C11058">
        <w:rPr>
          <w:szCs w:val="22"/>
        </w:rPr>
        <w:t>pre</w:t>
      </w:r>
      <w:r w:rsidR="00E4266D">
        <w:rPr>
          <w:szCs w:val="22"/>
        </w:rPr>
        <w:t>fiscal income</w:t>
      </w:r>
      <w:r w:rsidR="00A93657">
        <w:rPr>
          <w:szCs w:val="22"/>
        </w:rPr>
        <w:t xml:space="preserve"> (</w:t>
      </w:r>
      <w:r w:rsidR="00A93657">
        <w:rPr>
          <w:szCs w:val="22"/>
        </w:rPr>
        <w:fldChar w:fldCharType="begin"/>
      </w:r>
      <w:r w:rsidR="00A93657">
        <w:rPr>
          <w:szCs w:val="22"/>
        </w:rPr>
        <w:instrText xml:space="preserve"> REF _Ref8122627 \h  \* MERGEFORMAT </w:instrText>
      </w:r>
      <w:r w:rsidR="00A93657">
        <w:rPr>
          <w:szCs w:val="22"/>
        </w:rPr>
      </w:r>
      <w:r w:rsidR="00A93657">
        <w:rPr>
          <w:szCs w:val="22"/>
        </w:rPr>
        <w:fldChar w:fldCharType="separate"/>
      </w:r>
      <w:r w:rsidR="00C37C80" w:rsidRPr="00C37C80">
        <w:rPr>
          <w:szCs w:val="22"/>
        </w:rPr>
        <w:t>Figure 3.7</w:t>
      </w:r>
      <w:r w:rsidR="00A93657">
        <w:rPr>
          <w:szCs w:val="22"/>
        </w:rPr>
        <w:fldChar w:fldCharType="end"/>
      </w:r>
      <w:r w:rsidR="00A93657">
        <w:rPr>
          <w:szCs w:val="22"/>
        </w:rPr>
        <w:t xml:space="preserve"> - panel a)</w:t>
      </w:r>
      <w:r w:rsidR="00E4266D">
        <w:rPr>
          <w:szCs w:val="22"/>
        </w:rPr>
        <w:t>.</w:t>
      </w:r>
      <w:r w:rsidR="007158E2">
        <w:rPr>
          <w:szCs w:val="22"/>
        </w:rPr>
        <w:t xml:space="preserve"> </w:t>
      </w:r>
      <w:r w:rsidR="006908B9">
        <w:rPr>
          <w:szCs w:val="22"/>
        </w:rPr>
        <w:t>And h</w:t>
      </w:r>
      <w:r w:rsidR="007158E2">
        <w:rPr>
          <w:szCs w:val="22"/>
        </w:rPr>
        <w:t xml:space="preserve">ouseholds at the top (20 percent richest) have over 50 percent of </w:t>
      </w:r>
      <w:r w:rsidR="00C11058">
        <w:rPr>
          <w:szCs w:val="22"/>
        </w:rPr>
        <w:t>pre</w:t>
      </w:r>
      <w:r w:rsidR="007158E2">
        <w:rPr>
          <w:szCs w:val="22"/>
        </w:rPr>
        <w:t xml:space="preserve">fiscal income and </w:t>
      </w:r>
      <w:r w:rsidR="00F7623A">
        <w:rPr>
          <w:szCs w:val="22"/>
        </w:rPr>
        <w:t>benefit</w:t>
      </w:r>
      <w:r w:rsidR="007158E2">
        <w:rPr>
          <w:szCs w:val="22"/>
        </w:rPr>
        <w:t xml:space="preserve"> from less than</w:t>
      </w:r>
      <w:r w:rsidR="00F7623A">
        <w:rPr>
          <w:szCs w:val="22"/>
        </w:rPr>
        <w:t xml:space="preserve"> 20 percent of total rice subsidy.</w:t>
      </w:r>
      <w:r w:rsidR="00FA75C4">
        <w:rPr>
          <w:szCs w:val="22"/>
        </w:rPr>
        <w:t xml:space="preserve"> </w:t>
      </w:r>
      <w:r w:rsidR="00E76AA2">
        <w:rPr>
          <w:szCs w:val="22"/>
        </w:rPr>
        <w:t xml:space="preserve">However, such </w:t>
      </w:r>
      <w:r w:rsidR="00FA75C4">
        <w:rPr>
          <w:szCs w:val="22"/>
        </w:rPr>
        <w:t xml:space="preserve">subsidies are not pro-poor as illustrated by the fact that their concentration curves does not lie everywhere above the diagonal </w:t>
      </w:r>
      <w:r w:rsidR="00E76AA2">
        <w:rPr>
          <w:szCs w:val="22"/>
        </w:rPr>
        <w:t>(</w:t>
      </w:r>
      <w:r w:rsidR="00FA75C4">
        <w:rPr>
          <w:szCs w:val="22"/>
        </w:rPr>
        <w:fldChar w:fldCharType="begin"/>
      </w:r>
      <w:r w:rsidR="00FA75C4">
        <w:rPr>
          <w:szCs w:val="22"/>
        </w:rPr>
        <w:instrText xml:space="preserve"> REF _Ref8122627 \h  \* MERGEFORMAT </w:instrText>
      </w:r>
      <w:r w:rsidR="00FA75C4">
        <w:rPr>
          <w:szCs w:val="22"/>
        </w:rPr>
      </w:r>
      <w:r w:rsidR="00FA75C4">
        <w:rPr>
          <w:szCs w:val="22"/>
        </w:rPr>
        <w:fldChar w:fldCharType="separate"/>
      </w:r>
      <w:r w:rsidR="00C37C80" w:rsidRPr="00C37C80">
        <w:rPr>
          <w:szCs w:val="22"/>
        </w:rPr>
        <w:t>Figure 3.7</w:t>
      </w:r>
      <w:r w:rsidR="00FA75C4">
        <w:rPr>
          <w:szCs w:val="22"/>
        </w:rPr>
        <w:fldChar w:fldCharType="end"/>
      </w:r>
      <w:r w:rsidR="00FA75C4">
        <w:rPr>
          <w:szCs w:val="22"/>
        </w:rPr>
        <w:t xml:space="preserve"> - panel a). </w:t>
      </w:r>
      <w:r w:rsidR="00DB42C6">
        <w:rPr>
          <w:szCs w:val="22"/>
        </w:rPr>
        <w:t xml:space="preserve">This is illustrated in </w:t>
      </w:r>
      <w:r w:rsidR="00DB42C6">
        <w:rPr>
          <w:szCs w:val="22"/>
        </w:rPr>
        <w:fldChar w:fldCharType="begin"/>
      </w:r>
      <w:r w:rsidR="00DB42C6">
        <w:rPr>
          <w:szCs w:val="22"/>
        </w:rPr>
        <w:instrText xml:space="preserve"> REF _Ref8122627 \h  \* MERGEFORMAT </w:instrText>
      </w:r>
      <w:r w:rsidR="00DB42C6">
        <w:rPr>
          <w:szCs w:val="22"/>
        </w:rPr>
      </w:r>
      <w:r w:rsidR="00DB42C6">
        <w:rPr>
          <w:szCs w:val="22"/>
        </w:rPr>
        <w:fldChar w:fldCharType="separate"/>
      </w:r>
      <w:r w:rsidR="00C37C80" w:rsidRPr="00C37C80">
        <w:rPr>
          <w:szCs w:val="22"/>
        </w:rPr>
        <w:t>Figure 3.7</w:t>
      </w:r>
      <w:r w:rsidR="00DB42C6">
        <w:rPr>
          <w:szCs w:val="22"/>
        </w:rPr>
        <w:fldChar w:fldCharType="end"/>
      </w:r>
      <w:r w:rsidR="00DB42C6">
        <w:rPr>
          <w:szCs w:val="22"/>
        </w:rPr>
        <w:t xml:space="preserve"> - panel c by the amount of subsidy received by households in each quintile as share of total subsidy expenditure. </w:t>
      </w:r>
      <w:r w:rsidR="00FA75C4">
        <w:rPr>
          <w:szCs w:val="22"/>
        </w:rPr>
        <w:t xml:space="preserve">Except for the rice subsidy, </w:t>
      </w:r>
      <w:r w:rsidR="00037A21">
        <w:rPr>
          <w:szCs w:val="22"/>
        </w:rPr>
        <w:t xml:space="preserve">the share received increases with income and </w:t>
      </w:r>
      <w:r w:rsidR="00FA75C4">
        <w:rPr>
          <w:szCs w:val="22"/>
        </w:rPr>
        <w:t>high-income households enjoy a larger share of the total spending on consumption subsidies. For example, households in the top quintile benefit from about 2</w:t>
      </w:r>
      <w:r w:rsidR="007D6FBA">
        <w:rPr>
          <w:szCs w:val="22"/>
        </w:rPr>
        <w:t>1</w:t>
      </w:r>
      <w:r w:rsidR="00FA75C4">
        <w:rPr>
          <w:szCs w:val="22"/>
        </w:rPr>
        <w:t xml:space="preserve"> percent of LPG total subsidy compared with between 1</w:t>
      </w:r>
      <w:r w:rsidR="001616F2">
        <w:rPr>
          <w:szCs w:val="22"/>
        </w:rPr>
        <w:t>6.4</w:t>
      </w:r>
      <w:r w:rsidR="00FA75C4">
        <w:rPr>
          <w:szCs w:val="22"/>
        </w:rPr>
        <w:t xml:space="preserve"> percent of households in the first quintile (</w:t>
      </w:r>
      <w:r w:rsidR="00FA75C4">
        <w:rPr>
          <w:szCs w:val="22"/>
        </w:rPr>
        <w:fldChar w:fldCharType="begin"/>
      </w:r>
      <w:r w:rsidR="00FA75C4">
        <w:rPr>
          <w:szCs w:val="22"/>
        </w:rPr>
        <w:instrText xml:space="preserve"> REF _Ref8122627 \h  \* MERGEFORMAT </w:instrText>
      </w:r>
      <w:r w:rsidR="00FA75C4">
        <w:rPr>
          <w:szCs w:val="22"/>
        </w:rPr>
      </w:r>
      <w:r w:rsidR="00FA75C4">
        <w:rPr>
          <w:szCs w:val="22"/>
        </w:rPr>
        <w:fldChar w:fldCharType="separate"/>
      </w:r>
      <w:r w:rsidR="00C37C80" w:rsidRPr="00C37C80">
        <w:rPr>
          <w:szCs w:val="22"/>
        </w:rPr>
        <w:t>Figure 3.7</w:t>
      </w:r>
      <w:r w:rsidR="00FA75C4">
        <w:rPr>
          <w:szCs w:val="22"/>
        </w:rPr>
        <w:fldChar w:fldCharType="end"/>
      </w:r>
      <w:r w:rsidR="00FA75C4">
        <w:rPr>
          <w:szCs w:val="22"/>
        </w:rPr>
        <w:t xml:space="preserve"> - panel c). </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E26181" w:rsidRPr="001E6C40" w14:paraId="1C0715F8" w14:textId="77777777" w:rsidTr="00855877">
        <w:trPr>
          <w:cantSplit/>
        </w:trPr>
        <w:tc>
          <w:tcPr>
            <w:tcW w:w="9360" w:type="dxa"/>
            <w:gridSpan w:val="2"/>
            <w:hideMark/>
          </w:tcPr>
          <w:p w14:paraId="4AFB0BF8" w14:textId="2301C3A2" w:rsidR="00E26181" w:rsidRPr="001E6C40" w:rsidRDefault="00E26181" w:rsidP="00855877">
            <w:pPr>
              <w:pStyle w:val="Caption2"/>
              <w:spacing w:line="256" w:lineRule="auto"/>
              <w:jc w:val="left"/>
              <w:rPr>
                <w:b/>
                <w:i w:val="0"/>
                <w:sz w:val="18"/>
                <w:szCs w:val="18"/>
                <w:lang w:eastAsia="en-GB"/>
              </w:rPr>
            </w:pPr>
            <w:bookmarkStart w:id="84" w:name="_Ref8122627"/>
            <w:bookmarkStart w:id="85" w:name="_Toc11255070"/>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7</w:t>
            </w:r>
            <w:r w:rsidR="00275542">
              <w:rPr>
                <w:b/>
                <w:i w:val="0"/>
                <w:sz w:val="18"/>
                <w:szCs w:val="18"/>
                <w:lang w:eastAsia="en-GB"/>
              </w:rPr>
              <w:fldChar w:fldCharType="end"/>
            </w:r>
            <w:bookmarkEnd w:id="84"/>
            <w:r w:rsidRPr="001E6C40">
              <w:rPr>
                <w:b/>
                <w:i w:val="0"/>
                <w:sz w:val="18"/>
                <w:szCs w:val="18"/>
                <w:lang w:eastAsia="en-GB"/>
              </w:rPr>
              <w:t xml:space="preserve">. </w:t>
            </w:r>
            <w:r w:rsidRPr="0070773C">
              <w:rPr>
                <w:b/>
                <w:i w:val="0"/>
                <w:sz w:val="18"/>
                <w:szCs w:val="18"/>
                <w:lang w:eastAsia="en-GB"/>
              </w:rPr>
              <w:t xml:space="preserve">Lorenz and concentration curves </w:t>
            </w:r>
            <w:r>
              <w:rPr>
                <w:b/>
                <w:i w:val="0"/>
                <w:sz w:val="18"/>
                <w:szCs w:val="18"/>
                <w:lang w:eastAsia="en-GB"/>
              </w:rPr>
              <w:t>for</w:t>
            </w:r>
            <w:r w:rsidRPr="0070773C">
              <w:rPr>
                <w:b/>
                <w:i w:val="0"/>
                <w:sz w:val="18"/>
                <w:szCs w:val="18"/>
                <w:lang w:eastAsia="en-GB"/>
              </w:rPr>
              <w:t xml:space="preserve"> per capita market income</w:t>
            </w:r>
            <w:r w:rsidR="0047338F" w:rsidRPr="0070773C">
              <w:rPr>
                <w:b/>
                <w:i w:val="0"/>
                <w:sz w:val="18"/>
                <w:szCs w:val="18"/>
                <w:lang w:eastAsia="en-GB"/>
              </w:rPr>
              <w:t xml:space="preserve"> </w:t>
            </w:r>
            <w:r w:rsidRPr="0070773C">
              <w:rPr>
                <w:b/>
                <w:i w:val="0"/>
                <w:sz w:val="18"/>
                <w:szCs w:val="18"/>
                <w:lang w:eastAsia="en-GB"/>
              </w:rPr>
              <w:t xml:space="preserve">and </w:t>
            </w:r>
            <w:r>
              <w:rPr>
                <w:b/>
                <w:i w:val="0"/>
                <w:sz w:val="18"/>
                <w:szCs w:val="18"/>
                <w:lang w:eastAsia="en-GB"/>
              </w:rPr>
              <w:t>in</w:t>
            </w:r>
            <w:r w:rsidRPr="0070773C">
              <w:rPr>
                <w:b/>
                <w:i w:val="0"/>
                <w:sz w:val="18"/>
                <w:szCs w:val="18"/>
                <w:lang w:eastAsia="en-GB"/>
              </w:rPr>
              <w:t xml:space="preserve">direct </w:t>
            </w:r>
            <w:r w:rsidR="00D1437E">
              <w:rPr>
                <w:b/>
                <w:i w:val="0"/>
                <w:sz w:val="18"/>
                <w:szCs w:val="18"/>
                <w:lang w:eastAsia="en-GB"/>
              </w:rPr>
              <w:t>subsidies</w:t>
            </w:r>
            <w:r w:rsidRPr="0070773C">
              <w:rPr>
                <w:b/>
                <w:i w:val="0"/>
                <w:sz w:val="18"/>
                <w:szCs w:val="18"/>
                <w:lang w:eastAsia="en-GB"/>
              </w:rPr>
              <w:t xml:space="preserve"> and share </w:t>
            </w:r>
            <w:r>
              <w:rPr>
                <w:b/>
                <w:i w:val="0"/>
                <w:sz w:val="18"/>
                <w:szCs w:val="18"/>
                <w:lang w:eastAsia="en-GB"/>
              </w:rPr>
              <w:t xml:space="preserve">of indirect </w:t>
            </w:r>
            <w:r w:rsidR="00D1437E">
              <w:rPr>
                <w:b/>
                <w:i w:val="0"/>
                <w:sz w:val="18"/>
                <w:szCs w:val="18"/>
                <w:lang w:eastAsia="en-GB"/>
              </w:rPr>
              <w:t>subsidies</w:t>
            </w:r>
            <w:r w:rsidR="00D1437E" w:rsidRPr="0070773C">
              <w:rPr>
                <w:b/>
                <w:i w:val="0"/>
                <w:sz w:val="18"/>
                <w:szCs w:val="18"/>
                <w:lang w:eastAsia="en-GB"/>
              </w:rPr>
              <w:t xml:space="preserve"> </w:t>
            </w:r>
            <w:r w:rsidRPr="0070773C">
              <w:rPr>
                <w:b/>
                <w:i w:val="0"/>
                <w:sz w:val="18"/>
                <w:szCs w:val="18"/>
                <w:lang w:eastAsia="en-GB"/>
              </w:rPr>
              <w:t xml:space="preserve">in </w:t>
            </w:r>
            <w:r>
              <w:rPr>
                <w:b/>
                <w:i w:val="0"/>
                <w:sz w:val="18"/>
                <w:szCs w:val="18"/>
                <w:lang w:eastAsia="en-GB"/>
              </w:rPr>
              <w:t xml:space="preserve">total </w:t>
            </w:r>
            <w:r w:rsidRPr="0070773C">
              <w:rPr>
                <w:b/>
                <w:i w:val="0"/>
                <w:sz w:val="18"/>
                <w:szCs w:val="18"/>
                <w:lang w:eastAsia="en-GB"/>
              </w:rPr>
              <w:t>market income by quintile.</w:t>
            </w:r>
            <w:bookmarkEnd w:id="85"/>
          </w:p>
        </w:tc>
      </w:tr>
      <w:tr w:rsidR="00E26181" w14:paraId="414F95C5" w14:textId="77777777" w:rsidTr="00855877">
        <w:trPr>
          <w:cantSplit/>
        </w:trPr>
        <w:tc>
          <w:tcPr>
            <w:tcW w:w="4680" w:type="dxa"/>
            <w:hideMark/>
          </w:tcPr>
          <w:p w14:paraId="56E27BA5" w14:textId="7C36023B" w:rsidR="00E26181" w:rsidRDefault="00E26181" w:rsidP="00855877">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 xml:space="preserve">Lorenz and concentration curve </w:t>
            </w:r>
            <w:r>
              <w:rPr>
                <w:rFonts w:cs="Times New Roman"/>
                <w:b/>
                <w:sz w:val="18"/>
                <w:szCs w:val="18"/>
                <w:lang w:eastAsia="en-GB"/>
              </w:rPr>
              <w:t>for</w:t>
            </w:r>
            <w:r w:rsidRPr="00D60C8A">
              <w:rPr>
                <w:rFonts w:cs="Times New Roman"/>
                <w:b/>
                <w:sz w:val="18"/>
                <w:szCs w:val="18"/>
                <w:lang w:eastAsia="en-GB"/>
              </w:rPr>
              <w:t xml:space="preserve"> </w:t>
            </w:r>
            <w:r>
              <w:rPr>
                <w:rFonts w:cs="Times New Roman"/>
                <w:b/>
                <w:sz w:val="18"/>
                <w:szCs w:val="18"/>
                <w:lang w:eastAsia="en-GB"/>
              </w:rPr>
              <w:t>in</w:t>
            </w:r>
            <w:r w:rsidRPr="00D60C8A">
              <w:rPr>
                <w:rFonts w:cs="Times New Roman"/>
                <w:b/>
                <w:sz w:val="18"/>
                <w:szCs w:val="18"/>
                <w:lang w:eastAsia="en-GB"/>
              </w:rPr>
              <w:t xml:space="preserve">direct </w:t>
            </w:r>
            <w:r w:rsidR="00D1437E" w:rsidRPr="00D1437E">
              <w:rPr>
                <w:rFonts w:cs="Times New Roman"/>
                <w:b/>
                <w:sz w:val="18"/>
                <w:szCs w:val="18"/>
                <w:lang w:eastAsia="en-GB"/>
              </w:rPr>
              <w:t xml:space="preserve">subsidies </w:t>
            </w:r>
            <w:r w:rsidRPr="00D60C8A">
              <w:rPr>
                <w:rFonts w:cs="Times New Roman"/>
                <w:b/>
                <w:sz w:val="18"/>
                <w:szCs w:val="18"/>
                <w:lang w:eastAsia="en-GB"/>
              </w:rPr>
              <w:t>and market income</w:t>
            </w:r>
          </w:p>
        </w:tc>
        <w:tc>
          <w:tcPr>
            <w:tcW w:w="4680" w:type="dxa"/>
            <w:hideMark/>
          </w:tcPr>
          <w:p w14:paraId="49AE5DC1" w14:textId="1B9F4C7B" w:rsidR="00E26181" w:rsidRDefault="00E26181" w:rsidP="00855877">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Pr>
                <w:rFonts w:cs="Times New Roman"/>
                <w:b/>
                <w:sz w:val="18"/>
                <w:szCs w:val="18"/>
                <w:lang w:eastAsia="en-GB"/>
              </w:rPr>
              <w:t>indirect</w:t>
            </w:r>
            <w:r w:rsidRPr="00F2330A">
              <w:rPr>
                <w:rFonts w:cs="Times New Roman"/>
                <w:b/>
                <w:sz w:val="18"/>
                <w:szCs w:val="18"/>
                <w:lang w:eastAsia="en-GB"/>
              </w:rPr>
              <w:t xml:space="preserve"> </w:t>
            </w:r>
            <w:r w:rsidR="00D1437E" w:rsidRPr="00D1437E">
              <w:rPr>
                <w:rFonts w:cs="Times New Roman"/>
                <w:b/>
                <w:sz w:val="18"/>
                <w:szCs w:val="18"/>
                <w:lang w:eastAsia="en-GB"/>
              </w:rPr>
              <w:t xml:space="preserve">subsidies </w:t>
            </w:r>
            <w:r w:rsidRPr="00F2330A">
              <w:rPr>
                <w:rFonts w:cs="Times New Roman"/>
                <w:b/>
                <w:sz w:val="18"/>
                <w:szCs w:val="18"/>
                <w:lang w:eastAsia="en-GB"/>
              </w:rPr>
              <w:t xml:space="preserve">in </w:t>
            </w:r>
            <w:r w:rsidR="00A27127">
              <w:rPr>
                <w:rFonts w:cs="Times New Roman"/>
                <w:b/>
                <w:sz w:val="18"/>
                <w:szCs w:val="18"/>
                <w:lang w:eastAsia="en-GB"/>
              </w:rPr>
              <w:t>household</w:t>
            </w:r>
            <w:r w:rsidR="00A27127" w:rsidRPr="00F2330A">
              <w:rPr>
                <w:rFonts w:cs="Times New Roman"/>
                <w:b/>
                <w:sz w:val="18"/>
                <w:szCs w:val="18"/>
                <w:lang w:eastAsia="en-GB"/>
              </w:rPr>
              <w:t xml:space="preserve"> </w:t>
            </w:r>
            <w:r>
              <w:rPr>
                <w:rFonts w:cs="Times New Roman"/>
                <w:b/>
                <w:sz w:val="18"/>
                <w:szCs w:val="18"/>
                <w:lang w:eastAsia="en-GB"/>
              </w:rPr>
              <w:t>market income</w:t>
            </w:r>
            <w:r w:rsidRPr="00F2330A">
              <w:rPr>
                <w:rFonts w:cs="Times New Roman"/>
                <w:b/>
                <w:sz w:val="18"/>
                <w:szCs w:val="18"/>
                <w:lang w:eastAsia="en-GB"/>
              </w:rPr>
              <w:t xml:space="preserve"> by quintile</w:t>
            </w:r>
          </w:p>
        </w:tc>
      </w:tr>
      <w:tr w:rsidR="00E26181" w14:paraId="33A628D2" w14:textId="77777777" w:rsidTr="00855877">
        <w:trPr>
          <w:cantSplit/>
        </w:trPr>
        <w:tc>
          <w:tcPr>
            <w:tcW w:w="4680" w:type="dxa"/>
            <w:tcMar>
              <w:top w:w="0" w:type="dxa"/>
              <w:left w:w="108" w:type="dxa"/>
              <w:bottom w:w="0" w:type="dxa"/>
              <w:right w:w="108" w:type="dxa"/>
            </w:tcMar>
            <w:hideMark/>
          </w:tcPr>
          <w:p w14:paraId="25318C8C" w14:textId="7D88913D" w:rsidR="00E26181" w:rsidRDefault="00FE2F21" w:rsidP="00855877">
            <w:pPr>
              <w:spacing w:after="120"/>
              <w:rPr>
                <w:rFonts w:cs="Times New Roman"/>
                <w:sz w:val="16"/>
                <w:szCs w:val="16"/>
              </w:rPr>
            </w:pPr>
            <w:r>
              <w:rPr>
                <w:rFonts w:cs="Times New Roman"/>
                <w:noProof/>
                <w:sz w:val="16"/>
                <w:szCs w:val="16"/>
              </w:rPr>
              <w:drawing>
                <wp:inline distT="0" distB="0" distL="0" distR="0" wp14:anchorId="7B38CA51" wp14:editId="478B6F69">
                  <wp:extent cx="2779776" cy="1929384"/>
                  <wp:effectExtent l="0" t="0" r="1905" b="0"/>
                  <wp:docPr id="25" name="Picture 25"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3.7.A._Lorenz_and_concentration_curve_for_indirect_subsidies_and_market_income.png"/>
                          <pic:cNvPicPr/>
                        </pic:nvPicPr>
                        <pic:blipFill rotWithShape="1">
                          <a:blip r:embed="rId20">
                            <a:extLst>
                              <a:ext uri="{28A0092B-C50C-407E-A947-70E740481C1C}">
                                <a14:useLocalDpi xmlns:a14="http://schemas.microsoft.com/office/drawing/2010/main" val="0"/>
                              </a:ext>
                            </a:extLst>
                          </a:blip>
                          <a:srcRect l="19356" r="19354"/>
                          <a:stretch/>
                        </pic:blipFill>
                        <pic:spPr bwMode="auto">
                          <a:xfrm>
                            <a:off x="0" y="0"/>
                            <a:ext cx="2779776" cy="192938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78E99280" w14:textId="09364FE1" w:rsidR="00E26181" w:rsidRDefault="00555443" w:rsidP="00855877">
            <w:pPr>
              <w:spacing w:after="120"/>
              <w:rPr>
                <w:rFonts w:cs="Times New Roman"/>
                <w:sz w:val="16"/>
                <w:szCs w:val="16"/>
              </w:rPr>
            </w:pPr>
            <w:r>
              <w:rPr>
                <w:rFonts w:cs="Times New Roman"/>
                <w:noProof/>
                <w:sz w:val="16"/>
                <w:szCs w:val="16"/>
              </w:rPr>
              <w:drawing>
                <wp:inline distT="0" distB="0" distL="0" distR="0" wp14:anchorId="03A31C7F" wp14:editId="07036811">
                  <wp:extent cx="2834640" cy="1889760"/>
                  <wp:effectExtent l="0" t="0" r="3810" b="0"/>
                  <wp:docPr id="48" name="Picture 48"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_3.7.B._Share_of_indirect_subsidies_in_total_market_income_by_quintile.png"/>
                          <pic:cNvPicPr/>
                        </pic:nvPicPr>
                        <pic:blipFill>
                          <a:blip r:embed="rId21">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3E5B97" w14:paraId="2599EE38" w14:textId="77777777" w:rsidTr="00855877">
        <w:trPr>
          <w:cantSplit/>
        </w:trPr>
        <w:tc>
          <w:tcPr>
            <w:tcW w:w="4680" w:type="dxa"/>
            <w:tcMar>
              <w:top w:w="0" w:type="dxa"/>
              <w:left w:w="108" w:type="dxa"/>
              <w:bottom w:w="0" w:type="dxa"/>
              <w:right w:w="108" w:type="dxa"/>
            </w:tcMar>
          </w:tcPr>
          <w:p w14:paraId="6E82B090" w14:textId="1BDB9A26" w:rsidR="003E5B97" w:rsidRPr="00FB0161" w:rsidRDefault="00FB0161" w:rsidP="00855877">
            <w:pPr>
              <w:spacing w:after="120"/>
              <w:rPr>
                <w:rFonts w:cs="Times New Roman"/>
                <w:b/>
                <w:noProof/>
                <w:sz w:val="18"/>
                <w:szCs w:val="18"/>
              </w:rPr>
            </w:pPr>
            <w:r w:rsidRPr="00FB0161">
              <w:rPr>
                <w:rFonts w:cs="Times New Roman"/>
                <w:b/>
                <w:noProof/>
                <w:sz w:val="18"/>
                <w:szCs w:val="18"/>
              </w:rPr>
              <w:t xml:space="preserve">c. </w:t>
            </w:r>
            <w:r w:rsidR="00686BEF">
              <w:rPr>
                <w:rFonts w:cs="Times New Roman"/>
                <w:b/>
                <w:sz w:val="18"/>
                <w:szCs w:val="18"/>
                <w:lang w:eastAsia="en-GB"/>
              </w:rPr>
              <w:t>S</w:t>
            </w:r>
            <w:r w:rsidRPr="00FB0161">
              <w:rPr>
                <w:rFonts w:cs="Times New Roman"/>
                <w:b/>
                <w:sz w:val="18"/>
                <w:szCs w:val="18"/>
                <w:lang w:eastAsia="en-GB"/>
              </w:rPr>
              <w:t xml:space="preserve">hare of indirect subsidies in total </w:t>
            </w:r>
            <w:r w:rsidR="00686BEF">
              <w:rPr>
                <w:rFonts w:cs="Times New Roman"/>
                <w:b/>
                <w:sz w:val="18"/>
                <w:szCs w:val="18"/>
                <w:lang w:eastAsia="en-GB"/>
              </w:rPr>
              <w:t>subsidy spending</w:t>
            </w:r>
            <w:r w:rsidRPr="00FB0161">
              <w:rPr>
                <w:rFonts w:cs="Times New Roman"/>
                <w:b/>
                <w:sz w:val="18"/>
                <w:szCs w:val="18"/>
                <w:lang w:eastAsia="en-GB"/>
              </w:rPr>
              <w:t xml:space="preserve"> by quintile</w:t>
            </w:r>
          </w:p>
        </w:tc>
        <w:tc>
          <w:tcPr>
            <w:tcW w:w="4680" w:type="dxa"/>
            <w:tcMar>
              <w:top w:w="0" w:type="dxa"/>
              <w:left w:w="108" w:type="dxa"/>
              <w:bottom w:w="0" w:type="dxa"/>
              <w:right w:w="108" w:type="dxa"/>
            </w:tcMar>
          </w:tcPr>
          <w:p w14:paraId="26BC6C78" w14:textId="77777777" w:rsidR="003E5B97" w:rsidRDefault="003E5B97" w:rsidP="00855877">
            <w:pPr>
              <w:spacing w:after="120"/>
              <w:rPr>
                <w:rFonts w:cs="Times New Roman"/>
                <w:noProof/>
                <w:sz w:val="16"/>
                <w:szCs w:val="16"/>
              </w:rPr>
            </w:pPr>
          </w:p>
        </w:tc>
      </w:tr>
      <w:tr w:rsidR="00FB0161" w14:paraId="3A0240A9" w14:textId="77777777" w:rsidTr="00855877">
        <w:trPr>
          <w:cantSplit/>
        </w:trPr>
        <w:tc>
          <w:tcPr>
            <w:tcW w:w="4680" w:type="dxa"/>
            <w:tcMar>
              <w:top w:w="0" w:type="dxa"/>
              <w:left w:w="108" w:type="dxa"/>
              <w:bottom w:w="0" w:type="dxa"/>
              <w:right w:w="108" w:type="dxa"/>
            </w:tcMar>
          </w:tcPr>
          <w:p w14:paraId="6607C388" w14:textId="4A925E99" w:rsidR="00FB0161" w:rsidRDefault="00555443" w:rsidP="00855877">
            <w:pPr>
              <w:spacing w:after="120"/>
              <w:rPr>
                <w:rFonts w:cs="Times New Roman"/>
                <w:noProof/>
                <w:sz w:val="16"/>
                <w:szCs w:val="16"/>
              </w:rPr>
            </w:pPr>
            <w:r>
              <w:rPr>
                <w:rFonts w:cs="Times New Roman"/>
                <w:noProof/>
                <w:sz w:val="16"/>
                <w:szCs w:val="16"/>
              </w:rPr>
              <w:drawing>
                <wp:inline distT="0" distB="0" distL="0" distR="0" wp14:anchorId="6C43E540" wp14:editId="7743FE79">
                  <wp:extent cx="2834640" cy="1889760"/>
                  <wp:effectExtent l="0" t="0" r="3810" b="0"/>
                  <wp:docPr id="49" name="Picture 4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_3.7.C._Share_of_indirect_subsidies_in_total_subsidy_by_quintile.png"/>
                          <pic:cNvPicPr/>
                        </pic:nvPicPr>
                        <pic:blipFill>
                          <a:blip r:embed="rId22">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c>
          <w:tcPr>
            <w:tcW w:w="4680" w:type="dxa"/>
            <w:tcMar>
              <w:top w:w="0" w:type="dxa"/>
              <w:left w:w="108" w:type="dxa"/>
              <w:bottom w:w="0" w:type="dxa"/>
              <w:right w:w="108" w:type="dxa"/>
            </w:tcMar>
          </w:tcPr>
          <w:p w14:paraId="52E51923" w14:textId="77777777" w:rsidR="00FB0161" w:rsidRDefault="00FB0161" w:rsidP="00855877">
            <w:pPr>
              <w:spacing w:after="120"/>
              <w:rPr>
                <w:rFonts w:cs="Times New Roman"/>
                <w:noProof/>
                <w:sz w:val="16"/>
                <w:szCs w:val="16"/>
              </w:rPr>
            </w:pPr>
          </w:p>
        </w:tc>
      </w:tr>
      <w:tr w:rsidR="00E26181" w14:paraId="1428F606" w14:textId="77777777" w:rsidTr="00855877">
        <w:trPr>
          <w:cantSplit/>
        </w:trPr>
        <w:tc>
          <w:tcPr>
            <w:tcW w:w="9360" w:type="dxa"/>
            <w:gridSpan w:val="2"/>
            <w:tcMar>
              <w:top w:w="0" w:type="dxa"/>
              <w:left w:w="108" w:type="dxa"/>
              <w:bottom w:w="0" w:type="dxa"/>
              <w:right w:w="108" w:type="dxa"/>
            </w:tcMar>
            <w:hideMark/>
          </w:tcPr>
          <w:p w14:paraId="0878BE8F" w14:textId="77777777" w:rsidR="00E26181" w:rsidRDefault="00E26181"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1B332541" w14:textId="241C19DC" w:rsidR="00E26181" w:rsidRPr="00767FF8" w:rsidRDefault="00E26181"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C574B8">
              <w:rPr>
                <w:rFonts w:cs="Times New Roman"/>
                <w:sz w:val="18"/>
                <w:szCs w:val="18"/>
              </w:rPr>
              <w:t xml:space="preserve">(1) </w:t>
            </w:r>
            <w:r w:rsidR="00C574B8" w:rsidRPr="00767FF8">
              <w:rPr>
                <w:rFonts w:cs="Times New Roman"/>
                <w:sz w:val="18"/>
                <w:szCs w:val="18"/>
              </w:rPr>
              <w:t>Market inco</w:t>
            </w:r>
            <w:r w:rsidR="00C574B8" w:rsidRPr="00793B42">
              <w:rPr>
                <w:rFonts w:cs="Times New Roman"/>
                <w:sz w:val="18"/>
                <w:szCs w:val="18"/>
              </w:rPr>
              <w:t xml:space="preserve">me </w:t>
            </w:r>
            <w:r w:rsidR="00C574B8">
              <w:rPr>
                <w:rFonts w:cs="Times New Roman"/>
                <w:sz w:val="18"/>
                <w:szCs w:val="18"/>
              </w:rPr>
              <w:t xml:space="preserve">refers to market income </w:t>
            </w:r>
            <w:r w:rsidR="00C574B8" w:rsidRPr="00793B42">
              <w:rPr>
                <w:rFonts w:cs="Times New Roman"/>
                <w:sz w:val="18"/>
                <w:szCs w:val="18"/>
              </w:rPr>
              <w:t xml:space="preserve">plus pensions </w:t>
            </w:r>
            <w:r w:rsidR="00C574B8">
              <w:rPr>
                <w:rFonts w:cs="Times New Roman"/>
                <w:sz w:val="18"/>
                <w:szCs w:val="18"/>
              </w:rPr>
              <w:t xml:space="preserve">and </w:t>
            </w:r>
            <w:r w:rsidR="00C574B8" w:rsidRPr="00793B42">
              <w:rPr>
                <w:rFonts w:cs="Times New Roman"/>
                <w:sz w:val="18"/>
                <w:szCs w:val="18"/>
              </w:rPr>
              <w:t>comprises pretax wages, salaries, income earned from capital assets (rent, interest, or dividends), contributory pensions, and private transfers.</w:t>
            </w:r>
            <w:r w:rsidR="00C574B8">
              <w:rPr>
                <w:rFonts w:cs="Times New Roman"/>
                <w:sz w:val="18"/>
                <w:szCs w:val="18"/>
              </w:rPr>
              <w:t xml:space="preserve"> (2) </w:t>
            </w:r>
            <w:r w:rsidR="00C574B8" w:rsidRPr="007D5AD4">
              <w:rPr>
                <w:rFonts w:cs="Times New Roman"/>
                <w:sz w:val="18"/>
                <w:szCs w:val="18"/>
              </w:rPr>
              <w:t>95</w:t>
            </w:r>
            <w:r w:rsidR="00C574B8">
              <w:rPr>
                <w:rFonts w:cs="Times New Roman"/>
                <w:sz w:val="18"/>
                <w:szCs w:val="18"/>
              </w:rPr>
              <w:t xml:space="preserve"> </w:t>
            </w:r>
            <w:r w:rsidR="00C574B8" w:rsidRPr="007D5AD4">
              <w:rPr>
                <w:rFonts w:cs="Times New Roman"/>
                <w:sz w:val="18"/>
                <w:szCs w:val="18"/>
              </w:rPr>
              <w:t xml:space="preserve">percent confidence intervals </w:t>
            </w:r>
            <w:r w:rsidR="00C574B8">
              <w:rPr>
                <w:rFonts w:cs="Times New Roman"/>
                <w:sz w:val="18"/>
                <w:szCs w:val="18"/>
              </w:rPr>
              <w:t>displayed</w:t>
            </w:r>
            <w:r w:rsidR="00C574B8" w:rsidRPr="007D5AD4">
              <w:rPr>
                <w:rFonts w:cs="Times New Roman"/>
                <w:sz w:val="18"/>
                <w:szCs w:val="18"/>
              </w:rPr>
              <w:t xml:space="preserve"> in panel (b)</w:t>
            </w:r>
            <w:r w:rsidR="00C574B8">
              <w:rPr>
                <w:rFonts w:cs="Times New Roman"/>
                <w:sz w:val="18"/>
                <w:szCs w:val="18"/>
              </w:rPr>
              <w:t>.</w:t>
            </w:r>
          </w:p>
        </w:tc>
      </w:tr>
    </w:tbl>
    <w:p w14:paraId="7B8C2882" w14:textId="77777777" w:rsidR="00E26181" w:rsidRDefault="00E26181" w:rsidP="002E6831"/>
    <w:p w14:paraId="0FB1EF31" w14:textId="450A84A5" w:rsidR="00206864" w:rsidRPr="00D13421" w:rsidRDefault="00AA181B" w:rsidP="002E6831">
      <w:pPr>
        <w:rPr>
          <w:b/>
          <w:szCs w:val="22"/>
        </w:rPr>
      </w:pPr>
      <w:r>
        <w:rPr>
          <w:b/>
          <w:szCs w:val="22"/>
        </w:rPr>
        <w:t>F</w:t>
      </w:r>
      <w:r w:rsidR="00206864" w:rsidRPr="0028702D">
        <w:rPr>
          <w:b/>
          <w:szCs w:val="22"/>
        </w:rPr>
        <w:t xml:space="preserve">ree public bus </w:t>
      </w:r>
      <w:r>
        <w:rPr>
          <w:b/>
          <w:szCs w:val="22"/>
        </w:rPr>
        <w:t xml:space="preserve">is globally progressive </w:t>
      </w:r>
      <w:r w:rsidR="008B7916">
        <w:rPr>
          <w:b/>
          <w:szCs w:val="22"/>
        </w:rPr>
        <w:t>and</w:t>
      </w:r>
      <w:r>
        <w:rPr>
          <w:b/>
          <w:szCs w:val="22"/>
        </w:rPr>
        <w:t xml:space="preserve"> pro-poor mainly due to the high prevalence of seniors in poorest households. </w:t>
      </w:r>
      <w:r w:rsidR="009E594A" w:rsidRPr="007065ED">
        <w:rPr>
          <w:szCs w:val="22"/>
        </w:rPr>
        <w:t>Free bus transportation is</w:t>
      </w:r>
      <w:r w:rsidR="007065ED" w:rsidRPr="007065ED">
        <w:rPr>
          <w:szCs w:val="22"/>
        </w:rPr>
        <w:t xml:space="preserve"> progressive </w:t>
      </w:r>
      <w:r w:rsidR="00A96E46">
        <w:rPr>
          <w:szCs w:val="22"/>
        </w:rPr>
        <w:t xml:space="preserve">in relative terms as </w:t>
      </w:r>
      <w:r w:rsidR="007D4FB6">
        <w:rPr>
          <w:szCs w:val="22"/>
        </w:rPr>
        <w:t xml:space="preserve">the share </w:t>
      </w:r>
      <w:r w:rsidR="001F46F2">
        <w:rPr>
          <w:szCs w:val="22"/>
        </w:rPr>
        <w:t xml:space="preserve">in terms of </w:t>
      </w:r>
      <w:r w:rsidR="00C11058">
        <w:rPr>
          <w:szCs w:val="22"/>
        </w:rPr>
        <w:t>pre</w:t>
      </w:r>
      <w:r w:rsidR="001F46F2">
        <w:rPr>
          <w:szCs w:val="22"/>
        </w:rPr>
        <w:t>fiscal incomes is larger among households at the bottom than among households at the top</w:t>
      </w:r>
      <w:r w:rsidR="00D47D74">
        <w:rPr>
          <w:szCs w:val="22"/>
        </w:rPr>
        <w:t xml:space="preserve"> (</w:t>
      </w:r>
      <w:r w:rsidR="00D47D74">
        <w:rPr>
          <w:szCs w:val="22"/>
        </w:rPr>
        <w:fldChar w:fldCharType="begin"/>
      </w:r>
      <w:r w:rsidR="00D47D74">
        <w:rPr>
          <w:szCs w:val="22"/>
        </w:rPr>
        <w:instrText xml:space="preserve"> REF _Ref8122627 \h  \* MERGEFORMAT </w:instrText>
      </w:r>
      <w:r w:rsidR="00D47D74">
        <w:rPr>
          <w:szCs w:val="22"/>
        </w:rPr>
      </w:r>
      <w:r w:rsidR="00D47D74">
        <w:rPr>
          <w:szCs w:val="22"/>
        </w:rPr>
        <w:fldChar w:fldCharType="separate"/>
      </w:r>
      <w:r w:rsidR="00C37C80" w:rsidRPr="00C37C80">
        <w:rPr>
          <w:szCs w:val="22"/>
        </w:rPr>
        <w:t>Figure 3.7</w:t>
      </w:r>
      <w:r w:rsidR="00D47D74">
        <w:rPr>
          <w:szCs w:val="22"/>
        </w:rPr>
        <w:fldChar w:fldCharType="end"/>
      </w:r>
      <w:r w:rsidR="00D47D74">
        <w:rPr>
          <w:szCs w:val="22"/>
        </w:rPr>
        <w:t xml:space="preserve"> - panel b)</w:t>
      </w:r>
      <w:r w:rsidR="001F46F2">
        <w:rPr>
          <w:szCs w:val="22"/>
        </w:rPr>
        <w:t>.</w:t>
      </w:r>
      <w:r w:rsidR="005B3E6D">
        <w:rPr>
          <w:szCs w:val="22"/>
        </w:rPr>
        <w:t xml:space="preserve"> This is</w:t>
      </w:r>
      <w:r>
        <w:rPr>
          <w:szCs w:val="22"/>
        </w:rPr>
        <w:t xml:space="preserve"> illustrated by the fact that </w:t>
      </w:r>
      <w:r w:rsidR="005B3E6D">
        <w:rPr>
          <w:szCs w:val="22"/>
        </w:rPr>
        <w:t>the corresponding</w:t>
      </w:r>
      <w:r>
        <w:rPr>
          <w:szCs w:val="22"/>
        </w:rPr>
        <w:t xml:space="preserve"> concentration curve lie</w:t>
      </w:r>
      <w:r w:rsidR="005B3E6D">
        <w:rPr>
          <w:szCs w:val="22"/>
        </w:rPr>
        <w:t>s</w:t>
      </w:r>
      <w:r>
        <w:rPr>
          <w:szCs w:val="22"/>
        </w:rPr>
        <w:t xml:space="preserve"> everywhere above the diagonal </w:t>
      </w:r>
      <w:r w:rsidR="00EB3955">
        <w:rPr>
          <w:szCs w:val="22"/>
        </w:rPr>
        <w:t>(</w:t>
      </w:r>
      <w:r>
        <w:rPr>
          <w:szCs w:val="22"/>
        </w:rPr>
        <w:fldChar w:fldCharType="begin"/>
      </w:r>
      <w:r>
        <w:rPr>
          <w:szCs w:val="22"/>
        </w:rPr>
        <w:instrText xml:space="preserve"> REF _Ref8122627 \h  \* MERGEFORMAT </w:instrText>
      </w:r>
      <w:r>
        <w:rPr>
          <w:szCs w:val="22"/>
        </w:rPr>
      </w:r>
      <w:r>
        <w:rPr>
          <w:szCs w:val="22"/>
        </w:rPr>
        <w:fldChar w:fldCharType="separate"/>
      </w:r>
      <w:r w:rsidR="00C37C80" w:rsidRPr="00C37C80">
        <w:rPr>
          <w:szCs w:val="22"/>
        </w:rPr>
        <w:t>Figure 3.7</w:t>
      </w:r>
      <w:r>
        <w:rPr>
          <w:szCs w:val="22"/>
        </w:rPr>
        <w:fldChar w:fldCharType="end"/>
      </w:r>
      <w:r>
        <w:rPr>
          <w:szCs w:val="22"/>
        </w:rPr>
        <w:t xml:space="preserve"> - panel </w:t>
      </w:r>
      <w:r w:rsidR="00D47D74">
        <w:rPr>
          <w:szCs w:val="22"/>
        </w:rPr>
        <w:t>a</w:t>
      </w:r>
      <w:r>
        <w:rPr>
          <w:szCs w:val="22"/>
        </w:rPr>
        <w:t>).</w:t>
      </w:r>
      <w:r w:rsidR="000C53A6">
        <w:rPr>
          <w:szCs w:val="22"/>
        </w:rPr>
        <w:t xml:space="preserve"> </w:t>
      </w:r>
      <w:r w:rsidR="00EB3955">
        <w:rPr>
          <w:szCs w:val="22"/>
        </w:rPr>
        <w:t>The bus subsidy is also</w:t>
      </w:r>
      <w:r w:rsidR="00CA5DC7">
        <w:rPr>
          <w:szCs w:val="22"/>
        </w:rPr>
        <w:t xml:space="preserve"> pro-poor</w:t>
      </w:r>
      <w:r w:rsidR="00EB3955">
        <w:rPr>
          <w:szCs w:val="22"/>
        </w:rPr>
        <w:t xml:space="preserve"> due</w:t>
      </w:r>
      <w:r w:rsidR="00CA5DC7">
        <w:rPr>
          <w:szCs w:val="22"/>
        </w:rPr>
        <w:t xml:space="preserve"> to </w:t>
      </w:r>
      <w:r w:rsidR="006E4BBB">
        <w:rPr>
          <w:szCs w:val="22"/>
        </w:rPr>
        <w:t xml:space="preserve">differences in </w:t>
      </w:r>
      <w:r w:rsidR="00CA5DC7">
        <w:rPr>
          <w:szCs w:val="22"/>
        </w:rPr>
        <w:t xml:space="preserve">the </w:t>
      </w:r>
      <w:r w:rsidR="006E4BBB">
        <w:rPr>
          <w:szCs w:val="22"/>
        </w:rPr>
        <w:t>demographic</w:t>
      </w:r>
      <w:r w:rsidR="00EB3955">
        <w:rPr>
          <w:szCs w:val="22"/>
        </w:rPr>
        <w:t xml:space="preserve"> composition </w:t>
      </w:r>
      <w:r w:rsidR="006E4BBB">
        <w:rPr>
          <w:szCs w:val="22"/>
        </w:rPr>
        <w:t>of households along the income distribution.</w:t>
      </w:r>
      <w:r w:rsidR="00727764">
        <w:rPr>
          <w:szCs w:val="22"/>
        </w:rPr>
        <w:t xml:space="preserve"> </w:t>
      </w:r>
      <w:r w:rsidR="00727764">
        <w:t>On average, a</w:t>
      </w:r>
      <w:r w:rsidR="000965F1">
        <w:t>lmost</w:t>
      </w:r>
      <w:r w:rsidR="00727764">
        <w:t xml:space="preserve"> 6 in 10 members of households at the bottom of the distribution benefit from free bus transport compared with 3.5 or 4 members in households in richer quintiles. </w:t>
      </w:r>
      <w:r w:rsidR="00727764">
        <w:rPr>
          <w:szCs w:val="22"/>
        </w:rPr>
        <w:t>S</w:t>
      </w:r>
      <w:r w:rsidR="00CA5DC7">
        <w:rPr>
          <w:szCs w:val="22"/>
        </w:rPr>
        <w:t xml:space="preserve">eniors are predominantly found in low-income households: almost </w:t>
      </w:r>
      <w:r w:rsidR="00AB5725">
        <w:rPr>
          <w:szCs w:val="22"/>
        </w:rPr>
        <w:t>2</w:t>
      </w:r>
      <w:r w:rsidR="00CA5DC7">
        <w:rPr>
          <w:szCs w:val="22"/>
        </w:rPr>
        <w:t>.</w:t>
      </w:r>
      <w:r w:rsidR="00AB5725">
        <w:rPr>
          <w:szCs w:val="22"/>
        </w:rPr>
        <w:t>4</w:t>
      </w:r>
      <w:r w:rsidR="00CA5DC7">
        <w:rPr>
          <w:szCs w:val="22"/>
        </w:rPr>
        <w:t xml:space="preserve"> in 10 members of the poorest households (bottom 20 percent) are 60 years of age or older as opposed to about 1 or 1.5 in 10 among richer households</w:t>
      </w:r>
      <w:r w:rsidR="00A22BBA">
        <w:rPr>
          <w:szCs w:val="22"/>
        </w:rPr>
        <w:t xml:space="preserve"> (</w:t>
      </w:r>
      <w:r w:rsidR="00AB5725">
        <w:rPr>
          <w:szCs w:val="22"/>
        </w:rPr>
        <w:fldChar w:fldCharType="begin"/>
      </w:r>
      <w:r w:rsidR="00AB5725">
        <w:rPr>
          <w:szCs w:val="22"/>
        </w:rPr>
        <w:instrText xml:space="preserve"> REF _Ref8143881 \h </w:instrText>
      </w:r>
      <w:r w:rsidR="002865C6">
        <w:rPr>
          <w:szCs w:val="22"/>
        </w:rPr>
        <w:instrText xml:space="preserve"> \* MERGEFORMAT </w:instrText>
      </w:r>
      <w:r w:rsidR="00AB5725">
        <w:rPr>
          <w:szCs w:val="22"/>
        </w:rPr>
      </w:r>
      <w:r w:rsidR="00AB5725">
        <w:rPr>
          <w:szCs w:val="22"/>
        </w:rPr>
        <w:fldChar w:fldCharType="separate"/>
      </w:r>
      <w:r w:rsidR="00C37C80" w:rsidRPr="00C37C80">
        <w:rPr>
          <w:szCs w:val="22"/>
        </w:rPr>
        <w:t>Figure 3.8</w:t>
      </w:r>
      <w:r w:rsidR="00AB5725">
        <w:rPr>
          <w:szCs w:val="22"/>
        </w:rPr>
        <w:fldChar w:fldCharType="end"/>
      </w:r>
      <w:r w:rsidR="00A22BBA">
        <w:rPr>
          <w:szCs w:val="22"/>
        </w:rPr>
        <w:t>)</w:t>
      </w:r>
      <w:r w:rsidR="00CA5DC7">
        <w:rPr>
          <w:szCs w:val="22"/>
        </w:rPr>
        <w:t xml:space="preserve">. </w:t>
      </w:r>
      <w:r w:rsidR="00CD2577">
        <w:rPr>
          <w:szCs w:val="22"/>
        </w:rPr>
        <w:t>D</w:t>
      </w:r>
      <w:r w:rsidR="00CD2577" w:rsidRPr="002865C6">
        <w:rPr>
          <w:szCs w:val="22"/>
        </w:rPr>
        <w:t>isab</w:t>
      </w:r>
      <w:r w:rsidR="00CD2577">
        <w:t>led as well as students enrolled in public (primary and secondary) schools</w:t>
      </w:r>
      <w:r w:rsidR="00877CB7">
        <w:t xml:space="preserve"> are also concentrated in low-income households</w:t>
      </w:r>
      <w:r w:rsidR="00CD2577">
        <w:t>, whereas the incidence of tertiary students is higher in households at the top of the distribution</w:t>
      </w:r>
      <w:r w:rsidR="00A26C1F">
        <w:t xml:space="preserve"> (on average 5 in 10 members are enrolled in </w:t>
      </w:r>
      <w:r w:rsidR="004457A5">
        <w:t>tertiary education as opposed to less than 1 in 10 at the bottom</w:t>
      </w:r>
      <w:r w:rsidR="00A26C1F">
        <w:t>)</w:t>
      </w:r>
      <w:r w:rsidR="00CD2577">
        <w:t xml:space="preserve">. </w:t>
      </w:r>
      <w:r w:rsidR="004457A5">
        <w:t xml:space="preserve">Despite, the regressive </w:t>
      </w:r>
      <w:r w:rsidR="00126B6A">
        <w:t>sub-</w:t>
      </w:r>
      <w:r w:rsidR="004457A5">
        <w:t>component of the bus</w:t>
      </w:r>
      <w:r w:rsidR="008F1AF8">
        <w:t xml:space="preserve"> subsidy ascribable to </w:t>
      </w:r>
      <w:r w:rsidR="001B067F">
        <w:t>the distribution of tertiary</w:t>
      </w:r>
      <w:r w:rsidR="008F1AF8">
        <w:t xml:space="preserve"> students</w:t>
      </w:r>
      <w:r w:rsidR="001B067F">
        <w:t xml:space="preserve"> across households</w:t>
      </w:r>
      <w:r w:rsidR="008F1AF8">
        <w:t xml:space="preserve">, the instrument </w:t>
      </w:r>
      <w:r w:rsidR="002865C6">
        <w:t>remains</w:t>
      </w:r>
      <w:r w:rsidR="008F1AF8">
        <w:t xml:space="preserve"> pro-poor</w:t>
      </w:r>
      <w:r w:rsidR="00CD2577">
        <w:t>.</w:t>
      </w:r>
      <w:r w:rsidR="00DB3BFC">
        <w:t xml:space="preserve"> </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AA181B" w:rsidRPr="001E6C40" w14:paraId="594EC256" w14:textId="77777777" w:rsidTr="00855877">
        <w:trPr>
          <w:cantSplit/>
        </w:trPr>
        <w:tc>
          <w:tcPr>
            <w:tcW w:w="9360" w:type="dxa"/>
            <w:gridSpan w:val="2"/>
            <w:hideMark/>
          </w:tcPr>
          <w:p w14:paraId="062F2298" w14:textId="4548AC0E" w:rsidR="00AA181B" w:rsidRPr="001E6C40" w:rsidRDefault="00AA181B" w:rsidP="00855877">
            <w:pPr>
              <w:pStyle w:val="Caption2"/>
              <w:spacing w:line="256" w:lineRule="auto"/>
              <w:jc w:val="left"/>
              <w:rPr>
                <w:b/>
                <w:i w:val="0"/>
                <w:sz w:val="18"/>
                <w:szCs w:val="18"/>
                <w:lang w:eastAsia="en-GB"/>
              </w:rPr>
            </w:pPr>
            <w:bookmarkStart w:id="86" w:name="_Ref8143881"/>
            <w:bookmarkStart w:id="87" w:name="_Toc11255071"/>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8</w:t>
            </w:r>
            <w:r w:rsidR="00275542">
              <w:rPr>
                <w:b/>
                <w:i w:val="0"/>
                <w:sz w:val="18"/>
                <w:szCs w:val="18"/>
                <w:lang w:eastAsia="en-GB"/>
              </w:rPr>
              <w:fldChar w:fldCharType="end"/>
            </w:r>
            <w:bookmarkEnd w:id="86"/>
            <w:r w:rsidRPr="001E6C40">
              <w:rPr>
                <w:b/>
                <w:i w:val="0"/>
                <w:sz w:val="18"/>
                <w:szCs w:val="18"/>
                <w:lang w:eastAsia="en-GB"/>
              </w:rPr>
              <w:t xml:space="preserve">. </w:t>
            </w:r>
            <w:r w:rsidR="00207BDC">
              <w:rPr>
                <w:b/>
                <w:i w:val="0"/>
                <w:sz w:val="18"/>
                <w:szCs w:val="18"/>
                <w:lang w:eastAsia="en-GB"/>
              </w:rPr>
              <w:t>Share of</w:t>
            </w:r>
            <w:r w:rsidR="00C6587E">
              <w:rPr>
                <w:b/>
                <w:i w:val="0"/>
                <w:sz w:val="18"/>
                <w:szCs w:val="18"/>
                <w:lang w:eastAsia="en-GB"/>
              </w:rPr>
              <w:t xml:space="preserve"> beneficiaries of free bus transport </w:t>
            </w:r>
            <w:r w:rsidRPr="0070773C">
              <w:rPr>
                <w:b/>
                <w:i w:val="0"/>
                <w:sz w:val="18"/>
                <w:szCs w:val="18"/>
                <w:lang w:eastAsia="en-GB"/>
              </w:rPr>
              <w:t>by quintile</w:t>
            </w:r>
            <w:r w:rsidR="00C6587E">
              <w:rPr>
                <w:b/>
                <w:i w:val="0"/>
                <w:sz w:val="18"/>
                <w:szCs w:val="18"/>
                <w:lang w:eastAsia="en-GB"/>
              </w:rPr>
              <w:t xml:space="preserve"> of </w:t>
            </w:r>
            <w:r w:rsidR="00FD3F1D">
              <w:rPr>
                <w:b/>
                <w:i w:val="0"/>
                <w:sz w:val="18"/>
                <w:szCs w:val="18"/>
                <w:lang w:eastAsia="en-GB"/>
              </w:rPr>
              <w:t xml:space="preserve">per capita </w:t>
            </w:r>
            <w:r w:rsidR="00C6587E" w:rsidRPr="0070773C">
              <w:rPr>
                <w:b/>
                <w:i w:val="0"/>
                <w:sz w:val="18"/>
                <w:szCs w:val="18"/>
                <w:lang w:eastAsia="en-GB"/>
              </w:rPr>
              <w:t>market income</w:t>
            </w:r>
            <w:r w:rsidRPr="0070773C">
              <w:rPr>
                <w:b/>
                <w:i w:val="0"/>
                <w:sz w:val="18"/>
                <w:szCs w:val="18"/>
                <w:lang w:eastAsia="en-GB"/>
              </w:rPr>
              <w:t>.</w:t>
            </w:r>
            <w:bookmarkEnd w:id="87"/>
          </w:p>
        </w:tc>
      </w:tr>
      <w:tr w:rsidR="00AA181B" w14:paraId="7EF487C8" w14:textId="77777777" w:rsidTr="00855877">
        <w:trPr>
          <w:cantSplit/>
        </w:trPr>
        <w:tc>
          <w:tcPr>
            <w:tcW w:w="4680" w:type="dxa"/>
            <w:tcMar>
              <w:top w:w="0" w:type="dxa"/>
              <w:left w:w="108" w:type="dxa"/>
              <w:bottom w:w="0" w:type="dxa"/>
              <w:right w:w="108" w:type="dxa"/>
            </w:tcMar>
            <w:hideMark/>
          </w:tcPr>
          <w:p w14:paraId="0895749E" w14:textId="2C40E9AF" w:rsidR="00AA181B" w:rsidRDefault="00555443" w:rsidP="00855877">
            <w:pPr>
              <w:spacing w:after="120"/>
              <w:rPr>
                <w:rFonts w:cs="Times New Roman"/>
                <w:sz w:val="16"/>
                <w:szCs w:val="16"/>
              </w:rPr>
            </w:pPr>
            <w:r>
              <w:rPr>
                <w:rFonts w:cs="Times New Roman"/>
                <w:noProof/>
                <w:sz w:val="16"/>
                <w:szCs w:val="16"/>
              </w:rPr>
              <w:drawing>
                <wp:inline distT="0" distB="0" distL="0" distR="0" wp14:anchorId="5151993E" wp14:editId="47FDEA58">
                  <wp:extent cx="2834640" cy="1889760"/>
                  <wp:effectExtent l="0" t="0" r="3810" b="0"/>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3.8._Share_of_beneficiaries_of_free_bus_transport_by_quintile_of_per_capita_market_income_plus_pension.png"/>
                          <pic:cNvPicPr/>
                        </pic:nvPicPr>
                        <pic:blipFill>
                          <a:blip r:embed="rId23">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c>
          <w:tcPr>
            <w:tcW w:w="4680" w:type="dxa"/>
            <w:tcMar>
              <w:top w:w="0" w:type="dxa"/>
              <w:left w:w="108" w:type="dxa"/>
              <w:bottom w:w="0" w:type="dxa"/>
              <w:right w:w="108" w:type="dxa"/>
            </w:tcMar>
            <w:hideMark/>
          </w:tcPr>
          <w:p w14:paraId="68A78DB7" w14:textId="18D70556" w:rsidR="00AA181B" w:rsidRDefault="00AA181B" w:rsidP="00855877">
            <w:pPr>
              <w:spacing w:after="120"/>
              <w:rPr>
                <w:rFonts w:cs="Times New Roman"/>
                <w:sz w:val="16"/>
                <w:szCs w:val="16"/>
              </w:rPr>
            </w:pPr>
          </w:p>
        </w:tc>
      </w:tr>
      <w:tr w:rsidR="00AA181B" w14:paraId="11B40EFD" w14:textId="77777777" w:rsidTr="00855877">
        <w:trPr>
          <w:cantSplit/>
        </w:trPr>
        <w:tc>
          <w:tcPr>
            <w:tcW w:w="9360" w:type="dxa"/>
            <w:gridSpan w:val="2"/>
            <w:tcMar>
              <w:top w:w="0" w:type="dxa"/>
              <w:left w:w="108" w:type="dxa"/>
              <w:bottom w:w="0" w:type="dxa"/>
              <w:right w:w="108" w:type="dxa"/>
            </w:tcMar>
            <w:hideMark/>
          </w:tcPr>
          <w:p w14:paraId="060A0FDA" w14:textId="77777777" w:rsidR="00AA181B" w:rsidRDefault="00AA181B"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4B0ECBFA" w14:textId="7C28C5D2" w:rsidR="00AA181B" w:rsidRPr="00767FF8" w:rsidRDefault="00AA181B"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C574B8" w:rsidRPr="00767FF8">
              <w:rPr>
                <w:rFonts w:cs="Times New Roman"/>
                <w:sz w:val="18"/>
                <w:szCs w:val="18"/>
              </w:rPr>
              <w:t>Market inco</w:t>
            </w:r>
            <w:r w:rsidR="00C574B8" w:rsidRPr="00793B42">
              <w:rPr>
                <w:rFonts w:cs="Times New Roman"/>
                <w:sz w:val="18"/>
                <w:szCs w:val="18"/>
              </w:rPr>
              <w:t xml:space="preserve">me </w:t>
            </w:r>
            <w:r w:rsidR="00C574B8">
              <w:rPr>
                <w:rFonts w:cs="Times New Roman"/>
                <w:sz w:val="18"/>
                <w:szCs w:val="18"/>
              </w:rPr>
              <w:t xml:space="preserve">refers to market income </w:t>
            </w:r>
            <w:r w:rsidR="00C574B8" w:rsidRPr="00793B42">
              <w:rPr>
                <w:rFonts w:cs="Times New Roman"/>
                <w:sz w:val="18"/>
                <w:szCs w:val="18"/>
              </w:rPr>
              <w:t xml:space="preserve">plus pensions </w:t>
            </w:r>
            <w:r w:rsidR="00C574B8">
              <w:rPr>
                <w:rFonts w:cs="Times New Roman"/>
                <w:sz w:val="18"/>
                <w:szCs w:val="18"/>
              </w:rPr>
              <w:t xml:space="preserve">and </w:t>
            </w:r>
            <w:r w:rsidR="00C574B8" w:rsidRPr="00793B42">
              <w:rPr>
                <w:rFonts w:cs="Times New Roman"/>
                <w:sz w:val="18"/>
                <w:szCs w:val="18"/>
              </w:rPr>
              <w:t>comprises pretax wages, salaries, income earned from capital assets (rent, interest, or dividends), contributory pensions, and private transfers.</w:t>
            </w:r>
          </w:p>
        </w:tc>
      </w:tr>
    </w:tbl>
    <w:p w14:paraId="2E341E70" w14:textId="77777777" w:rsidR="00AA181B" w:rsidRPr="002E6831" w:rsidRDefault="00AA181B" w:rsidP="002E6831"/>
    <w:p w14:paraId="46DF7000" w14:textId="7145FA93" w:rsidR="002E6831" w:rsidRDefault="00D24F34" w:rsidP="002E6831">
      <w:pPr>
        <w:pStyle w:val="Heading2"/>
        <w:numPr>
          <w:ilvl w:val="1"/>
          <w:numId w:val="2"/>
        </w:numPr>
      </w:pPr>
      <w:bookmarkStart w:id="88" w:name="_Toc8812804"/>
      <w:bookmarkStart w:id="89" w:name="_Toc10824877"/>
      <w:bookmarkStart w:id="90" w:name="_Toc10824949"/>
      <w:r>
        <w:t>Public</w:t>
      </w:r>
      <w:r w:rsidR="00D81C8F">
        <w:t xml:space="preserve"> Spending</w:t>
      </w:r>
      <w:r>
        <w:t xml:space="preserve"> on Education and Health</w:t>
      </w:r>
      <w:bookmarkEnd w:id="88"/>
      <w:bookmarkEnd w:id="89"/>
      <w:bookmarkEnd w:id="90"/>
    </w:p>
    <w:p w14:paraId="3BBC2337" w14:textId="71207459" w:rsidR="00D842EB" w:rsidRDefault="00D842EB"/>
    <w:p w14:paraId="2FDDB3CB" w14:textId="256A4F88" w:rsidR="00CE4B59" w:rsidRDefault="00CE4B59" w:rsidP="00CE4B59">
      <w:pPr>
        <w:pStyle w:val="Heading3"/>
      </w:pPr>
      <w:bookmarkStart w:id="91" w:name="_Toc8812805"/>
      <w:bookmarkStart w:id="92" w:name="_Toc10824878"/>
      <w:bookmarkStart w:id="93" w:name="_Toc10824950"/>
      <w:r>
        <w:t>Education</w:t>
      </w:r>
      <w:bookmarkEnd w:id="91"/>
      <w:bookmarkEnd w:id="92"/>
      <w:bookmarkEnd w:id="93"/>
    </w:p>
    <w:p w14:paraId="49BC816F" w14:textId="7E47ED1F" w:rsidR="001F5E1F" w:rsidRDefault="000B4D08" w:rsidP="0015620F">
      <w:r w:rsidRPr="00F9448C">
        <w:rPr>
          <w:b/>
        </w:rPr>
        <w:t xml:space="preserve">Mauritius spends about </w:t>
      </w:r>
      <w:r w:rsidR="00E73EB1">
        <w:rPr>
          <w:b/>
        </w:rPr>
        <w:t xml:space="preserve">16 percent of total public expenditure and </w:t>
      </w:r>
      <w:r w:rsidR="00BF2438" w:rsidRPr="00F9448C">
        <w:rPr>
          <w:b/>
        </w:rPr>
        <w:t xml:space="preserve">4 percent of GDP on education, mostly </w:t>
      </w:r>
      <w:r w:rsidR="00161ABF">
        <w:rPr>
          <w:b/>
        </w:rPr>
        <w:t>on</w:t>
      </w:r>
      <w:r w:rsidR="00BF2438" w:rsidRPr="00F9448C">
        <w:rPr>
          <w:b/>
        </w:rPr>
        <w:t xml:space="preserve"> </w:t>
      </w:r>
      <w:r w:rsidR="00F9448C" w:rsidRPr="00F9448C">
        <w:rPr>
          <w:b/>
        </w:rPr>
        <w:t xml:space="preserve">primary and secondary education. </w:t>
      </w:r>
      <w:r w:rsidR="00AE2378" w:rsidRPr="00AE2378">
        <w:t>Education</w:t>
      </w:r>
      <w:r w:rsidR="00E9317C" w:rsidRPr="00E23970">
        <w:t xml:space="preserve"> </w:t>
      </w:r>
      <w:r w:rsidR="00AE2378" w:rsidRPr="00AE2378">
        <w:t>in</w:t>
      </w:r>
      <w:r w:rsidR="00E9317C" w:rsidRPr="00E23970">
        <w:t xml:space="preserve"> </w:t>
      </w:r>
      <w:r w:rsidR="00AE2378" w:rsidRPr="00AE2378">
        <w:t>Mauritius</w:t>
      </w:r>
      <w:r w:rsidR="00E9317C" w:rsidRPr="00E23970">
        <w:t xml:space="preserve"> </w:t>
      </w:r>
      <w:r w:rsidR="00AE2378" w:rsidRPr="00AE2378">
        <w:t>is</w:t>
      </w:r>
      <w:r w:rsidR="00E9317C" w:rsidRPr="00E23970">
        <w:t xml:space="preserve"> </w:t>
      </w:r>
      <w:r w:rsidR="00AE2378" w:rsidRPr="00AE2378">
        <w:t>compulsory</w:t>
      </w:r>
      <w:r w:rsidR="00E9317C" w:rsidRPr="00E23970">
        <w:t xml:space="preserve"> </w:t>
      </w:r>
      <w:r w:rsidR="00AE2378" w:rsidRPr="00AE2378">
        <w:t>from</w:t>
      </w:r>
      <w:r w:rsidR="00E9317C" w:rsidRPr="00E23970">
        <w:t xml:space="preserve"> </w:t>
      </w:r>
      <w:r w:rsidR="00AE2378" w:rsidRPr="00AE2378">
        <w:t>age</w:t>
      </w:r>
      <w:r w:rsidR="00E9317C" w:rsidRPr="00E23970">
        <w:t xml:space="preserve"> </w:t>
      </w:r>
      <w:r w:rsidR="00AE2378" w:rsidRPr="00AE2378">
        <w:t>five</w:t>
      </w:r>
      <w:r w:rsidR="00E9317C" w:rsidRPr="00E23970">
        <w:t xml:space="preserve"> </w:t>
      </w:r>
      <w:r w:rsidR="00AE2378" w:rsidRPr="00AE2378">
        <w:t>up</w:t>
      </w:r>
      <w:r w:rsidR="00E9317C" w:rsidRPr="00E23970">
        <w:t xml:space="preserve"> </w:t>
      </w:r>
      <w:r w:rsidR="00AE2378" w:rsidRPr="00AE2378">
        <w:t>to</w:t>
      </w:r>
      <w:r w:rsidR="00E9317C" w:rsidRPr="00E23970">
        <w:t xml:space="preserve"> </w:t>
      </w:r>
      <w:r w:rsidR="00AE2378" w:rsidRPr="00AE2378">
        <w:t>the</w:t>
      </w:r>
      <w:r w:rsidR="00E9317C" w:rsidRPr="00E23970">
        <w:t xml:space="preserve"> </w:t>
      </w:r>
      <w:r w:rsidR="00AE2378" w:rsidRPr="00AE2378">
        <w:t>age</w:t>
      </w:r>
      <w:r w:rsidR="00E9317C" w:rsidRPr="00E23970">
        <w:t xml:space="preserve"> </w:t>
      </w:r>
      <w:r w:rsidR="00AE2378" w:rsidRPr="00AE2378">
        <w:t>of</w:t>
      </w:r>
      <w:r w:rsidR="00E9317C" w:rsidRPr="00E23970">
        <w:t xml:space="preserve"> </w:t>
      </w:r>
      <w:r w:rsidR="00AE2378" w:rsidRPr="00AE2378">
        <w:t>sixteen</w:t>
      </w:r>
      <w:r w:rsidR="00431C1C">
        <w:t xml:space="preserve"> and it is free of charge</w:t>
      </w:r>
      <w:r w:rsidR="00F13BFC">
        <w:t xml:space="preserve"> at all </w:t>
      </w:r>
      <w:r w:rsidR="00DC34DB">
        <w:t>levels</w:t>
      </w:r>
      <w:r w:rsidR="00F13BFC">
        <w:t xml:space="preserve"> </w:t>
      </w:r>
      <w:r w:rsidR="00DC34DB">
        <w:t>and</w:t>
      </w:r>
      <w:r w:rsidR="00F13BFC">
        <w:t xml:space="preserve"> grades</w:t>
      </w:r>
      <w:r w:rsidR="00AE2378" w:rsidRPr="00AE2378">
        <w:t>.</w:t>
      </w:r>
      <w:r w:rsidR="00ED0830">
        <w:t xml:space="preserve"> </w:t>
      </w:r>
      <w:r w:rsidR="00AE2378" w:rsidRPr="00AE2378">
        <w:t>The</w:t>
      </w:r>
      <w:r w:rsidR="00E9317C" w:rsidRPr="00E23970">
        <w:t xml:space="preserve"> </w:t>
      </w:r>
      <w:r w:rsidR="00AE2378" w:rsidRPr="00AE2378">
        <w:t>education</w:t>
      </w:r>
      <w:r w:rsidR="00E9317C" w:rsidRPr="00E23970">
        <w:t xml:space="preserve"> </w:t>
      </w:r>
      <w:r w:rsidR="00AE2378" w:rsidRPr="00AE2378">
        <w:t>system</w:t>
      </w:r>
      <w:r w:rsidR="00E9317C" w:rsidRPr="00E23970">
        <w:t xml:space="preserve"> </w:t>
      </w:r>
      <w:r w:rsidR="00A703FC">
        <w:t xml:space="preserve">comprises </w:t>
      </w:r>
      <w:r w:rsidR="00AE2378" w:rsidRPr="00AE2378">
        <w:t>two</w:t>
      </w:r>
      <w:r w:rsidR="00E9317C" w:rsidRPr="00E23970">
        <w:t xml:space="preserve"> </w:t>
      </w:r>
      <w:r w:rsidR="00AE2378" w:rsidRPr="00AE2378">
        <w:t>years</w:t>
      </w:r>
      <w:r w:rsidR="00E9317C" w:rsidRPr="00E23970">
        <w:t xml:space="preserve"> </w:t>
      </w:r>
      <w:r w:rsidR="00AE2378" w:rsidRPr="00AE2378">
        <w:t>at</w:t>
      </w:r>
      <w:r w:rsidR="00E9317C" w:rsidRPr="00E23970">
        <w:t xml:space="preserve"> </w:t>
      </w:r>
      <w:r w:rsidR="00C11058">
        <w:t>pre</w:t>
      </w:r>
      <w:r w:rsidR="00AE2378" w:rsidRPr="00AE2378">
        <w:t>primary</w:t>
      </w:r>
      <w:r w:rsidR="00E9317C" w:rsidRPr="00E23970">
        <w:t xml:space="preserve"> </w:t>
      </w:r>
      <w:r w:rsidR="00AE2378" w:rsidRPr="00AE2378">
        <w:t>level</w:t>
      </w:r>
      <w:r w:rsidR="00A703FC">
        <w:t>,</w:t>
      </w:r>
      <w:r w:rsidR="00C84C3F">
        <w:t xml:space="preserve"> six at primary level</w:t>
      </w:r>
      <w:r w:rsidR="003D5BD5">
        <w:t xml:space="preserve"> </w:t>
      </w:r>
      <w:r w:rsidR="008E3EC7">
        <w:t xml:space="preserve">with </w:t>
      </w:r>
      <w:r w:rsidR="00D135CD">
        <w:t xml:space="preserve">the </w:t>
      </w:r>
      <w:r w:rsidR="003D5BD5" w:rsidRPr="00AE2378">
        <w:t>Certificate</w:t>
      </w:r>
      <w:r w:rsidR="003D5BD5" w:rsidRPr="00E23970">
        <w:t xml:space="preserve"> </w:t>
      </w:r>
      <w:r w:rsidR="003D5BD5" w:rsidRPr="00AE2378">
        <w:t>of</w:t>
      </w:r>
      <w:r w:rsidR="003D5BD5">
        <w:t xml:space="preserve"> </w:t>
      </w:r>
      <w:r w:rsidR="003D5BD5" w:rsidRPr="00AE2378">
        <w:t>Primary</w:t>
      </w:r>
      <w:r w:rsidR="003D5BD5">
        <w:t xml:space="preserve"> </w:t>
      </w:r>
      <w:r w:rsidR="003D5BD5" w:rsidRPr="00AE2378">
        <w:t>Education</w:t>
      </w:r>
      <w:r w:rsidR="003D5BD5">
        <w:t xml:space="preserve"> </w:t>
      </w:r>
      <w:r w:rsidR="003D5BD5" w:rsidRPr="00AE2378">
        <w:t>(CPE)</w:t>
      </w:r>
      <w:r w:rsidR="004C2C63">
        <w:t xml:space="preserve">, </w:t>
      </w:r>
      <w:r w:rsidR="009C78A5">
        <w:t>five</w:t>
      </w:r>
      <w:r w:rsidR="00E6006A">
        <w:t xml:space="preserve"> at lower secondary </w:t>
      </w:r>
      <w:r w:rsidR="009C78A5">
        <w:t xml:space="preserve">that lead to the </w:t>
      </w:r>
      <w:r w:rsidR="00F14DED">
        <w:t>Cambridge School Certificate (SC), and two at</w:t>
      </w:r>
      <w:r w:rsidR="00E6006A">
        <w:t xml:space="preserve"> upper secondary</w:t>
      </w:r>
      <w:r w:rsidR="00F14DED">
        <w:t xml:space="preserve"> (High School Certificate – HSC)</w:t>
      </w:r>
      <w:r w:rsidR="00E6006A">
        <w:t>. Upon comple</w:t>
      </w:r>
      <w:r w:rsidR="003208A4">
        <w:t xml:space="preserve">tion of the </w:t>
      </w:r>
      <w:r w:rsidR="00F14DED">
        <w:t>HSC</w:t>
      </w:r>
      <w:r w:rsidR="003208A4">
        <w:t>, students</w:t>
      </w:r>
      <w:r w:rsidR="003D5BD5">
        <w:t xml:space="preserve"> </w:t>
      </w:r>
      <w:r w:rsidR="00FC64C0">
        <w:t xml:space="preserve">are eligible for post-secondary and </w:t>
      </w:r>
      <w:r w:rsidR="00A70FD0">
        <w:t>tertiary</w:t>
      </w:r>
      <w:r w:rsidR="00FC64C0">
        <w:t xml:space="preserve"> studies offered by </w:t>
      </w:r>
      <w:r w:rsidR="00A70FD0">
        <w:t>polytechnics</w:t>
      </w:r>
      <w:r w:rsidR="00FC64C0">
        <w:t xml:space="preserve"> and </w:t>
      </w:r>
      <w:r w:rsidR="00A70FD0">
        <w:t>tertiary</w:t>
      </w:r>
      <w:r w:rsidR="00FC64C0">
        <w:t xml:space="preserve"> education </w:t>
      </w:r>
      <w:r w:rsidR="00A70FD0">
        <w:t>institutions</w:t>
      </w:r>
      <w:r w:rsidR="00FC64C0">
        <w:t>.</w:t>
      </w:r>
      <w:r w:rsidR="00882D4B">
        <w:t xml:space="preserve"> </w:t>
      </w:r>
      <w:r w:rsidR="002858CC">
        <w:t>Pre</w:t>
      </w:r>
      <w:r w:rsidR="00C11058">
        <w:t>v</w:t>
      </w:r>
      <w:r w:rsidR="002858CC">
        <w:t>ocational Education was provided in secondary schools for students that had failed the CPE examination as a second chance</w:t>
      </w:r>
      <w:r w:rsidR="003B0E85">
        <w:t xml:space="preserve"> through a four-year program aimed at</w:t>
      </w:r>
      <w:r w:rsidR="0035491A">
        <w:t xml:space="preserve"> filling their learning gap.</w:t>
      </w:r>
      <w:r w:rsidR="00341042">
        <w:rPr>
          <w:rStyle w:val="FootnoteReference"/>
        </w:rPr>
        <w:footnoteReference w:id="15"/>
      </w:r>
      <w:r w:rsidR="003B0E85">
        <w:t xml:space="preserve"> </w:t>
      </w:r>
      <w:r w:rsidR="0018310B">
        <w:t xml:space="preserve">As illustrated in </w:t>
      </w:r>
      <w:r w:rsidR="006A6CF0">
        <w:fldChar w:fldCharType="begin"/>
      </w:r>
      <w:r w:rsidR="006A6CF0">
        <w:instrText xml:space="preserve"> REF _Ref8210293 \h  \* MERGEFORMAT </w:instrText>
      </w:r>
      <w:r w:rsidR="006A6CF0">
        <w:fldChar w:fldCharType="separate"/>
      </w:r>
      <w:r w:rsidR="00C37C80" w:rsidRPr="00C37C80">
        <w:t>Figure 3.9</w:t>
      </w:r>
      <w:r w:rsidR="006A6CF0">
        <w:fldChar w:fldCharType="end"/>
      </w:r>
      <w:r w:rsidR="006A6CF0">
        <w:t xml:space="preserve"> (panel a), i</w:t>
      </w:r>
      <w:r w:rsidR="00883497">
        <w:t xml:space="preserve">n 2017/18 over </w:t>
      </w:r>
      <w:r w:rsidR="00E02DFC">
        <w:t>50 cents on the dollar spen</w:t>
      </w:r>
      <w:r w:rsidR="00861D1E">
        <w:t>t</w:t>
      </w:r>
      <w:r w:rsidR="00E02DFC">
        <w:t xml:space="preserve"> on education was directed to secondary education (54.8 percent), followed by primary education that received </w:t>
      </w:r>
      <w:r w:rsidR="007328AF">
        <w:t xml:space="preserve">27 percent of public </w:t>
      </w:r>
      <w:r w:rsidR="00861D1E">
        <w:t>resources, tertiary (</w:t>
      </w:r>
      <w:r w:rsidR="00140DF4">
        <w:t>7.5 percent</w:t>
      </w:r>
      <w:r w:rsidR="00861D1E">
        <w:t>) and technical and vocational education (</w:t>
      </w:r>
      <w:r w:rsidR="00140DF4">
        <w:t>2.9 percent</w:t>
      </w:r>
      <w:r w:rsidR="00861D1E">
        <w:t>).</w:t>
      </w:r>
      <w:r w:rsidR="007328AF">
        <w:t xml:space="preserve"> </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D2544C" w:rsidRPr="001E6C40" w14:paraId="04F9DAA3" w14:textId="77777777" w:rsidTr="004B37D4">
        <w:trPr>
          <w:cantSplit/>
        </w:trPr>
        <w:tc>
          <w:tcPr>
            <w:tcW w:w="9360" w:type="dxa"/>
            <w:gridSpan w:val="2"/>
            <w:hideMark/>
          </w:tcPr>
          <w:p w14:paraId="2E015A81" w14:textId="14D19F5B" w:rsidR="00D2544C" w:rsidRPr="001E6C40" w:rsidRDefault="00D2544C" w:rsidP="004B37D4">
            <w:pPr>
              <w:pStyle w:val="Caption2"/>
              <w:spacing w:line="256" w:lineRule="auto"/>
              <w:jc w:val="left"/>
              <w:rPr>
                <w:b/>
                <w:i w:val="0"/>
                <w:sz w:val="18"/>
                <w:szCs w:val="18"/>
                <w:lang w:eastAsia="en-GB"/>
              </w:rPr>
            </w:pPr>
            <w:bookmarkStart w:id="94" w:name="_Ref8210293"/>
            <w:bookmarkStart w:id="95" w:name="_Ref8210266"/>
            <w:bookmarkStart w:id="96" w:name="_Toc11255072"/>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9</w:t>
            </w:r>
            <w:r w:rsidR="00275542">
              <w:rPr>
                <w:b/>
                <w:i w:val="0"/>
                <w:sz w:val="18"/>
                <w:szCs w:val="18"/>
                <w:lang w:eastAsia="en-GB"/>
              </w:rPr>
              <w:fldChar w:fldCharType="end"/>
            </w:r>
            <w:bookmarkEnd w:id="94"/>
            <w:r w:rsidRPr="001E6C40">
              <w:rPr>
                <w:b/>
                <w:i w:val="0"/>
                <w:sz w:val="18"/>
                <w:szCs w:val="18"/>
                <w:lang w:eastAsia="en-GB"/>
              </w:rPr>
              <w:t xml:space="preserve">. </w:t>
            </w:r>
            <w:r w:rsidR="00737BA9">
              <w:rPr>
                <w:b/>
                <w:i w:val="0"/>
                <w:sz w:val="18"/>
                <w:szCs w:val="18"/>
                <w:lang w:eastAsia="en-GB"/>
              </w:rPr>
              <w:t>Public education ex</w:t>
            </w:r>
            <w:r w:rsidR="008D510E">
              <w:rPr>
                <w:b/>
                <w:i w:val="0"/>
                <w:sz w:val="18"/>
                <w:szCs w:val="18"/>
                <w:lang w:eastAsia="en-GB"/>
              </w:rPr>
              <w:t>pe</w:t>
            </w:r>
            <w:r w:rsidR="00737BA9">
              <w:rPr>
                <w:b/>
                <w:i w:val="0"/>
                <w:sz w:val="18"/>
                <w:szCs w:val="18"/>
                <w:lang w:eastAsia="en-GB"/>
              </w:rPr>
              <w:t>nditure</w:t>
            </w:r>
            <w:r w:rsidR="008D510E">
              <w:rPr>
                <w:b/>
                <w:i w:val="0"/>
                <w:sz w:val="18"/>
                <w:szCs w:val="18"/>
                <w:lang w:eastAsia="en-GB"/>
              </w:rPr>
              <w:t>s</w:t>
            </w:r>
            <w:r w:rsidR="00737BA9">
              <w:rPr>
                <w:b/>
                <w:i w:val="0"/>
                <w:sz w:val="18"/>
                <w:szCs w:val="18"/>
                <w:lang w:eastAsia="en-GB"/>
              </w:rPr>
              <w:t xml:space="preserve"> by educational level and distribution of school-age kids by</w:t>
            </w:r>
            <w:r w:rsidR="008D510E">
              <w:rPr>
                <w:b/>
                <w:i w:val="0"/>
                <w:sz w:val="18"/>
                <w:szCs w:val="18"/>
                <w:lang w:eastAsia="en-GB"/>
              </w:rPr>
              <w:t xml:space="preserve"> quintile of per capita income</w:t>
            </w:r>
            <w:r w:rsidRPr="0070773C">
              <w:rPr>
                <w:b/>
                <w:i w:val="0"/>
                <w:sz w:val="18"/>
                <w:szCs w:val="18"/>
                <w:lang w:eastAsia="en-GB"/>
              </w:rPr>
              <w:t>.</w:t>
            </w:r>
            <w:bookmarkEnd w:id="95"/>
            <w:bookmarkEnd w:id="96"/>
          </w:p>
        </w:tc>
      </w:tr>
      <w:tr w:rsidR="00D2544C" w14:paraId="3FD1DEB2" w14:textId="77777777" w:rsidTr="004B37D4">
        <w:trPr>
          <w:cantSplit/>
        </w:trPr>
        <w:tc>
          <w:tcPr>
            <w:tcW w:w="4680" w:type="dxa"/>
            <w:hideMark/>
          </w:tcPr>
          <w:p w14:paraId="0045558B" w14:textId="44BF5A4B" w:rsidR="00D2544C" w:rsidRDefault="00D2544C" w:rsidP="004B37D4">
            <w:pPr>
              <w:widowControl w:val="0"/>
              <w:jc w:val="center"/>
              <w:rPr>
                <w:rFonts w:cs="Times New Roman"/>
                <w:b/>
                <w:sz w:val="18"/>
                <w:szCs w:val="18"/>
                <w:lang w:eastAsia="en-GB"/>
              </w:rPr>
            </w:pPr>
            <w:r>
              <w:rPr>
                <w:rFonts w:cs="Times New Roman"/>
                <w:b/>
                <w:sz w:val="18"/>
                <w:szCs w:val="18"/>
                <w:lang w:eastAsia="en-GB"/>
              </w:rPr>
              <w:t xml:space="preserve">a. </w:t>
            </w:r>
            <w:r w:rsidR="00BD1D18">
              <w:rPr>
                <w:rFonts w:cs="Times New Roman"/>
                <w:b/>
                <w:sz w:val="18"/>
                <w:szCs w:val="18"/>
                <w:lang w:eastAsia="en-GB"/>
              </w:rPr>
              <w:t>Distribution of public education expenditures by educational level, 2017/18</w:t>
            </w:r>
          </w:p>
        </w:tc>
        <w:tc>
          <w:tcPr>
            <w:tcW w:w="4680" w:type="dxa"/>
            <w:hideMark/>
          </w:tcPr>
          <w:p w14:paraId="7EEF5D0E" w14:textId="7B3BDF43" w:rsidR="00D2544C" w:rsidRDefault="00D2544C" w:rsidP="004B37D4">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sidR="003B0C7E">
              <w:rPr>
                <w:rFonts w:cs="Times New Roman"/>
                <w:b/>
                <w:sz w:val="18"/>
                <w:szCs w:val="18"/>
                <w:lang w:eastAsia="en-GB"/>
              </w:rPr>
              <w:t>children</w:t>
            </w:r>
            <w:r w:rsidR="00674C1F">
              <w:rPr>
                <w:rFonts w:cs="Times New Roman"/>
                <w:b/>
                <w:sz w:val="18"/>
                <w:szCs w:val="18"/>
                <w:lang w:eastAsia="en-GB"/>
              </w:rPr>
              <w:t xml:space="preserve"> in different school age groups by quintile of per capita</w:t>
            </w:r>
            <w:r w:rsidRPr="00F2330A">
              <w:rPr>
                <w:rFonts w:cs="Times New Roman"/>
                <w:b/>
                <w:sz w:val="18"/>
                <w:szCs w:val="18"/>
                <w:lang w:eastAsia="en-GB"/>
              </w:rPr>
              <w:t xml:space="preserve"> </w:t>
            </w:r>
            <w:r>
              <w:rPr>
                <w:rFonts w:cs="Times New Roman"/>
                <w:b/>
                <w:sz w:val="18"/>
                <w:szCs w:val="18"/>
                <w:lang w:eastAsia="en-GB"/>
              </w:rPr>
              <w:t>market income</w:t>
            </w:r>
            <w:r w:rsidR="008D510E">
              <w:rPr>
                <w:rFonts w:cs="Times New Roman"/>
                <w:b/>
                <w:sz w:val="18"/>
                <w:szCs w:val="18"/>
                <w:lang w:eastAsia="en-GB"/>
              </w:rPr>
              <w:t>, 2017</w:t>
            </w:r>
          </w:p>
        </w:tc>
      </w:tr>
      <w:tr w:rsidR="00D2544C" w14:paraId="0DD5425D" w14:textId="77777777" w:rsidTr="007C3332">
        <w:tblPrEx>
          <w:tblCellMar>
            <w:left w:w="108" w:type="dxa"/>
            <w:right w:w="108" w:type="dxa"/>
          </w:tblCellMar>
        </w:tblPrEx>
        <w:trPr>
          <w:cantSplit/>
        </w:trPr>
        <w:tc>
          <w:tcPr>
            <w:tcW w:w="4680" w:type="dxa"/>
            <w:hideMark/>
          </w:tcPr>
          <w:p w14:paraId="71591739" w14:textId="255FFA60" w:rsidR="00D2544C" w:rsidRDefault="007C3332" w:rsidP="004B37D4">
            <w:pPr>
              <w:spacing w:after="120"/>
              <w:rPr>
                <w:rFonts w:cs="Times New Roman"/>
                <w:sz w:val="16"/>
                <w:szCs w:val="16"/>
              </w:rPr>
            </w:pPr>
            <w:r>
              <w:rPr>
                <w:noProof/>
              </w:rPr>
              <w:drawing>
                <wp:inline distT="0" distB="0" distL="0" distR="0" wp14:anchorId="6E15074B" wp14:editId="26DC47CD">
                  <wp:extent cx="2834640" cy="1844703"/>
                  <wp:effectExtent l="0" t="0" r="3810" b="3175"/>
                  <wp:docPr id="5" name="Chart 5">
                    <a:extLst xmlns:a="http://schemas.openxmlformats.org/drawingml/2006/main">
                      <a:ext uri="{FF2B5EF4-FFF2-40B4-BE49-F238E27FC236}">
                        <a16:creationId xmlns:a16="http://schemas.microsoft.com/office/drawing/2014/main" id="{A3A918FA-7F0D-4373-A837-4A072E1F1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80" w:type="dxa"/>
            <w:hideMark/>
          </w:tcPr>
          <w:p w14:paraId="01DCC745" w14:textId="0343E39E" w:rsidR="00D2544C" w:rsidRDefault="00C070CB" w:rsidP="004B37D4">
            <w:pPr>
              <w:spacing w:after="120"/>
              <w:rPr>
                <w:rFonts w:cs="Times New Roman"/>
                <w:sz w:val="16"/>
                <w:szCs w:val="16"/>
              </w:rPr>
            </w:pPr>
            <w:r>
              <w:rPr>
                <w:rFonts w:cs="Times New Roman"/>
                <w:noProof/>
                <w:sz w:val="16"/>
                <w:szCs w:val="16"/>
              </w:rPr>
              <w:drawing>
                <wp:inline distT="0" distB="0" distL="0" distR="0" wp14:anchorId="5E7FDD7E" wp14:editId="07506D3B">
                  <wp:extent cx="2834640" cy="188976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ildren_school_age_per_capita_income_quinti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D2544C" w14:paraId="02DFC3B5" w14:textId="77777777" w:rsidTr="004B37D4">
        <w:trPr>
          <w:cantSplit/>
        </w:trPr>
        <w:tc>
          <w:tcPr>
            <w:tcW w:w="9360" w:type="dxa"/>
            <w:gridSpan w:val="2"/>
            <w:tcMar>
              <w:top w:w="0" w:type="dxa"/>
              <w:left w:w="108" w:type="dxa"/>
              <w:bottom w:w="0" w:type="dxa"/>
              <w:right w:w="108" w:type="dxa"/>
            </w:tcMar>
            <w:hideMark/>
          </w:tcPr>
          <w:p w14:paraId="495FA847" w14:textId="210D7D46" w:rsidR="00D2544C" w:rsidRDefault="00D2544C"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 xml:space="preserve">Based on data of the </w:t>
            </w:r>
            <w:r w:rsidR="00F53785">
              <w:rPr>
                <w:rFonts w:cs="Times New Roman"/>
                <w:sz w:val="18"/>
                <w:szCs w:val="18"/>
              </w:rPr>
              <w:t>2017 Digest of Education</w:t>
            </w:r>
            <w:r w:rsidR="00937000">
              <w:rPr>
                <w:rFonts w:cs="Times New Roman"/>
                <w:sz w:val="18"/>
                <w:szCs w:val="18"/>
              </w:rPr>
              <w:t xml:space="preserve"> </w:t>
            </w:r>
            <w:r w:rsidR="00F53785">
              <w:rPr>
                <w:rFonts w:cs="Times New Roman"/>
                <w:sz w:val="18"/>
                <w:szCs w:val="18"/>
              </w:rPr>
              <w:t xml:space="preserve">Statistics and </w:t>
            </w:r>
            <w:r>
              <w:rPr>
                <w:rFonts w:cs="Times New Roman"/>
                <w:sz w:val="18"/>
                <w:szCs w:val="18"/>
              </w:rPr>
              <w:t>2017 Household Budget Survey, Statistics Mauritius.</w:t>
            </w:r>
          </w:p>
          <w:p w14:paraId="75C78900" w14:textId="2923630D" w:rsidR="00D2544C" w:rsidRPr="00767FF8" w:rsidRDefault="00D2544C" w:rsidP="004B37D4">
            <w:pPr>
              <w:widowControl w:val="0"/>
              <w:spacing w:after="0"/>
              <w:rPr>
                <w:rFonts w:cs="Times New Roman"/>
                <w:sz w:val="18"/>
                <w:szCs w:val="18"/>
              </w:rPr>
            </w:pPr>
            <w:r>
              <w:rPr>
                <w:rFonts w:cs="Times New Roman"/>
                <w:i/>
                <w:sz w:val="18"/>
                <w:szCs w:val="18"/>
              </w:rPr>
              <w:t>Note</w:t>
            </w:r>
            <w:r w:rsidR="002656E4">
              <w:rPr>
                <w:rFonts w:cs="Times New Roman"/>
                <w:sz w:val="18"/>
                <w:szCs w:val="18"/>
              </w:rPr>
              <w:t>: (1) Other i</w:t>
            </w:r>
            <w:r w:rsidR="002656E4" w:rsidRPr="0023071F">
              <w:rPr>
                <w:rFonts w:cs="Times New Roman"/>
                <w:sz w:val="18"/>
                <w:szCs w:val="18"/>
              </w:rPr>
              <w:t>ncludes expenditure incurred by other Ministries to support education activities and training dispensed by all Ministries/Departments in line with the concept of lifelong learning.</w:t>
            </w:r>
            <w:r w:rsidR="00D024D1">
              <w:rPr>
                <w:rFonts w:cs="Times New Roman"/>
                <w:sz w:val="18"/>
                <w:szCs w:val="18"/>
              </w:rPr>
              <w:t xml:space="preserve"> (2) </w:t>
            </w:r>
            <w:r w:rsidR="00AE57A5" w:rsidRPr="00767FF8">
              <w:rPr>
                <w:rFonts w:cs="Times New Roman"/>
                <w:sz w:val="18"/>
                <w:szCs w:val="18"/>
              </w:rPr>
              <w:t>Market inco</w:t>
            </w:r>
            <w:r w:rsidR="00AE57A5" w:rsidRPr="00793B42">
              <w:rPr>
                <w:rFonts w:cs="Times New Roman"/>
                <w:sz w:val="18"/>
                <w:szCs w:val="18"/>
              </w:rPr>
              <w:t xml:space="preserve">me </w:t>
            </w:r>
            <w:r w:rsidR="00AE57A5">
              <w:rPr>
                <w:rFonts w:cs="Times New Roman"/>
                <w:sz w:val="18"/>
                <w:szCs w:val="18"/>
              </w:rPr>
              <w:t xml:space="preserve">refers to market income </w:t>
            </w:r>
            <w:r w:rsidR="00AE57A5" w:rsidRPr="00793B42">
              <w:rPr>
                <w:rFonts w:cs="Times New Roman"/>
                <w:sz w:val="18"/>
                <w:szCs w:val="18"/>
              </w:rPr>
              <w:t xml:space="preserve">plus pensions </w:t>
            </w:r>
            <w:r w:rsidR="00AE57A5">
              <w:rPr>
                <w:rFonts w:cs="Times New Roman"/>
                <w:sz w:val="18"/>
                <w:szCs w:val="18"/>
              </w:rPr>
              <w:t xml:space="preserve">and </w:t>
            </w:r>
            <w:r w:rsidR="00AE57A5" w:rsidRPr="00793B42">
              <w:rPr>
                <w:rFonts w:cs="Times New Roman"/>
                <w:sz w:val="18"/>
                <w:szCs w:val="18"/>
              </w:rPr>
              <w:t>comprises pretax wages, salaries, income earned from capital assets (rent, interest, or dividends), contributory pensions, and private transfers.</w:t>
            </w:r>
          </w:p>
        </w:tc>
      </w:tr>
    </w:tbl>
    <w:p w14:paraId="3BB4599C" w14:textId="10DE8147" w:rsidR="00D2544C" w:rsidRDefault="00D2544C" w:rsidP="0015620F"/>
    <w:p w14:paraId="43123ED5" w14:textId="25D1234F" w:rsidR="00D2544C" w:rsidRDefault="00737BA9" w:rsidP="0015620F">
      <w:r>
        <w:rPr>
          <w:b/>
        </w:rPr>
        <w:t xml:space="preserve">Public spending on education in Mauritius does not have an </w:t>
      </w:r>
      <w:r w:rsidRPr="00CE2FFD">
        <w:rPr>
          <w:b/>
          <w:i/>
        </w:rPr>
        <w:t>ex-ante</w:t>
      </w:r>
      <w:r>
        <w:rPr>
          <w:b/>
        </w:rPr>
        <w:t xml:space="preserve"> clear-cut fiscal effect for two reasons. </w:t>
      </w:r>
      <w:r w:rsidRPr="00A60601">
        <w:t>First, low-income households have a larger share of kids in</w:t>
      </w:r>
      <w:r>
        <w:t xml:space="preserve"> primary </w:t>
      </w:r>
      <w:r w:rsidR="00A33948">
        <w:t xml:space="preserve">(6 to 11) </w:t>
      </w:r>
      <w:r>
        <w:t xml:space="preserve">and secondary </w:t>
      </w:r>
      <w:r w:rsidR="00A33948">
        <w:t xml:space="preserve">(12-19) </w:t>
      </w:r>
      <w:r>
        <w:t>school age</w:t>
      </w:r>
      <w:r w:rsidR="007B60D5">
        <w:t xml:space="preserve"> (</w:t>
      </w:r>
      <w:r w:rsidR="007B60D5">
        <w:fldChar w:fldCharType="begin"/>
      </w:r>
      <w:r w:rsidR="007B60D5">
        <w:instrText xml:space="preserve"> REF _Ref8210293 \h  \* MERGEFORMAT </w:instrText>
      </w:r>
      <w:r w:rsidR="007B60D5">
        <w:fldChar w:fldCharType="separate"/>
      </w:r>
      <w:r w:rsidR="00C37C80" w:rsidRPr="00C37C80">
        <w:t>Figure 3.9</w:t>
      </w:r>
      <w:r w:rsidR="007B60D5">
        <w:fldChar w:fldCharType="end"/>
      </w:r>
      <w:r w:rsidR="007B60D5">
        <w:t xml:space="preserve"> – panel b). The share of primary school kids ranges from</w:t>
      </w:r>
      <w:r w:rsidR="00075365">
        <w:t xml:space="preserve"> 31 percent in the bottom 20 percent to 12 percent at the top of the income distribution</w:t>
      </w:r>
      <w:r w:rsidR="0046159D">
        <w:t>.</w:t>
      </w:r>
      <w:r w:rsidR="00075365">
        <w:t xml:space="preserve"> </w:t>
      </w:r>
      <w:r w:rsidR="0046159D">
        <w:t>S</w:t>
      </w:r>
      <w:r w:rsidR="00075365">
        <w:t xml:space="preserve">imilarly, </w:t>
      </w:r>
      <w:r w:rsidR="00AE3AD5">
        <w:t>households at the top 20 percent are home of about 1</w:t>
      </w:r>
      <w:r w:rsidR="002A4D4B">
        <w:t>2</w:t>
      </w:r>
      <w:r w:rsidR="00AE3AD5">
        <w:t xml:space="preserve"> percent of </w:t>
      </w:r>
      <w:r w:rsidR="0046159D">
        <w:t>kids in secondary school age</w:t>
      </w:r>
      <w:r w:rsidR="00AE3AD5">
        <w:t xml:space="preserve"> compared with 27 percent</w:t>
      </w:r>
      <w:r w:rsidR="002A4D4B">
        <w:t xml:space="preserve"> at the bottom of the distribution. </w:t>
      </w:r>
      <w:r w:rsidR="0001710A">
        <w:t xml:space="preserve">By contrast, the share of children between 20 and 24 years of age, therefore </w:t>
      </w:r>
      <w:r w:rsidR="001778DE">
        <w:t>eligible</w:t>
      </w:r>
      <w:r w:rsidR="0001710A">
        <w:t xml:space="preserve"> to enroll in tertiary education, are </w:t>
      </w:r>
      <w:r w:rsidR="001778DE">
        <w:t>roughly</w:t>
      </w:r>
      <w:r w:rsidR="0001710A">
        <w:t xml:space="preserve"> equally distributed along the income distribution</w:t>
      </w:r>
      <w:r w:rsidR="001778DE">
        <w:t xml:space="preserve">, with a slight peak in the fourth quintile (23 percent). </w:t>
      </w:r>
      <w:r w:rsidR="002A4D4B">
        <w:t>Such differences</w:t>
      </w:r>
      <w:r w:rsidR="00840686">
        <w:t xml:space="preserve"> would push towards a disproportionate benefit from public education spending </w:t>
      </w:r>
      <w:r w:rsidR="00F77383">
        <w:t>for</w:t>
      </w:r>
      <w:r w:rsidR="00840686">
        <w:t xml:space="preserve"> low-income </w:t>
      </w:r>
      <w:r w:rsidR="00F77383">
        <w:t>households</w:t>
      </w:r>
      <w:r w:rsidR="00840686">
        <w:t xml:space="preserve">. </w:t>
      </w:r>
      <w:r w:rsidR="00375933">
        <w:t>Second,</w:t>
      </w:r>
      <w:r w:rsidR="009D621B">
        <w:t xml:space="preserve"> </w:t>
      </w:r>
      <w:r w:rsidR="000F61A5">
        <w:t xml:space="preserve">kids from low-income households </w:t>
      </w:r>
      <w:r w:rsidR="004C0C53">
        <w:t>are more likely to</w:t>
      </w:r>
      <w:r w:rsidR="000F61A5">
        <w:t xml:space="preserve"> </w:t>
      </w:r>
      <w:r w:rsidR="004C0C53">
        <w:t>be</w:t>
      </w:r>
      <w:r w:rsidRPr="00DB47A1">
        <w:t xml:space="preserve"> enrolled in public </w:t>
      </w:r>
      <w:r>
        <w:t>schools</w:t>
      </w:r>
      <w:r w:rsidRPr="00DB47A1">
        <w:t xml:space="preserve"> </w:t>
      </w:r>
      <w:r w:rsidR="004C0C53">
        <w:t>relative to</w:t>
      </w:r>
      <w:r w:rsidRPr="00DB47A1">
        <w:t xml:space="preserve"> </w:t>
      </w:r>
      <w:r>
        <w:t>their counterparts</w:t>
      </w:r>
      <w:r w:rsidR="00FA475C">
        <w:t xml:space="preserve"> from affluent households</w:t>
      </w:r>
      <w:r>
        <w:t>, particularly at the primary level</w:t>
      </w:r>
      <w:r w:rsidR="009D621B">
        <w:t xml:space="preserve">, a fact that corroborates the first prediction </w:t>
      </w:r>
      <w:r>
        <w:t>(</w:t>
      </w:r>
      <w:r w:rsidR="00DC12D2">
        <w:fldChar w:fldCharType="begin"/>
      </w:r>
      <w:r w:rsidR="00DC12D2">
        <w:instrText xml:space="preserve"> REF _Ref8211257 \h </w:instrText>
      </w:r>
      <w:r w:rsidR="002D5A63">
        <w:instrText xml:space="preserve"> \* MERGEFORMAT </w:instrText>
      </w:r>
      <w:r w:rsidR="00DC12D2">
        <w:fldChar w:fldCharType="separate"/>
      </w:r>
      <w:r w:rsidR="00C37C80" w:rsidRPr="00C37C80">
        <w:t>Figure 3.10</w:t>
      </w:r>
      <w:r w:rsidR="00DC12D2">
        <w:fldChar w:fldCharType="end"/>
      </w:r>
      <w:r w:rsidR="00DC12D2">
        <w:t xml:space="preserve"> – panel a and b</w:t>
      </w:r>
      <w:r>
        <w:t>)</w:t>
      </w:r>
      <w:r w:rsidRPr="00DB47A1">
        <w:t xml:space="preserve">. </w:t>
      </w:r>
      <w:r w:rsidR="003370EA">
        <w:t>Third</w:t>
      </w:r>
      <w:r w:rsidR="00720D13">
        <w:t>, the</w:t>
      </w:r>
      <w:r w:rsidR="008060AC">
        <w:t xml:space="preserve"> lack of subst</w:t>
      </w:r>
      <w:r w:rsidR="001E716D">
        <w:t>ant</w:t>
      </w:r>
      <w:r w:rsidR="008060AC">
        <w:t xml:space="preserve">ial differences in the share of kids in tertiary education age coupled with the </w:t>
      </w:r>
      <w:r w:rsidR="001E716D">
        <w:t>higher</w:t>
      </w:r>
      <w:r w:rsidR="008060AC">
        <w:t xml:space="preserve"> </w:t>
      </w:r>
      <w:r w:rsidR="00C96D54">
        <w:t xml:space="preserve">rates of </w:t>
      </w:r>
      <w:r w:rsidR="003370EA">
        <w:t>attendance</w:t>
      </w:r>
      <w:r w:rsidR="00C96D54">
        <w:t xml:space="preserve"> in </w:t>
      </w:r>
      <w:r w:rsidR="001E716D">
        <w:t xml:space="preserve">tertiary education </w:t>
      </w:r>
      <w:r w:rsidR="002742F6">
        <w:t>among kids belonging to high</w:t>
      </w:r>
      <w:r w:rsidR="002D5A63">
        <w:t>-</w:t>
      </w:r>
      <w:r w:rsidR="002742F6">
        <w:t xml:space="preserve">income </w:t>
      </w:r>
      <w:r w:rsidR="002D5A63">
        <w:t>households</w:t>
      </w:r>
      <w:r w:rsidR="002742F6">
        <w:t xml:space="preserve"> (</w:t>
      </w:r>
      <w:r w:rsidR="002D5A63">
        <w:fldChar w:fldCharType="begin"/>
      </w:r>
      <w:r w:rsidR="002D5A63">
        <w:instrText xml:space="preserve"> REF _Ref8211257 \h  \* MERGEFORMAT </w:instrText>
      </w:r>
      <w:r w:rsidR="002D5A63">
        <w:fldChar w:fldCharType="separate"/>
      </w:r>
      <w:r w:rsidR="00C37C80" w:rsidRPr="00C37C80">
        <w:t>Figure 3.10</w:t>
      </w:r>
      <w:r w:rsidR="002D5A63">
        <w:fldChar w:fldCharType="end"/>
      </w:r>
      <w:r w:rsidR="002D5A63">
        <w:t xml:space="preserve"> – panel c</w:t>
      </w:r>
      <w:r w:rsidR="002742F6">
        <w:t>) push in the opposite direction.</w:t>
      </w:r>
      <w:r w:rsidR="002D5A63">
        <w:rPr>
          <w:rStyle w:val="FootnoteReference"/>
        </w:rPr>
        <w:footnoteReference w:id="16"/>
      </w:r>
      <w:r w:rsidR="002742F6">
        <w:t xml:space="preserve"> </w:t>
      </w:r>
      <w:r w:rsidR="00C96D54">
        <w:t xml:space="preserve">Although </w:t>
      </w:r>
      <w:r w:rsidR="00CE2B64">
        <w:t>access to tertiary education in public institutions is provided free</w:t>
      </w:r>
      <w:r w:rsidR="00176462">
        <w:t xml:space="preserve"> of charge</w:t>
      </w:r>
      <w:r w:rsidR="00CE2B64">
        <w:t xml:space="preserve">, net of registration fees, the opportunity cost </w:t>
      </w:r>
      <w:r w:rsidR="00CB455B">
        <w:t>in terms of foregone income</w:t>
      </w:r>
      <w:r w:rsidR="009A38E9">
        <w:t xml:space="preserve"> flows</w:t>
      </w:r>
      <w:r w:rsidR="00CB455B">
        <w:t xml:space="preserve"> </w:t>
      </w:r>
      <w:r w:rsidR="00176462">
        <w:t xml:space="preserve">associated with </w:t>
      </w:r>
      <w:r w:rsidR="00341700">
        <w:t>having</w:t>
      </w:r>
      <w:r w:rsidR="00176462">
        <w:t xml:space="preserve"> kids </w:t>
      </w:r>
      <w:r w:rsidR="00341700">
        <w:t>undertaking undergraduate courses</w:t>
      </w:r>
      <w:r w:rsidR="00CB455B">
        <w:t xml:space="preserve"> </w:t>
      </w:r>
      <w:r w:rsidR="00745433">
        <w:t>might</w:t>
      </w:r>
      <w:r w:rsidR="009A38E9">
        <w:t xml:space="preserve"> </w:t>
      </w:r>
      <w:r w:rsidR="00CB455B">
        <w:t xml:space="preserve">still </w:t>
      </w:r>
      <w:r w:rsidR="00745433">
        <w:t xml:space="preserve">represent </w:t>
      </w:r>
      <w:r w:rsidR="00CB455B">
        <w:t xml:space="preserve">a </w:t>
      </w:r>
      <w:r w:rsidR="009A38E9">
        <w:t xml:space="preserve">significant budget constraint </w:t>
      </w:r>
      <w:r w:rsidR="00745433">
        <w:t>among</w:t>
      </w:r>
      <w:r w:rsidR="00CB455B">
        <w:t xml:space="preserve"> low-income households. </w:t>
      </w:r>
      <w:r w:rsidR="00176462">
        <w:t xml:space="preserve">This means that </w:t>
      </w:r>
      <w:r w:rsidR="002D5A63">
        <w:t>public spending on tertiary education might favor proportionately more high-income households.</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EB35A6" w:rsidRPr="001E6C40" w14:paraId="736501A3" w14:textId="77777777" w:rsidTr="004B37D4">
        <w:trPr>
          <w:cantSplit/>
        </w:trPr>
        <w:tc>
          <w:tcPr>
            <w:tcW w:w="9360" w:type="dxa"/>
            <w:gridSpan w:val="2"/>
            <w:hideMark/>
          </w:tcPr>
          <w:p w14:paraId="772F79EA" w14:textId="4BE418DB" w:rsidR="00EB35A6" w:rsidRPr="001E6C40" w:rsidRDefault="00EB35A6" w:rsidP="004B37D4">
            <w:pPr>
              <w:pStyle w:val="Caption2"/>
              <w:spacing w:line="256" w:lineRule="auto"/>
              <w:jc w:val="left"/>
              <w:rPr>
                <w:b/>
                <w:i w:val="0"/>
                <w:sz w:val="18"/>
                <w:szCs w:val="18"/>
                <w:lang w:eastAsia="en-GB"/>
              </w:rPr>
            </w:pPr>
            <w:bookmarkStart w:id="97" w:name="_Ref8211257"/>
            <w:bookmarkStart w:id="98" w:name="_Toc11255073"/>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10</w:t>
            </w:r>
            <w:r w:rsidR="00275542">
              <w:rPr>
                <w:b/>
                <w:i w:val="0"/>
                <w:sz w:val="18"/>
                <w:szCs w:val="18"/>
                <w:lang w:eastAsia="en-GB"/>
              </w:rPr>
              <w:fldChar w:fldCharType="end"/>
            </w:r>
            <w:bookmarkEnd w:id="97"/>
            <w:r w:rsidRPr="001E6C40">
              <w:rPr>
                <w:b/>
                <w:i w:val="0"/>
                <w:sz w:val="18"/>
                <w:szCs w:val="18"/>
                <w:lang w:eastAsia="en-GB"/>
              </w:rPr>
              <w:t xml:space="preserve">. </w:t>
            </w:r>
            <w:r w:rsidR="003370EA">
              <w:rPr>
                <w:b/>
                <w:i w:val="0"/>
                <w:sz w:val="18"/>
                <w:szCs w:val="18"/>
                <w:lang w:eastAsia="en-GB"/>
              </w:rPr>
              <w:t>School</w:t>
            </w:r>
            <w:r w:rsidR="00406253">
              <w:rPr>
                <w:b/>
                <w:i w:val="0"/>
                <w:sz w:val="18"/>
                <w:szCs w:val="18"/>
                <w:lang w:eastAsia="en-GB"/>
              </w:rPr>
              <w:t xml:space="preserve"> </w:t>
            </w:r>
            <w:r w:rsidR="003370EA">
              <w:rPr>
                <w:b/>
                <w:i w:val="0"/>
                <w:sz w:val="18"/>
                <w:szCs w:val="18"/>
                <w:lang w:eastAsia="en-GB"/>
              </w:rPr>
              <w:t>attendance</w:t>
            </w:r>
            <w:r w:rsidR="00406253">
              <w:rPr>
                <w:b/>
                <w:i w:val="0"/>
                <w:sz w:val="18"/>
                <w:szCs w:val="18"/>
                <w:lang w:eastAsia="en-GB"/>
              </w:rPr>
              <w:t xml:space="preserve"> rates by educational level</w:t>
            </w:r>
            <w:r w:rsidR="00D52F6F">
              <w:rPr>
                <w:b/>
                <w:i w:val="0"/>
                <w:sz w:val="18"/>
                <w:szCs w:val="18"/>
                <w:lang w:eastAsia="en-GB"/>
              </w:rPr>
              <w:t>,</w:t>
            </w:r>
            <w:r w:rsidR="005A3426">
              <w:rPr>
                <w:b/>
                <w:i w:val="0"/>
                <w:sz w:val="18"/>
                <w:szCs w:val="18"/>
                <w:lang w:eastAsia="en-GB"/>
              </w:rPr>
              <w:t xml:space="preserve"> type of provider</w:t>
            </w:r>
            <w:r w:rsidR="00D52F6F">
              <w:rPr>
                <w:b/>
                <w:i w:val="0"/>
                <w:sz w:val="18"/>
                <w:szCs w:val="18"/>
                <w:lang w:eastAsia="en-GB"/>
              </w:rPr>
              <w:t xml:space="preserve"> and quintile of per capita market income</w:t>
            </w:r>
            <w:r w:rsidR="0047338F">
              <w:rPr>
                <w:b/>
                <w:i w:val="0"/>
                <w:sz w:val="18"/>
                <w:szCs w:val="18"/>
                <w:lang w:eastAsia="en-GB"/>
              </w:rPr>
              <w:t xml:space="preserve"> plus pension</w:t>
            </w:r>
            <w:r w:rsidRPr="0070773C">
              <w:rPr>
                <w:b/>
                <w:i w:val="0"/>
                <w:sz w:val="18"/>
                <w:szCs w:val="18"/>
                <w:lang w:eastAsia="en-GB"/>
              </w:rPr>
              <w:t>.</w:t>
            </w:r>
            <w:bookmarkEnd w:id="98"/>
          </w:p>
        </w:tc>
      </w:tr>
      <w:tr w:rsidR="00EB35A6" w14:paraId="3DE321F0" w14:textId="77777777" w:rsidTr="004B37D4">
        <w:trPr>
          <w:cantSplit/>
        </w:trPr>
        <w:tc>
          <w:tcPr>
            <w:tcW w:w="4680" w:type="dxa"/>
            <w:hideMark/>
          </w:tcPr>
          <w:p w14:paraId="04FCBF55" w14:textId="572FCCCF" w:rsidR="00EB35A6" w:rsidRDefault="00EB35A6" w:rsidP="004B37D4">
            <w:pPr>
              <w:widowControl w:val="0"/>
              <w:jc w:val="center"/>
              <w:rPr>
                <w:rFonts w:cs="Times New Roman"/>
                <w:b/>
                <w:sz w:val="18"/>
                <w:szCs w:val="18"/>
                <w:lang w:eastAsia="en-GB"/>
              </w:rPr>
            </w:pPr>
            <w:r>
              <w:rPr>
                <w:rFonts w:cs="Times New Roman"/>
                <w:b/>
                <w:sz w:val="18"/>
                <w:szCs w:val="18"/>
                <w:lang w:eastAsia="en-GB"/>
              </w:rPr>
              <w:t xml:space="preserve">a. </w:t>
            </w:r>
            <w:r w:rsidR="003370EA" w:rsidRPr="003370EA">
              <w:rPr>
                <w:rFonts w:cs="Times New Roman"/>
                <w:b/>
                <w:sz w:val="18"/>
                <w:szCs w:val="18"/>
                <w:lang w:eastAsia="en-GB"/>
              </w:rPr>
              <w:t>School a</w:t>
            </w:r>
            <w:r w:rsidR="003370EA">
              <w:rPr>
                <w:rFonts w:cs="Times New Roman"/>
                <w:b/>
                <w:sz w:val="18"/>
                <w:szCs w:val="18"/>
                <w:lang w:eastAsia="en-GB"/>
              </w:rPr>
              <w:t>ttendance</w:t>
            </w:r>
            <w:r w:rsidR="000905E7" w:rsidRPr="000905E7">
              <w:rPr>
                <w:rFonts w:cs="Times New Roman"/>
                <w:b/>
                <w:sz w:val="18"/>
                <w:szCs w:val="18"/>
                <w:lang w:eastAsia="en-GB"/>
              </w:rPr>
              <w:t xml:space="preserve"> rates</w:t>
            </w:r>
            <w:r w:rsidR="000905E7">
              <w:rPr>
                <w:rFonts w:cs="Times New Roman"/>
                <w:b/>
                <w:sz w:val="18"/>
                <w:szCs w:val="18"/>
                <w:lang w:eastAsia="en-GB"/>
              </w:rPr>
              <w:t xml:space="preserve"> – primary education</w:t>
            </w:r>
          </w:p>
        </w:tc>
        <w:tc>
          <w:tcPr>
            <w:tcW w:w="4680" w:type="dxa"/>
            <w:hideMark/>
          </w:tcPr>
          <w:p w14:paraId="6F44CFC1" w14:textId="6E4CEB09" w:rsidR="00EB35A6" w:rsidRDefault="00EB35A6" w:rsidP="004B37D4">
            <w:pPr>
              <w:widowControl w:val="0"/>
              <w:jc w:val="center"/>
              <w:rPr>
                <w:rFonts w:cs="Times New Roman"/>
                <w:b/>
                <w:sz w:val="18"/>
                <w:szCs w:val="18"/>
                <w:lang w:eastAsia="en-GB"/>
              </w:rPr>
            </w:pPr>
            <w:r>
              <w:rPr>
                <w:rFonts w:cs="Times New Roman"/>
                <w:b/>
                <w:sz w:val="18"/>
                <w:szCs w:val="18"/>
                <w:lang w:eastAsia="en-GB"/>
              </w:rPr>
              <w:t xml:space="preserve">b. </w:t>
            </w:r>
            <w:r w:rsidR="003370EA" w:rsidRPr="003370EA">
              <w:rPr>
                <w:rFonts w:cs="Times New Roman"/>
                <w:b/>
                <w:sz w:val="18"/>
                <w:szCs w:val="18"/>
                <w:lang w:eastAsia="en-GB"/>
              </w:rPr>
              <w:t xml:space="preserve">School </w:t>
            </w:r>
            <w:r w:rsidR="003370EA">
              <w:rPr>
                <w:rFonts w:cs="Times New Roman"/>
                <w:b/>
                <w:sz w:val="18"/>
                <w:szCs w:val="18"/>
                <w:lang w:eastAsia="en-GB"/>
              </w:rPr>
              <w:t>attendance</w:t>
            </w:r>
            <w:r w:rsidR="0039696B" w:rsidRPr="000905E7">
              <w:rPr>
                <w:rFonts w:cs="Times New Roman"/>
                <w:b/>
                <w:sz w:val="18"/>
                <w:szCs w:val="18"/>
                <w:lang w:eastAsia="en-GB"/>
              </w:rPr>
              <w:t xml:space="preserve"> rates</w:t>
            </w:r>
            <w:r w:rsidR="0039696B">
              <w:rPr>
                <w:rFonts w:cs="Times New Roman"/>
                <w:b/>
                <w:sz w:val="18"/>
                <w:szCs w:val="18"/>
                <w:lang w:eastAsia="en-GB"/>
              </w:rPr>
              <w:t xml:space="preserve"> – </w:t>
            </w:r>
            <w:r w:rsidR="00C40D3F">
              <w:rPr>
                <w:rFonts w:cs="Times New Roman"/>
                <w:b/>
                <w:sz w:val="18"/>
                <w:szCs w:val="18"/>
                <w:lang w:eastAsia="en-GB"/>
              </w:rPr>
              <w:t>secondary</w:t>
            </w:r>
            <w:r w:rsidR="0039696B">
              <w:rPr>
                <w:rFonts w:cs="Times New Roman"/>
                <w:b/>
                <w:sz w:val="18"/>
                <w:szCs w:val="18"/>
                <w:lang w:eastAsia="en-GB"/>
              </w:rPr>
              <w:t xml:space="preserve"> education</w:t>
            </w:r>
          </w:p>
        </w:tc>
      </w:tr>
      <w:tr w:rsidR="00EB35A6" w14:paraId="67D2EB0F" w14:textId="77777777" w:rsidTr="004B37D4">
        <w:tblPrEx>
          <w:tblCellMar>
            <w:left w:w="108" w:type="dxa"/>
            <w:right w:w="108" w:type="dxa"/>
          </w:tblCellMar>
        </w:tblPrEx>
        <w:trPr>
          <w:cantSplit/>
        </w:trPr>
        <w:tc>
          <w:tcPr>
            <w:tcW w:w="4680" w:type="dxa"/>
            <w:hideMark/>
          </w:tcPr>
          <w:p w14:paraId="4D99D3B8" w14:textId="554E3F17" w:rsidR="00EB35A6" w:rsidRDefault="000506C9" w:rsidP="004B37D4">
            <w:pPr>
              <w:spacing w:after="120"/>
              <w:rPr>
                <w:rFonts w:cs="Times New Roman"/>
                <w:sz w:val="16"/>
                <w:szCs w:val="16"/>
              </w:rPr>
            </w:pPr>
            <w:r>
              <w:rPr>
                <w:rFonts w:cs="Times New Roman"/>
                <w:noProof/>
                <w:sz w:val="16"/>
                <w:szCs w:val="16"/>
              </w:rPr>
              <w:drawing>
                <wp:inline distT="0" distB="0" distL="0" distR="0" wp14:anchorId="35D73258" wp14:editId="6EA24A03">
                  <wp:extent cx="2834640" cy="188976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3.10.A.School_attendance_rates_–_primary_education.png"/>
                          <pic:cNvPicPr/>
                        </pic:nvPicPr>
                        <pic:blipFill>
                          <a:blip r:embed="rId26">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c>
          <w:tcPr>
            <w:tcW w:w="4680" w:type="dxa"/>
            <w:hideMark/>
          </w:tcPr>
          <w:p w14:paraId="215C2A63" w14:textId="17B9D948" w:rsidR="00EB35A6" w:rsidRDefault="000506C9" w:rsidP="004B37D4">
            <w:pPr>
              <w:spacing w:after="120"/>
              <w:rPr>
                <w:rFonts w:cs="Times New Roman"/>
                <w:sz w:val="16"/>
                <w:szCs w:val="16"/>
              </w:rPr>
            </w:pPr>
            <w:r>
              <w:rPr>
                <w:rFonts w:cs="Times New Roman"/>
                <w:noProof/>
                <w:sz w:val="16"/>
                <w:szCs w:val="16"/>
              </w:rPr>
              <w:drawing>
                <wp:inline distT="0" distB="0" distL="0" distR="0" wp14:anchorId="4FD15661" wp14:editId="1A9F41CB">
                  <wp:extent cx="2834640" cy="1889760"/>
                  <wp:effectExtent l="0" t="0" r="3810" b="0"/>
                  <wp:docPr id="52" name="Picture 52"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_3.10.B.School_attendance_rates_–_secondary_education.png"/>
                          <pic:cNvPicPr/>
                        </pic:nvPicPr>
                        <pic:blipFill>
                          <a:blip r:embed="rId27">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406253" w14:paraId="2AE9295E" w14:textId="77777777" w:rsidTr="004B37D4">
        <w:tblPrEx>
          <w:tblCellMar>
            <w:left w:w="108" w:type="dxa"/>
            <w:right w:w="108" w:type="dxa"/>
          </w:tblCellMar>
        </w:tblPrEx>
        <w:trPr>
          <w:cantSplit/>
        </w:trPr>
        <w:tc>
          <w:tcPr>
            <w:tcW w:w="4680" w:type="dxa"/>
          </w:tcPr>
          <w:p w14:paraId="498778F7" w14:textId="380E5F1E" w:rsidR="00406253" w:rsidRPr="00406253" w:rsidRDefault="00406253" w:rsidP="004B37D4">
            <w:pPr>
              <w:spacing w:after="120"/>
              <w:rPr>
                <w:rFonts w:cs="Times New Roman"/>
                <w:noProof/>
                <w:sz w:val="16"/>
                <w:szCs w:val="16"/>
              </w:rPr>
            </w:pPr>
            <w:r>
              <w:rPr>
                <w:rFonts w:cs="Times New Roman"/>
                <w:b/>
                <w:sz w:val="18"/>
                <w:szCs w:val="18"/>
                <w:lang w:eastAsia="en-GB"/>
              </w:rPr>
              <w:t xml:space="preserve">c. </w:t>
            </w:r>
            <w:r w:rsidR="003370EA">
              <w:rPr>
                <w:rFonts w:cs="Times New Roman"/>
                <w:b/>
                <w:sz w:val="18"/>
                <w:szCs w:val="18"/>
                <w:lang w:eastAsia="en-GB"/>
              </w:rPr>
              <w:t>School</w:t>
            </w:r>
            <w:r w:rsidR="00C40D3F" w:rsidRPr="000905E7">
              <w:rPr>
                <w:rFonts w:cs="Times New Roman"/>
                <w:b/>
                <w:sz w:val="18"/>
                <w:szCs w:val="18"/>
                <w:lang w:eastAsia="en-GB"/>
              </w:rPr>
              <w:t xml:space="preserve"> </w:t>
            </w:r>
            <w:r w:rsidR="003370EA">
              <w:rPr>
                <w:rFonts w:cs="Times New Roman"/>
                <w:b/>
                <w:sz w:val="18"/>
                <w:szCs w:val="18"/>
                <w:lang w:eastAsia="en-GB"/>
              </w:rPr>
              <w:t>attendance</w:t>
            </w:r>
            <w:r w:rsidR="00C40D3F" w:rsidRPr="000905E7">
              <w:rPr>
                <w:rFonts w:cs="Times New Roman"/>
                <w:b/>
                <w:sz w:val="18"/>
                <w:szCs w:val="18"/>
                <w:lang w:eastAsia="en-GB"/>
              </w:rPr>
              <w:t xml:space="preserve"> rates</w:t>
            </w:r>
            <w:r w:rsidR="00C40D3F">
              <w:rPr>
                <w:rFonts w:cs="Times New Roman"/>
                <w:b/>
                <w:sz w:val="18"/>
                <w:szCs w:val="18"/>
                <w:lang w:eastAsia="en-GB"/>
              </w:rPr>
              <w:t xml:space="preserve"> – tertiary education</w:t>
            </w:r>
          </w:p>
        </w:tc>
        <w:tc>
          <w:tcPr>
            <w:tcW w:w="4680" w:type="dxa"/>
          </w:tcPr>
          <w:p w14:paraId="6D387B90" w14:textId="77777777" w:rsidR="00406253" w:rsidRPr="00406253" w:rsidRDefault="00406253" w:rsidP="004B37D4">
            <w:pPr>
              <w:spacing w:after="120"/>
              <w:rPr>
                <w:rFonts w:cs="Times New Roman"/>
                <w:noProof/>
                <w:sz w:val="16"/>
                <w:szCs w:val="16"/>
              </w:rPr>
            </w:pPr>
          </w:p>
        </w:tc>
      </w:tr>
      <w:tr w:rsidR="00406253" w14:paraId="4C25C47C" w14:textId="77777777" w:rsidTr="004B37D4">
        <w:tblPrEx>
          <w:tblCellMar>
            <w:left w:w="108" w:type="dxa"/>
            <w:right w:w="108" w:type="dxa"/>
          </w:tblCellMar>
        </w:tblPrEx>
        <w:trPr>
          <w:cantSplit/>
        </w:trPr>
        <w:tc>
          <w:tcPr>
            <w:tcW w:w="4680" w:type="dxa"/>
          </w:tcPr>
          <w:p w14:paraId="740CB807" w14:textId="1980F8D2" w:rsidR="00406253" w:rsidRPr="00406253" w:rsidRDefault="00692D24" w:rsidP="004B37D4">
            <w:pPr>
              <w:spacing w:after="120"/>
              <w:rPr>
                <w:rFonts w:cs="Times New Roman"/>
                <w:noProof/>
                <w:sz w:val="16"/>
                <w:szCs w:val="16"/>
              </w:rPr>
            </w:pPr>
            <w:r>
              <w:rPr>
                <w:rFonts w:cs="Times New Roman"/>
                <w:noProof/>
                <w:sz w:val="16"/>
                <w:szCs w:val="16"/>
              </w:rPr>
              <w:drawing>
                <wp:inline distT="0" distB="0" distL="0" distR="0" wp14:anchorId="03D64A96" wp14:editId="0D320C4C">
                  <wp:extent cx="2834640" cy="18897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3.10.C.School_attendance_rates_–_tertiary_education.png"/>
                          <pic:cNvPicPr/>
                        </pic:nvPicPr>
                        <pic:blipFill>
                          <a:blip r:embed="rId28">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c>
          <w:tcPr>
            <w:tcW w:w="4680" w:type="dxa"/>
          </w:tcPr>
          <w:p w14:paraId="26FCD28A" w14:textId="77777777" w:rsidR="00406253" w:rsidRPr="00406253" w:rsidRDefault="00406253" w:rsidP="004B37D4">
            <w:pPr>
              <w:spacing w:after="120"/>
              <w:rPr>
                <w:rFonts w:cs="Times New Roman"/>
                <w:noProof/>
                <w:sz w:val="16"/>
                <w:szCs w:val="16"/>
              </w:rPr>
            </w:pPr>
          </w:p>
        </w:tc>
      </w:tr>
      <w:tr w:rsidR="00EB35A6" w14:paraId="762AB25F" w14:textId="77777777" w:rsidTr="004B37D4">
        <w:trPr>
          <w:cantSplit/>
        </w:trPr>
        <w:tc>
          <w:tcPr>
            <w:tcW w:w="9360" w:type="dxa"/>
            <w:gridSpan w:val="2"/>
            <w:tcMar>
              <w:top w:w="0" w:type="dxa"/>
              <w:left w:w="108" w:type="dxa"/>
              <w:bottom w:w="0" w:type="dxa"/>
              <w:right w:w="108" w:type="dxa"/>
            </w:tcMar>
            <w:hideMark/>
          </w:tcPr>
          <w:p w14:paraId="21908926" w14:textId="00D03E3C" w:rsidR="00EB35A6" w:rsidRDefault="00EB35A6"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2017 Household Budget Survey, Statistics Mauritius.</w:t>
            </w:r>
          </w:p>
          <w:p w14:paraId="40EA4375" w14:textId="52D3A394" w:rsidR="00EB35A6" w:rsidRPr="000A06A5" w:rsidRDefault="00EB35A6" w:rsidP="000A06A5">
            <w:r>
              <w:rPr>
                <w:rFonts w:cs="Times New Roman"/>
                <w:i/>
                <w:sz w:val="18"/>
                <w:szCs w:val="18"/>
              </w:rPr>
              <w:t>Note:</w:t>
            </w:r>
            <w:r w:rsidRPr="00767FF8">
              <w:rPr>
                <w:rFonts w:cs="Times New Roman"/>
                <w:sz w:val="18"/>
                <w:szCs w:val="18"/>
              </w:rPr>
              <w:t xml:space="preserve"> </w:t>
            </w:r>
            <w:r w:rsidR="005E3027">
              <w:rPr>
                <w:rFonts w:cs="Times New Roman"/>
                <w:sz w:val="18"/>
                <w:szCs w:val="18"/>
              </w:rPr>
              <w:t xml:space="preserve">(1) </w:t>
            </w:r>
            <w:r w:rsidR="003370EA">
              <w:rPr>
                <w:rFonts w:cs="Times New Roman"/>
                <w:sz w:val="18"/>
                <w:szCs w:val="18"/>
              </w:rPr>
              <w:t>School attendance</w:t>
            </w:r>
            <w:r w:rsidR="00C40D3F" w:rsidRPr="0036203E">
              <w:rPr>
                <w:rFonts w:cs="Times New Roman"/>
                <w:sz w:val="18"/>
                <w:szCs w:val="18"/>
              </w:rPr>
              <w:t xml:space="preserve"> rates are calculated by dividing the number of students of a particular age group </w:t>
            </w:r>
            <w:r w:rsidR="007C0248">
              <w:rPr>
                <w:rFonts w:cs="Times New Roman"/>
                <w:sz w:val="18"/>
                <w:szCs w:val="18"/>
              </w:rPr>
              <w:t>attending</w:t>
            </w:r>
            <w:r w:rsidR="00C40D3F" w:rsidRPr="0036203E">
              <w:rPr>
                <w:rFonts w:cs="Times New Roman"/>
                <w:sz w:val="18"/>
                <w:szCs w:val="18"/>
              </w:rPr>
              <w:t xml:space="preserve"> </w:t>
            </w:r>
            <w:r w:rsidR="007C0248">
              <w:rPr>
                <w:rFonts w:cs="Times New Roman"/>
                <w:sz w:val="18"/>
                <w:szCs w:val="18"/>
              </w:rPr>
              <w:t>at</w:t>
            </w:r>
            <w:r w:rsidR="00C40D3F" w:rsidRPr="0036203E">
              <w:rPr>
                <w:rFonts w:cs="Times New Roman"/>
                <w:sz w:val="18"/>
                <w:szCs w:val="18"/>
              </w:rPr>
              <w:t xml:space="preserve"> </w:t>
            </w:r>
            <w:r w:rsidR="007516EB">
              <w:rPr>
                <w:rFonts w:cs="Times New Roman"/>
                <w:sz w:val="18"/>
                <w:szCs w:val="18"/>
              </w:rPr>
              <w:t>a certain</w:t>
            </w:r>
            <w:r w:rsidR="00C40D3F" w:rsidRPr="0036203E">
              <w:rPr>
                <w:rFonts w:cs="Times New Roman"/>
                <w:sz w:val="18"/>
                <w:szCs w:val="18"/>
              </w:rPr>
              <w:t xml:space="preserve"> level of education by the size of the population of that age group</w:t>
            </w:r>
            <w:r w:rsidR="007516EB">
              <w:rPr>
                <w:rFonts w:cs="Times New Roman"/>
                <w:sz w:val="18"/>
                <w:szCs w:val="18"/>
              </w:rPr>
              <w:t xml:space="preserve"> that officially correspond to a certain educational level</w:t>
            </w:r>
            <w:r w:rsidR="00C40D3F" w:rsidRPr="0036203E">
              <w:rPr>
                <w:rFonts w:cs="Times New Roman"/>
                <w:sz w:val="18"/>
                <w:szCs w:val="18"/>
              </w:rPr>
              <w:t xml:space="preserve">. </w:t>
            </w:r>
            <w:r w:rsidR="005E3027">
              <w:rPr>
                <w:rFonts w:cs="Times New Roman"/>
                <w:sz w:val="18"/>
                <w:szCs w:val="18"/>
              </w:rPr>
              <w:t xml:space="preserve">(2) </w:t>
            </w:r>
            <w:r w:rsidR="005E3027" w:rsidRPr="00767FF8">
              <w:rPr>
                <w:rFonts w:cs="Times New Roman"/>
                <w:sz w:val="18"/>
                <w:szCs w:val="18"/>
              </w:rPr>
              <w:t>Market inco</w:t>
            </w:r>
            <w:r w:rsidR="005E3027" w:rsidRPr="00793B42">
              <w:rPr>
                <w:rFonts w:cs="Times New Roman"/>
                <w:sz w:val="18"/>
                <w:szCs w:val="18"/>
              </w:rPr>
              <w:t xml:space="preserve">me </w:t>
            </w:r>
            <w:r w:rsidR="005E3027">
              <w:rPr>
                <w:rFonts w:cs="Times New Roman"/>
                <w:sz w:val="18"/>
                <w:szCs w:val="18"/>
              </w:rPr>
              <w:t xml:space="preserve">refers to market income </w:t>
            </w:r>
            <w:r w:rsidR="005E3027" w:rsidRPr="00793B42">
              <w:rPr>
                <w:rFonts w:cs="Times New Roman"/>
                <w:sz w:val="18"/>
                <w:szCs w:val="18"/>
              </w:rPr>
              <w:t xml:space="preserve">plus pensions </w:t>
            </w:r>
            <w:r w:rsidR="005E3027">
              <w:rPr>
                <w:rFonts w:cs="Times New Roman"/>
                <w:sz w:val="18"/>
                <w:szCs w:val="18"/>
              </w:rPr>
              <w:t xml:space="preserve">and </w:t>
            </w:r>
            <w:r w:rsidR="005E3027" w:rsidRPr="00793B42">
              <w:rPr>
                <w:rFonts w:cs="Times New Roman"/>
                <w:sz w:val="18"/>
                <w:szCs w:val="18"/>
              </w:rPr>
              <w:t>comprises pretax wages, salaries, income earned from capital assets (rent, interest, or dividends), contributory pensions, and private transfers.</w:t>
            </w:r>
          </w:p>
        </w:tc>
      </w:tr>
    </w:tbl>
    <w:p w14:paraId="5E5289BC" w14:textId="4F92F18D" w:rsidR="00B014DE" w:rsidRPr="00B014DE" w:rsidRDefault="00594E2E" w:rsidP="00B014DE">
      <w:r>
        <w:rPr>
          <w:b/>
        </w:rPr>
        <w:t>Overall, t</w:t>
      </w:r>
      <w:r w:rsidR="00B014DE" w:rsidRPr="00B35FCB">
        <w:rPr>
          <w:b/>
        </w:rPr>
        <w:t xml:space="preserve">he benefit of public education expenditure is progressive </w:t>
      </w:r>
      <w:r w:rsidR="001A168E" w:rsidRPr="00B35FCB">
        <w:rPr>
          <w:b/>
        </w:rPr>
        <w:t>and pro-poor</w:t>
      </w:r>
      <w:r w:rsidR="00B014DE" w:rsidRPr="00B35FCB">
        <w:rPr>
          <w:b/>
        </w:rPr>
        <w:t>.</w:t>
      </w:r>
      <w:r w:rsidR="00B014DE" w:rsidRPr="00B014DE">
        <w:t xml:space="preserve"> </w:t>
      </w:r>
      <w:r w:rsidR="00B014DE" w:rsidRPr="00B33DC6">
        <w:t>The bottom 40 capture</w:t>
      </w:r>
      <w:r w:rsidR="004076CD">
        <w:t>s</w:t>
      </w:r>
      <w:r w:rsidR="00B014DE" w:rsidRPr="00B33DC6">
        <w:t xml:space="preserve"> </w:t>
      </w:r>
      <w:r w:rsidR="00203067">
        <w:t>4</w:t>
      </w:r>
      <w:r w:rsidR="006210BD">
        <w:t>6</w:t>
      </w:r>
      <w:r w:rsidR="00B014DE" w:rsidRPr="00B33DC6">
        <w:t xml:space="preserve"> percent of</w:t>
      </w:r>
      <w:r w:rsidR="00D45DA1">
        <w:t xml:space="preserve"> total</w:t>
      </w:r>
      <w:r w:rsidR="00B014DE" w:rsidRPr="00B33DC6">
        <w:t xml:space="preserve"> public education spending</w:t>
      </w:r>
      <w:r w:rsidR="00B014DE">
        <w:t xml:space="preserve"> </w:t>
      </w:r>
      <w:r w:rsidR="00570580">
        <w:t>and only 1</w:t>
      </w:r>
      <w:r w:rsidR="001943CF">
        <w:t>6</w:t>
      </w:r>
      <w:r w:rsidR="00570580" w:rsidRPr="00B33DC6">
        <w:t xml:space="preserve"> percent of per capita </w:t>
      </w:r>
      <w:r w:rsidR="00C11058">
        <w:t>pre</w:t>
      </w:r>
      <w:r w:rsidR="00570580">
        <w:t>fiscal</w:t>
      </w:r>
      <w:r w:rsidR="00570580" w:rsidRPr="00B33DC6">
        <w:t xml:space="preserve"> income</w:t>
      </w:r>
      <w:r w:rsidR="00B014DE" w:rsidRPr="00B33DC6">
        <w:t>.</w:t>
      </w:r>
      <w:r w:rsidR="009A1112">
        <w:t xml:space="preserve"> This compares with only</w:t>
      </w:r>
      <w:r w:rsidR="00D45DA1">
        <w:t xml:space="preserve"> 1</w:t>
      </w:r>
      <w:r w:rsidR="00627CA7">
        <w:t>5</w:t>
      </w:r>
      <w:r w:rsidR="00D45DA1">
        <w:t xml:space="preserve"> percent of total public </w:t>
      </w:r>
      <w:r w:rsidR="00D45DA1" w:rsidRPr="00B33DC6">
        <w:t>education spending</w:t>
      </w:r>
      <w:r w:rsidR="008B7D5D">
        <w:t xml:space="preserve"> </w:t>
      </w:r>
      <w:r w:rsidR="00E25270">
        <w:t xml:space="preserve">and 47 percent of </w:t>
      </w:r>
      <w:r w:rsidR="00C11058">
        <w:t>pre</w:t>
      </w:r>
      <w:r w:rsidR="00E25270">
        <w:t xml:space="preserve">fiscal income </w:t>
      </w:r>
      <w:r w:rsidR="008B7D5D">
        <w:t>that goes to the top 20 percent</w:t>
      </w:r>
      <w:r w:rsidR="00E25270">
        <w:t xml:space="preserve">. </w:t>
      </w:r>
      <w:r w:rsidR="00B014DE" w:rsidRPr="00B33DC6">
        <w:t xml:space="preserve">This is </w:t>
      </w:r>
      <w:r w:rsidR="00376FE6">
        <w:t>ascribable</w:t>
      </w:r>
      <w:r w:rsidR="009F2429">
        <w:t xml:space="preserve"> to a disproportionate </w:t>
      </w:r>
      <w:r w:rsidR="001307F5">
        <w:t>amount</w:t>
      </w:r>
      <w:r w:rsidR="009F2429">
        <w:t xml:space="preserve"> of public </w:t>
      </w:r>
      <w:r w:rsidR="00C11058">
        <w:t>pre</w:t>
      </w:r>
      <w:r w:rsidR="009F2429">
        <w:t>primary, primary and secondary education</w:t>
      </w:r>
      <w:r w:rsidR="00B014DE" w:rsidRPr="00B33DC6">
        <w:t xml:space="preserve"> </w:t>
      </w:r>
      <w:r w:rsidR="009F2429">
        <w:t>spending</w:t>
      </w:r>
      <w:r w:rsidR="00EE0680">
        <w:t xml:space="preserve"> </w:t>
      </w:r>
      <w:r w:rsidR="001307F5">
        <w:t>received by</w:t>
      </w:r>
      <w:r w:rsidR="00EE0680">
        <w:t xml:space="preserve"> the bottom 40. Low-income households receive 57</w:t>
      </w:r>
      <w:r w:rsidR="00BB343C">
        <w:t xml:space="preserve">, 52, and </w:t>
      </w:r>
      <w:r w:rsidR="002E7D8F">
        <w:t>52</w:t>
      </w:r>
      <w:r w:rsidR="00E37818">
        <w:t xml:space="preserve"> </w:t>
      </w:r>
      <w:r w:rsidR="00BB343C">
        <w:t xml:space="preserve">percent of </w:t>
      </w:r>
      <w:r w:rsidR="00E37818">
        <w:t xml:space="preserve">public </w:t>
      </w:r>
      <w:r w:rsidR="00C11058">
        <w:t>pre</w:t>
      </w:r>
      <w:r w:rsidR="00E37818">
        <w:t xml:space="preserve">primary, primary and secondary </w:t>
      </w:r>
      <w:r w:rsidR="00BB343C">
        <w:t>education</w:t>
      </w:r>
      <w:r w:rsidR="00E37818">
        <w:t xml:space="preserve"> spending</w:t>
      </w:r>
      <w:r w:rsidR="00BB343C">
        <w:t>, respectively (</w:t>
      </w:r>
      <w:r w:rsidR="00BB343C">
        <w:fldChar w:fldCharType="begin"/>
      </w:r>
      <w:r w:rsidR="00BB343C">
        <w:instrText xml:space="preserve"> REF _Ref8214176 \h  \* MERGEFORMAT </w:instrText>
      </w:r>
      <w:r w:rsidR="00BB343C">
        <w:fldChar w:fldCharType="separate"/>
      </w:r>
      <w:r w:rsidR="00C37C80" w:rsidRPr="00C37C80">
        <w:t>Figure 3.11</w:t>
      </w:r>
      <w:r w:rsidR="00BB343C">
        <w:fldChar w:fldCharType="end"/>
      </w:r>
      <w:r w:rsidR="00BB343C">
        <w:t xml:space="preserve"> – panel a). </w:t>
      </w:r>
      <w:r w:rsidR="00B13C9E">
        <w:t xml:space="preserve">Public spending on </w:t>
      </w:r>
      <w:r w:rsidR="00C11058">
        <w:t>pre</w:t>
      </w:r>
      <w:r w:rsidR="00B13C9E">
        <w:t>primary, primary and secondary education is not only progressive in relative terms but also in absolute terms. Public spending up to secondary education level is pro-poor as low-income households have more kids attending public primary and secondary schools relative to more affluent households that opt out of the public education system and therefore benefit from a per capita in-kind transfer higher than that enjoyed by affluent households.</w:t>
      </w:r>
    </w:p>
    <w:p w14:paraId="3F7511B2" w14:textId="53498EE1" w:rsidR="00B35FCB" w:rsidRDefault="000816BD" w:rsidP="00B014DE">
      <w:r>
        <w:rPr>
          <w:b/>
        </w:rPr>
        <w:t>P</w:t>
      </w:r>
      <w:r w:rsidR="00E55A27">
        <w:rPr>
          <w:b/>
        </w:rPr>
        <w:t>u</w:t>
      </w:r>
      <w:r w:rsidR="00B014DE" w:rsidRPr="00B35FCB">
        <w:rPr>
          <w:b/>
        </w:rPr>
        <w:t>blic expenditure</w:t>
      </w:r>
      <w:r w:rsidR="00EE6173">
        <w:rPr>
          <w:b/>
        </w:rPr>
        <w:t xml:space="preserve"> on </w:t>
      </w:r>
      <w:r w:rsidR="0059471D">
        <w:rPr>
          <w:b/>
        </w:rPr>
        <w:t>tertiary</w:t>
      </w:r>
      <w:r>
        <w:rPr>
          <w:b/>
        </w:rPr>
        <w:t xml:space="preserve"> </w:t>
      </w:r>
      <w:r w:rsidR="00EE6173" w:rsidRPr="00B35FCB">
        <w:rPr>
          <w:b/>
        </w:rPr>
        <w:t>education</w:t>
      </w:r>
      <w:r w:rsidR="00B014DE" w:rsidRPr="00B35FCB">
        <w:rPr>
          <w:b/>
        </w:rPr>
        <w:t xml:space="preserve"> </w:t>
      </w:r>
      <w:r>
        <w:rPr>
          <w:b/>
        </w:rPr>
        <w:t>is</w:t>
      </w:r>
      <w:r w:rsidR="00DE0C40" w:rsidRPr="00B35FCB">
        <w:rPr>
          <w:b/>
        </w:rPr>
        <w:t xml:space="preserve"> progressive</w:t>
      </w:r>
      <w:r w:rsidR="00EE6173">
        <w:rPr>
          <w:b/>
        </w:rPr>
        <w:t xml:space="preserve"> </w:t>
      </w:r>
      <w:r w:rsidR="00C15AD9">
        <w:rPr>
          <w:b/>
        </w:rPr>
        <w:t xml:space="preserve">in relative terms </w:t>
      </w:r>
      <w:r>
        <w:rPr>
          <w:b/>
        </w:rPr>
        <w:t>but not</w:t>
      </w:r>
      <w:r w:rsidR="00DE0C40" w:rsidRPr="00B35FCB">
        <w:rPr>
          <w:b/>
        </w:rPr>
        <w:t xml:space="preserve"> pro-poor</w:t>
      </w:r>
      <w:r w:rsidR="00B014DE" w:rsidRPr="00B35FCB">
        <w:rPr>
          <w:b/>
        </w:rPr>
        <w:t>.</w:t>
      </w:r>
      <w:r w:rsidR="00B014DE" w:rsidRPr="00B014DE">
        <w:t xml:space="preserve"> </w:t>
      </w:r>
      <w:r w:rsidR="00B13C9E">
        <w:t>Public technical and vocational education as well as tertiary education is mainly captured by high-income households (</w:t>
      </w:r>
      <w:r w:rsidR="00B13C9E">
        <w:fldChar w:fldCharType="begin"/>
      </w:r>
      <w:r w:rsidR="00B13C9E">
        <w:instrText xml:space="preserve"> REF _Ref8214176 \h  \* MERGEFORMAT </w:instrText>
      </w:r>
      <w:r w:rsidR="00B13C9E">
        <w:fldChar w:fldCharType="separate"/>
      </w:r>
      <w:r w:rsidR="00C37C80" w:rsidRPr="00C37C80">
        <w:t>Figure 3.11</w:t>
      </w:r>
      <w:r w:rsidR="00B13C9E">
        <w:fldChar w:fldCharType="end"/>
      </w:r>
      <w:r w:rsidR="00B13C9E">
        <w:t xml:space="preserve"> – panel a). For example, households at the top 20 percent receive almost 40 percent of public spending on tertiary education as opposed to 19 percent of the bottom 40. </w:t>
      </w:r>
      <w:r w:rsidR="00C85F40">
        <w:t>P</w:t>
      </w:r>
      <w:r w:rsidR="00B2264A">
        <w:t xml:space="preserve">ublic expenditures on technical and vocational education and on </w:t>
      </w:r>
      <w:r w:rsidR="00CF0114">
        <w:t>tertiary</w:t>
      </w:r>
      <w:r w:rsidR="00B2264A">
        <w:t xml:space="preserve"> education</w:t>
      </w:r>
      <w:r w:rsidR="00694E34">
        <w:t xml:space="preserve"> are progressive in relative terms but are not pro-poor. </w:t>
      </w:r>
      <w:r w:rsidR="00694E34" w:rsidRPr="00ED064C">
        <w:t xml:space="preserve">This means that </w:t>
      </w:r>
      <w:r w:rsidR="00773366">
        <w:t>high-income</w:t>
      </w:r>
      <w:r w:rsidR="00694E34" w:rsidRPr="00ED064C">
        <w:t xml:space="preserve"> households are disproportionately benefiting from in-kind transfers at </w:t>
      </w:r>
      <w:r w:rsidR="00BA4480" w:rsidRPr="00ED064C">
        <w:t xml:space="preserve">high level of education relative to low-income </w:t>
      </w:r>
      <w:r w:rsidR="00ED064C" w:rsidRPr="00ED064C">
        <w:t>households</w:t>
      </w:r>
      <w:r w:rsidR="00DF622E">
        <w:t xml:space="preserve"> due to higher </w:t>
      </w:r>
      <w:r w:rsidR="00402CA8">
        <w:t>attendance</w:t>
      </w:r>
      <w:r w:rsidR="00DF622E">
        <w:t xml:space="preserve"> rate of children belonging to the richer households</w:t>
      </w:r>
      <w:r w:rsidR="00BA4480" w:rsidRPr="00ED064C">
        <w:t xml:space="preserve">. </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FE7739" w:rsidRPr="001E6C40" w14:paraId="5B1C886C" w14:textId="77777777" w:rsidTr="00855877">
        <w:trPr>
          <w:cantSplit/>
        </w:trPr>
        <w:tc>
          <w:tcPr>
            <w:tcW w:w="9360" w:type="dxa"/>
            <w:gridSpan w:val="2"/>
            <w:hideMark/>
          </w:tcPr>
          <w:p w14:paraId="6723951E" w14:textId="1D1DFB5B" w:rsidR="00FE7739" w:rsidRPr="001E6C40" w:rsidRDefault="00FE7739" w:rsidP="00855877">
            <w:pPr>
              <w:pStyle w:val="Caption2"/>
              <w:spacing w:line="256" w:lineRule="auto"/>
              <w:jc w:val="left"/>
              <w:rPr>
                <w:b/>
                <w:i w:val="0"/>
                <w:sz w:val="18"/>
                <w:szCs w:val="18"/>
                <w:lang w:eastAsia="en-GB"/>
              </w:rPr>
            </w:pPr>
            <w:bookmarkStart w:id="99" w:name="_Ref8214176"/>
            <w:bookmarkStart w:id="100" w:name="_Toc11255074"/>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11</w:t>
            </w:r>
            <w:r w:rsidR="00275542">
              <w:rPr>
                <w:b/>
                <w:i w:val="0"/>
                <w:sz w:val="18"/>
                <w:szCs w:val="18"/>
                <w:lang w:eastAsia="en-GB"/>
              </w:rPr>
              <w:fldChar w:fldCharType="end"/>
            </w:r>
            <w:bookmarkEnd w:id="99"/>
            <w:r w:rsidRPr="001E6C40">
              <w:rPr>
                <w:b/>
                <w:i w:val="0"/>
                <w:sz w:val="18"/>
                <w:szCs w:val="18"/>
                <w:lang w:eastAsia="en-GB"/>
              </w:rPr>
              <w:t xml:space="preserve">. </w:t>
            </w:r>
            <w:r w:rsidRPr="0070773C">
              <w:rPr>
                <w:b/>
                <w:i w:val="0"/>
                <w:sz w:val="18"/>
                <w:szCs w:val="18"/>
                <w:lang w:eastAsia="en-GB"/>
              </w:rPr>
              <w:t xml:space="preserve">Lorenz and concentration curves </w:t>
            </w:r>
            <w:r>
              <w:rPr>
                <w:b/>
                <w:i w:val="0"/>
                <w:sz w:val="18"/>
                <w:szCs w:val="18"/>
                <w:lang w:eastAsia="en-GB"/>
              </w:rPr>
              <w:t>for</w:t>
            </w:r>
            <w:r w:rsidRPr="0070773C">
              <w:rPr>
                <w:b/>
                <w:i w:val="0"/>
                <w:sz w:val="18"/>
                <w:szCs w:val="18"/>
                <w:lang w:eastAsia="en-GB"/>
              </w:rPr>
              <w:t xml:space="preserve"> per capita market income</w:t>
            </w:r>
            <w:r w:rsidR="0047338F" w:rsidRPr="0070773C">
              <w:rPr>
                <w:b/>
                <w:i w:val="0"/>
                <w:sz w:val="18"/>
                <w:szCs w:val="18"/>
                <w:lang w:eastAsia="en-GB"/>
              </w:rPr>
              <w:t xml:space="preserve"> </w:t>
            </w:r>
            <w:r w:rsidRPr="0070773C">
              <w:rPr>
                <w:b/>
                <w:i w:val="0"/>
                <w:sz w:val="18"/>
                <w:szCs w:val="18"/>
                <w:lang w:eastAsia="en-GB"/>
              </w:rPr>
              <w:t xml:space="preserve">and </w:t>
            </w:r>
            <w:r w:rsidR="00994E7B">
              <w:rPr>
                <w:b/>
                <w:i w:val="0"/>
                <w:sz w:val="18"/>
                <w:szCs w:val="18"/>
                <w:lang w:eastAsia="en-GB"/>
              </w:rPr>
              <w:t>in-kind education transfer</w:t>
            </w:r>
            <w:r w:rsidRPr="0070773C">
              <w:rPr>
                <w:b/>
                <w:i w:val="0"/>
                <w:sz w:val="18"/>
                <w:szCs w:val="18"/>
                <w:lang w:eastAsia="en-GB"/>
              </w:rPr>
              <w:t xml:space="preserve"> and share </w:t>
            </w:r>
            <w:r>
              <w:rPr>
                <w:b/>
                <w:i w:val="0"/>
                <w:sz w:val="18"/>
                <w:szCs w:val="18"/>
                <w:lang w:eastAsia="en-GB"/>
              </w:rPr>
              <w:t xml:space="preserve">of </w:t>
            </w:r>
            <w:r w:rsidR="00994E7B">
              <w:rPr>
                <w:b/>
                <w:i w:val="0"/>
                <w:sz w:val="18"/>
                <w:szCs w:val="18"/>
                <w:lang w:eastAsia="en-GB"/>
              </w:rPr>
              <w:t>in-kind education transfer</w:t>
            </w:r>
            <w:r w:rsidRPr="0070773C">
              <w:rPr>
                <w:b/>
                <w:i w:val="0"/>
                <w:sz w:val="18"/>
                <w:szCs w:val="18"/>
                <w:lang w:eastAsia="en-GB"/>
              </w:rPr>
              <w:t xml:space="preserve"> in </w:t>
            </w:r>
            <w:r>
              <w:rPr>
                <w:b/>
                <w:i w:val="0"/>
                <w:sz w:val="18"/>
                <w:szCs w:val="18"/>
                <w:lang w:eastAsia="en-GB"/>
              </w:rPr>
              <w:t xml:space="preserve">total </w:t>
            </w:r>
            <w:r w:rsidRPr="0070773C">
              <w:rPr>
                <w:b/>
                <w:i w:val="0"/>
                <w:sz w:val="18"/>
                <w:szCs w:val="18"/>
                <w:lang w:eastAsia="en-GB"/>
              </w:rPr>
              <w:t>market income by quintile.</w:t>
            </w:r>
            <w:bookmarkEnd w:id="100"/>
          </w:p>
        </w:tc>
      </w:tr>
      <w:tr w:rsidR="00FE7739" w14:paraId="160BAC1D" w14:textId="77777777" w:rsidTr="00855877">
        <w:trPr>
          <w:cantSplit/>
        </w:trPr>
        <w:tc>
          <w:tcPr>
            <w:tcW w:w="4680" w:type="dxa"/>
            <w:hideMark/>
          </w:tcPr>
          <w:p w14:paraId="70AA7FFB" w14:textId="5441BA4F" w:rsidR="00FE7739" w:rsidRDefault="00FE7739" w:rsidP="00855877">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 xml:space="preserve">Lorenz and concentration curve </w:t>
            </w:r>
            <w:r>
              <w:rPr>
                <w:rFonts w:cs="Times New Roman"/>
                <w:b/>
                <w:sz w:val="18"/>
                <w:szCs w:val="18"/>
                <w:lang w:eastAsia="en-GB"/>
              </w:rPr>
              <w:t>for</w:t>
            </w:r>
            <w:r w:rsidRPr="00D60C8A">
              <w:rPr>
                <w:rFonts w:cs="Times New Roman"/>
                <w:b/>
                <w:sz w:val="18"/>
                <w:szCs w:val="18"/>
                <w:lang w:eastAsia="en-GB"/>
              </w:rPr>
              <w:t xml:space="preserve"> </w:t>
            </w:r>
            <w:r w:rsidR="006A2E1F" w:rsidRPr="006A2E1F">
              <w:rPr>
                <w:rFonts w:cs="Times New Roman"/>
                <w:b/>
                <w:sz w:val="18"/>
                <w:szCs w:val="18"/>
                <w:lang w:eastAsia="en-GB"/>
              </w:rPr>
              <w:t>in-kind education transfer</w:t>
            </w:r>
            <w:r w:rsidRPr="00D1437E">
              <w:rPr>
                <w:rFonts w:cs="Times New Roman"/>
                <w:b/>
                <w:sz w:val="18"/>
                <w:szCs w:val="18"/>
                <w:lang w:eastAsia="en-GB"/>
              </w:rPr>
              <w:t xml:space="preserve"> </w:t>
            </w:r>
            <w:r w:rsidRPr="00D60C8A">
              <w:rPr>
                <w:rFonts w:cs="Times New Roman"/>
                <w:b/>
                <w:sz w:val="18"/>
                <w:szCs w:val="18"/>
                <w:lang w:eastAsia="en-GB"/>
              </w:rPr>
              <w:t>and market income</w:t>
            </w:r>
          </w:p>
        </w:tc>
        <w:tc>
          <w:tcPr>
            <w:tcW w:w="4680" w:type="dxa"/>
            <w:hideMark/>
          </w:tcPr>
          <w:p w14:paraId="57FCBDD6" w14:textId="12ECA5BF" w:rsidR="00FE7739" w:rsidRDefault="00FE7739" w:rsidP="00855877">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sidR="006A2E1F" w:rsidRPr="006A2E1F">
              <w:rPr>
                <w:rFonts w:cs="Times New Roman"/>
                <w:b/>
                <w:sz w:val="18"/>
                <w:szCs w:val="18"/>
                <w:lang w:eastAsia="en-GB"/>
              </w:rPr>
              <w:t>in-kind education transfer</w:t>
            </w:r>
            <w:r w:rsidRPr="00D1437E">
              <w:rPr>
                <w:rFonts w:cs="Times New Roman"/>
                <w:b/>
                <w:sz w:val="18"/>
                <w:szCs w:val="18"/>
                <w:lang w:eastAsia="en-GB"/>
              </w:rPr>
              <w:t xml:space="preserve"> </w:t>
            </w:r>
            <w:r w:rsidRPr="00F2330A">
              <w:rPr>
                <w:rFonts w:cs="Times New Roman"/>
                <w:b/>
                <w:sz w:val="18"/>
                <w:szCs w:val="18"/>
                <w:lang w:eastAsia="en-GB"/>
              </w:rPr>
              <w:t xml:space="preserve">in </w:t>
            </w:r>
            <w:r w:rsidR="00A27127">
              <w:rPr>
                <w:rFonts w:cs="Times New Roman"/>
                <w:b/>
                <w:sz w:val="18"/>
                <w:szCs w:val="18"/>
                <w:lang w:eastAsia="en-GB"/>
              </w:rPr>
              <w:t>household</w:t>
            </w:r>
            <w:r w:rsidR="00A27127" w:rsidRPr="00F2330A">
              <w:rPr>
                <w:rFonts w:cs="Times New Roman"/>
                <w:b/>
                <w:sz w:val="18"/>
                <w:szCs w:val="18"/>
                <w:lang w:eastAsia="en-GB"/>
              </w:rPr>
              <w:t xml:space="preserve"> </w:t>
            </w:r>
            <w:r>
              <w:rPr>
                <w:rFonts w:cs="Times New Roman"/>
                <w:b/>
                <w:sz w:val="18"/>
                <w:szCs w:val="18"/>
                <w:lang w:eastAsia="en-GB"/>
              </w:rPr>
              <w:t>market income</w:t>
            </w:r>
            <w:r w:rsidRPr="00F2330A">
              <w:rPr>
                <w:rFonts w:cs="Times New Roman"/>
                <w:b/>
                <w:sz w:val="18"/>
                <w:szCs w:val="18"/>
                <w:lang w:eastAsia="en-GB"/>
              </w:rPr>
              <w:t xml:space="preserve"> by quintile</w:t>
            </w:r>
          </w:p>
        </w:tc>
      </w:tr>
      <w:tr w:rsidR="00FE7739" w14:paraId="4EE4EA2E" w14:textId="77777777" w:rsidTr="00855877">
        <w:trPr>
          <w:cantSplit/>
        </w:trPr>
        <w:tc>
          <w:tcPr>
            <w:tcW w:w="4680" w:type="dxa"/>
            <w:tcMar>
              <w:top w:w="0" w:type="dxa"/>
              <w:left w:w="108" w:type="dxa"/>
              <w:bottom w:w="0" w:type="dxa"/>
              <w:right w:w="108" w:type="dxa"/>
            </w:tcMar>
            <w:hideMark/>
          </w:tcPr>
          <w:p w14:paraId="58D68131" w14:textId="7629919F" w:rsidR="00FE7739" w:rsidRDefault="00FE2F21" w:rsidP="00855877">
            <w:pPr>
              <w:spacing w:after="120"/>
              <w:rPr>
                <w:rFonts w:cs="Times New Roman"/>
                <w:sz w:val="16"/>
                <w:szCs w:val="16"/>
              </w:rPr>
            </w:pPr>
            <w:r>
              <w:rPr>
                <w:rFonts w:cs="Times New Roman"/>
                <w:noProof/>
                <w:sz w:val="16"/>
                <w:szCs w:val="16"/>
              </w:rPr>
              <w:drawing>
                <wp:inline distT="0" distB="0" distL="0" distR="0" wp14:anchorId="33C48024" wp14:editId="7C2A635C">
                  <wp:extent cx="2779776" cy="1929384"/>
                  <wp:effectExtent l="0" t="0" r="1905" b="0"/>
                  <wp:docPr id="24" name="Picture 2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3.11.A._Lorenz_and_concentration_curve_for_in-kind_education_transfer_and_market_income.png"/>
                          <pic:cNvPicPr/>
                        </pic:nvPicPr>
                        <pic:blipFill rotWithShape="1">
                          <a:blip r:embed="rId29">
                            <a:extLst>
                              <a:ext uri="{28A0092B-C50C-407E-A947-70E740481C1C}">
                                <a14:useLocalDpi xmlns:a14="http://schemas.microsoft.com/office/drawing/2010/main" val="0"/>
                              </a:ext>
                            </a:extLst>
                          </a:blip>
                          <a:srcRect l="20967" r="20970"/>
                          <a:stretch/>
                        </pic:blipFill>
                        <pic:spPr bwMode="auto">
                          <a:xfrm>
                            <a:off x="0" y="0"/>
                            <a:ext cx="2779776" cy="192938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38271888" w14:textId="3DFFB07D" w:rsidR="00FE7739" w:rsidRDefault="00692D24" w:rsidP="00855877">
            <w:pPr>
              <w:spacing w:after="120"/>
              <w:rPr>
                <w:rFonts w:cs="Times New Roman"/>
                <w:sz w:val="16"/>
                <w:szCs w:val="16"/>
              </w:rPr>
            </w:pPr>
            <w:r>
              <w:rPr>
                <w:rFonts w:cs="Times New Roman"/>
                <w:noProof/>
                <w:sz w:val="16"/>
                <w:szCs w:val="16"/>
              </w:rPr>
              <w:drawing>
                <wp:inline distT="0" distB="0" distL="0" distR="0" wp14:anchorId="1522724C" wp14:editId="5F34246B">
                  <wp:extent cx="2834640" cy="1889760"/>
                  <wp:effectExtent l="0" t="0" r="3810" b="0"/>
                  <wp:docPr id="55" name="Picture 55"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_3.11.B._Share_of_in-kind_education_transfer_in_total_market_income_by_quintile.png"/>
                          <pic:cNvPicPr/>
                        </pic:nvPicPr>
                        <pic:blipFill>
                          <a:blip r:embed="rId30">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FE7739" w14:paraId="208A4B4C" w14:textId="77777777" w:rsidTr="00855877">
        <w:trPr>
          <w:cantSplit/>
        </w:trPr>
        <w:tc>
          <w:tcPr>
            <w:tcW w:w="9360" w:type="dxa"/>
            <w:gridSpan w:val="2"/>
            <w:tcMar>
              <w:top w:w="0" w:type="dxa"/>
              <w:left w:w="108" w:type="dxa"/>
              <w:bottom w:w="0" w:type="dxa"/>
              <w:right w:w="108" w:type="dxa"/>
            </w:tcMar>
            <w:hideMark/>
          </w:tcPr>
          <w:p w14:paraId="3EF8B935" w14:textId="77777777" w:rsidR="00FE7739" w:rsidRDefault="00FE7739"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66E5FF91" w14:textId="360A39D4" w:rsidR="00FE7739" w:rsidRPr="00767FF8" w:rsidRDefault="00FE7739"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5E3027">
              <w:rPr>
                <w:rFonts w:cs="Times New Roman"/>
                <w:sz w:val="18"/>
                <w:szCs w:val="18"/>
              </w:rPr>
              <w:t xml:space="preserve">(1) </w:t>
            </w:r>
            <w:r w:rsidR="005E3027" w:rsidRPr="00767FF8">
              <w:rPr>
                <w:rFonts w:cs="Times New Roman"/>
                <w:sz w:val="18"/>
                <w:szCs w:val="18"/>
              </w:rPr>
              <w:t>Market inco</w:t>
            </w:r>
            <w:r w:rsidR="005E3027" w:rsidRPr="00793B42">
              <w:rPr>
                <w:rFonts w:cs="Times New Roman"/>
                <w:sz w:val="18"/>
                <w:szCs w:val="18"/>
              </w:rPr>
              <w:t xml:space="preserve">me </w:t>
            </w:r>
            <w:r w:rsidR="005E3027">
              <w:rPr>
                <w:rFonts w:cs="Times New Roman"/>
                <w:sz w:val="18"/>
                <w:szCs w:val="18"/>
              </w:rPr>
              <w:t xml:space="preserve">refers to market income </w:t>
            </w:r>
            <w:r w:rsidR="005E3027" w:rsidRPr="00793B42">
              <w:rPr>
                <w:rFonts w:cs="Times New Roman"/>
                <w:sz w:val="18"/>
                <w:szCs w:val="18"/>
              </w:rPr>
              <w:t xml:space="preserve">plus pensions </w:t>
            </w:r>
            <w:r w:rsidR="005E3027">
              <w:rPr>
                <w:rFonts w:cs="Times New Roman"/>
                <w:sz w:val="18"/>
                <w:szCs w:val="18"/>
              </w:rPr>
              <w:t xml:space="preserve">and </w:t>
            </w:r>
            <w:r w:rsidR="005E3027" w:rsidRPr="00793B42">
              <w:rPr>
                <w:rFonts w:cs="Times New Roman"/>
                <w:sz w:val="18"/>
                <w:szCs w:val="18"/>
              </w:rPr>
              <w:t>comprises pretax wages, salaries, income earned from capital assets (rent, interest, or dividends), contributory pensions, and private transfers.</w:t>
            </w:r>
            <w:r w:rsidR="005E3027">
              <w:rPr>
                <w:rFonts w:cs="Times New Roman"/>
                <w:sz w:val="18"/>
                <w:szCs w:val="18"/>
              </w:rPr>
              <w:t xml:space="preserve"> (2) </w:t>
            </w:r>
            <w:r w:rsidR="005E3027" w:rsidRPr="007D5AD4">
              <w:rPr>
                <w:rFonts w:cs="Times New Roman"/>
                <w:sz w:val="18"/>
                <w:szCs w:val="18"/>
              </w:rPr>
              <w:t>95</w:t>
            </w:r>
            <w:r w:rsidR="005E3027">
              <w:rPr>
                <w:rFonts w:cs="Times New Roman"/>
                <w:sz w:val="18"/>
                <w:szCs w:val="18"/>
              </w:rPr>
              <w:t xml:space="preserve"> </w:t>
            </w:r>
            <w:r w:rsidR="005E3027" w:rsidRPr="007D5AD4">
              <w:rPr>
                <w:rFonts w:cs="Times New Roman"/>
                <w:sz w:val="18"/>
                <w:szCs w:val="18"/>
              </w:rPr>
              <w:t xml:space="preserve">percent confidence intervals </w:t>
            </w:r>
            <w:r w:rsidR="005E3027">
              <w:rPr>
                <w:rFonts w:cs="Times New Roman"/>
                <w:sz w:val="18"/>
                <w:szCs w:val="18"/>
              </w:rPr>
              <w:t>displayed</w:t>
            </w:r>
            <w:r w:rsidR="005E3027" w:rsidRPr="007D5AD4">
              <w:rPr>
                <w:rFonts w:cs="Times New Roman"/>
                <w:sz w:val="18"/>
                <w:szCs w:val="18"/>
              </w:rPr>
              <w:t xml:space="preserve"> in panel (b)</w:t>
            </w:r>
            <w:r w:rsidR="005E3027">
              <w:rPr>
                <w:rFonts w:cs="Times New Roman"/>
                <w:sz w:val="18"/>
                <w:szCs w:val="18"/>
              </w:rPr>
              <w:t>.</w:t>
            </w:r>
          </w:p>
        </w:tc>
      </w:tr>
    </w:tbl>
    <w:p w14:paraId="42B0C308" w14:textId="77777777" w:rsidR="004F6493" w:rsidRDefault="004F6493"/>
    <w:p w14:paraId="7506CF94" w14:textId="47FB33B7" w:rsidR="00D738C9" w:rsidRPr="00B014DE" w:rsidRDefault="00AF0CC0" w:rsidP="00D738C9">
      <w:r w:rsidRPr="009D2DC6">
        <w:rPr>
          <w:b/>
        </w:rPr>
        <w:t>A</w:t>
      </w:r>
      <w:r w:rsidR="00950518" w:rsidRPr="009D2DC6">
        <w:rPr>
          <w:b/>
        </w:rPr>
        <w:t>ssessing</w:t>
      </w:r>
      <w:r w:rsidRPr="009D2DC6">
        <w:rPr>
          <w:b/>
        </w:rPr>
        <w:t xml:space="preserve"> the fiscal incidence of public education spending does not account for the quality of</w:t>
      </w:r>
      <w:r w:rsidR="009D2DC6" w:rsidRPr="009D2DC6">
        <w:rPr>
          <w:b/>
        </w:rPr>
        <w:t xml:space="preserve"> such spending.</w:t>
      </w:r>
      <w:r w:rsidR="009D2DC6">
        <w:t xml:space="preserve"> The</w:t>
      </w:r>
      <w:r w:rsidR="00E25D67">
        <w:t xml:space="preserve"> a</w:t>
      </w:r>
      <w:r w:rsidR="00155587" w:rsidRPr="00B014DE">
        <w:t>llocation of public education spending is based on a cost-of-production approach</w:t>
      </w:r>
      <w:r w:rsidR="00E25D67">
        <w:t>.</w:t>
      </w:r>
      <w:r w:rsidR="00155587">
        <w:t xml:space="preserve"> Public education spending obtained from administrative data is allocated to households </w:t>
      </w:r>
      <w:r w:rsidR="003F0382">
        <w:t>captured in the H</w:t>
      </w:r>
      <w:r w:rsidR="007A70F3">
        <w:t>BS</w:t>
      </w:r>
      <w:r w:rsidR="003F0382">
        <w:t xml:space="preserve"> with</w:t>
      </w:r>
      <w:r w:rsidR="00155587">
        <w:t xml:space="preserve"> members </w:t>
      </w:r>
      <w:r w:rsidR="003F0382">
        <w:t>attending</w:t>
      </w:r>
      <w:r w:rsidR="00155587">
        <w:t xml:space="preserve"> public schools</w:t>
      </w:r>
      <w:r w:rsidR="003F0382">
        <w:t xml:space="preserve"> (and enrolled in university regardless of whether the provider is public or private)</w:t>
      </w:r>
      <w:r w:rsidR="00155587">
        <w:t xml:space="preserve">. </w:t>
      </w:r>
      <w:r w:rsidR="00134721">
        <w:t>In other words, the total cost of production is divided by the number of students</w:t>
      </w:r>
      <w:r w:rsidR="00D738C9">
        <w:t xml:space="preserve"> attending public schools estimated through the survey. </w:t>
      </w:r>
      <w:r w:rsidR="00D738C9" w:rsidRPr="00B014DE">
        <w:t>The analysis assumes that the actual benefit received by</w:t>
      </w:r>
      <w:r w:rsidR="00D738C9">
        <w:t xml:space="preserve"> </w:t>
      </w:r>
      <w:r w:rsidR="00DF05D5">
        <w:t>households</w:t>
      </w:r>
      <w:r w:rsidR="00D738C9" w:rsidRPr="00B014DE">
        <w:t xml:space="preserve"> equal</w:t>
      </w:r>
      <w:r w:rsidR="00DF05D5">
        <w:t>s</w:t>
      </w:r>
      <w:r w:rsidR="00D738C9" w:rsidRPr="00B014DE">
        <w:t xml:space="preserve"> the amount spent per capita. </w:t>
      </w:r>
      <w:r w:rsidR="00DF05D5">
        <w:t>However, the quality of such spending, particularly the quality of teachers and therefore of learnings, might not be</w:t>
      </w:r>
      <w:r w:rsidR="00656A2D">
        <w:t xml:space="preserve"> the same across institutions and households’ willingness-to-pay for public education might not be in line with public spending</w:t>
      </w:r>
      <w:r w:rsidR="00656A2D" w:rsidRPr="00B014DE">
        <w:t xml:space="preserve"> </w:t>
      </w:r>
      <w:r w:rsidR="00107DDA">
        <w:t>per student.</w:t>
      </w:r>
      <w:r w:rsidR="00107DDA" w:rsidRPr="00B014DE">
        <w:t xml:space="preserve"> </w:t>
      </w:r>
      <w:r w:rsidR="00107DDA">
        <w:t>T</w:t>
      </w:r>
      <w:r w:rsidR="00D738C9" w:rsidRPr="00B014DE">
        <w:t>his is a clear</w:t>
      </w:r>
      <w:r w:rsidR="00D738C9">
        <w:t xml:space="preserve"> </w:t>
      </w:r>
      <w:r w:rsidR="00D738C9" w:rsidRPr="00B014DE">
        <w:t>limitation of the analysis.</w:t>
      </w:r>
    </w:p>
    <w:p w14:paraId="2EAEF7D7" w14:textId="39DF7DD6" w:rsidR="00CE4B59" w:rsidRDefault="00CE4B59" w:rsidP="00CE4B59">
      <w:pPr>
        <w:pStyle w:val="Heading3"/>
      </w:pPr>
      <w:bookmarkStart w:id="101" w:name="_Toc8812806"/>
      <w:bookmarkStart w:id="102" w:name="_Toc10824879"/>
      <w:bookmarkStart w:id="103" w:name="_Toc10824951"/>
      <w:r>
        <w:t>Health</w:t>
      </w:r>
      <w:bookmarkEnd w:id="101"/>
      <w:bookmarkEnd w:id="102"/>
      <w:bookmarkEnd w:id="103"/>
    </w:p>
    <w:p w14:paraId="044DE64F" w14:textId="0FF487DA" w:rsidR="00DA03BD" w:rsidRPr="003F0139" w:rsidRDefault="00D171DD" w:rsidP="003F0139">
      <w:r w:rsidRPr="003F0139">
        <w:rPr>
          <w:b/>
        </w:rPr>
        <w:t>Public health expenditure amounts to</w:t>
      </w:r>
      <w:r w:rsidR="00AA502A">
        <w:rPr>
          <w:b/>
        </w:rPr>
        <w:t xml:space="preserve"> ab</w:t>
      </w:r>
      <w:r w:rsidR="00AA502A" w:rsidRPr="002D6309">
        <w:rPr>
          <w:b/>
        </w:rPr>
        <w:t>out</w:t>
      </w:r>
      <w:r w:rsidRPr="002D6309">
        <w:rPr>
          <w:b/>
        </w:rPr>
        <w:t xml:space="preserve"> </w:t>
      </w:r>
      <w:r w:rsidR="00BD1B27" w:rsidRPr="002D6309">
        <w:rPr>
          <w:b/>
        </w:rPr>
        <w:t>2.</w:t>
      </w:r>
      <w:r w:rsidR="00383073">
        <w:rPr>
          <w:b/>
        </w:rPr>
        <w:t>6</w:t>
      </w:r>
      <w:r w:rsidR="00F16CEA" w:rsidRPr="002D6309">
        <w:rPr>
          <w:b/>
        </w:rPr>
        <w:t xml:space="preserve"> percen</w:t>
      </w:r>
      <w:r w:rsidR="00F16CEA">
        <w:rPr>
          <w:b/>
        </w:rPr>
        <w:t xml:space="preserve">t </w:t>
      </w:r>
      <w:r w:rsidRPr="003F0139">
        <w:rPr>
          <w:b/>
        </w:rPr>
        <w:t>of GDP</w:t>
      </w:r>
      <w:r w:rsidR="00AC49A8">
        <w:rPr>
          <w:b/>
        </w:rPr>
        <w:t xml:space="preserve"> and </w:t>
      </w:r>
      <w:r w:rsidR="00F10854">
        <w:rPr>
          <w:b/>
        </w:rPr>
        <w:t>10</w:t>
      </w:r>
      <w:r w:rsidR="00AC49A8">
        <w:rPr>
          <w:b/>
        </w:rPr>
        <w:t xml:space="preserve"> </w:t>
      </w:r>
      <w:r w:rsidR="00AC49A8" w:rsidRPr="003F0139">
        <w:rPr>
          <w:b/>
        </w:rPr>
        <w:t xml:space="preserve">percent of </w:t>
      </w:r>
      <w:r w:rsidR="00AC49A8">
        <w:rPr>
          <w:b/>
        </w:rPr>
        <w:t>public</w:t>
      </w:r>
      <w:r w:rsidR="00AC49A8" w:rsidRPr="003F0139">
        <w:rPr>
          <w:b/>
        </w:rPr>
        <w:t xml:space="preserve"> expenditure</w:t>
      </w:r>
      <w:r w:rsidRPr="003F0139">
        <w:rPr>
          <w:b/>
        </w:rPr>
        <w:t>,</w:t>
      </w:r>
      <w:r w:rsidR="00876052" w:rsidRPr="003F0139">
        <w:rPr>
          <w:b/>
        </w:rPr>
        <w:t xml:space="preserve"> </w:t>
      </w:r>
      <w:r w:rsidR="00F10854">
        <w:rPr>
          <w:b/>
        </w:rPr>
        <w:t>yet to</w:t>
      </w:r>
      <w:r w:rsidR="00876052" w:rsidRPr="003F0139">
        <w:rPr>
          <w:b/>
        </w:rPr>
        <w:t xml:space="preserve"> </w:t>
      </w:r>
      <w:r w:rsidR="002D6309">
        <w:rPr>
          <w:b/>
        </w:rPr>
        <w:t>only 45 percent of t</w:t>
      </w:r>
      <w:r w:rsidR="00876052" w:rsidRPr="003F0139">
        <w:rPr>
          <w:b/>
        </w:rPr>
        <w:t xml:space="preserve">otal </w:t>
      </w:r>
      <w:r w:rsidR="002D6309">
        <w:rPr>
          <w:b/>
        </w:rPr>
        <w:t>health</w:t>
      </w:r>
      <w:r w:rsidR="00876052" w:rsidRPr="003F0139">
        <w:rPr>
          <w:b/>
        </w:rPr>
        <w:t xml:space="preserve"> expenditure.</w:t>
      </w:r>
      <w:r w:rsidR="00876052" w:rsidRPr="003F0139">
        <w:t xml:space="preserve"> </w:t>
      </w:r>
      <w:r w:rsidR="00AC3556" w:rsidRPr="003F0139">
        <w:t>The health care system is a mix of public and private provision.</w:t>
      </w:r>
      <w:r w:rsidR="00D4394F" w:rsidRPr="003F0139">
        <w:t xml:space="preserve"> Mauritius</w:t>
      </w:r>
      <w:r w:rsidR="00AC3556" w:rsidRPr="003F0139">
        <w:t xml:space="preserve"> provides free health care provision in all government-owned health facilities. </w:t>
      </w:r>
      <w:r w:rsidR="00DA495D" w:rsidRPr="003F0139">
        <w:t>About</w:t>
      </w:r>
      <w:r w:rsidR="00D4394F" w:rsidRPr="003F0139">
        <w:t xml:space="preserve"> 73</w:t>
      </w:r>
      <w:r w:rsidR="00DA495D" w:rsidRPr="003F0139">
        <w:t xml:space="preserve"> percent</w:t>
      </w:r>
      <w:r w:rsidR="00D4394F" w:rsidRPr="003F0139">
        <w:t xml:space="preserve"> of the healthcare needs of the population are managed, free of user </w:t>
      </w:r>
      <w:r w:rsidR="00223BA0" w:rsidRPr="003F0139">
        <w:t>fees</w:t>
      </w:r>
      <w:r w:rsidR="00D4394F" w:rsidRPr="003F0139">
        <w:t>, at the point</w:t>
      </w:r>
      <w:r w:rsidR="00DA495D" w:rsidRPr="003F0139">
        <w:t xml:space="preserve"> </w:t>
      </w:r>
      <w:r w:rsidR="00D4394F" w:rsidRPr="003F0139">
        <w:t xml:space="preserve">of use in the public sector. The </w:t>
      </w:r>
      <w:r w:rsidR="00223BA0" w:rsidRPr="003F0139">
        <w:t>private sector</w:t>
      </w:r>
      <w:r w:rsidR="00287C52" w:rsidRPr="003F0139">
        <w:t xml:space="preserve"> to the </w:t>
      </w:r>
      <w:r w:rsidR="00D4394F" w:rsidRPr="003F0139">
        <w:t>remaining 27</w:t>
      </w:r>
      <w:r w:rsidR="00F10854">
        <w:t xml:space="preserve"> percent</w:t>
      </w:r>
      <w:r w:rsidR="00D4394F" w:rsidRPr="003F0139">
        <w:t xml:space="preserve"> of healthcare needs</w:t>
      </w:r>
      <w:r w:rsidR="00DA495D" w:rsidRPr="003F0139">
        <w:t xml:space="preserve"> </w:t>
      </w:r>
      <w:r w:rsidR="00D4394F" w:rsidRPr="003F0139">
        <w:t xml:space="preserve">on a fee basis, either through out-of-pocket payments or payments </w:t>
      </w:r>
      <w:r w:rsidR="00622AF5" w:rsidRPr="003F0139">
        <w:t>obtained from</w:t>
      </w:r>
      <w:r w:rsidR="00DA495D" w:rsidRPr="003F0139">
        <w:t xml:space="preserve"> </w:t>
      </w:r>
      <w:r w:rsidR="00D4394F" w:rsidRPr="003F0139">
        <w:t xml:space="preserve">private health </w:t>
      </w:r>
      <w:r w:rsidR="00622AF5" w:rsidRPr="003F0139">
        <w:t>insurances</w:t>
      </w:r>
      <w:r w:rsidR="00D4394F" w:rsidRPr="003F0139">
        <w:t>.</w:t>
      </w:r>
      <w:r w:rsidR="00DA495D" w:rsidRPr="003F0139">
        <w:t xml:space="preserve"> </w:t>
      </w:r>
      <w:r w:rsidR="00BE4BF3" w:rsidRPr="003F0139">
        <w:t>According to the National Health Accounts (</w:t>
      </w:r>
      <w:r w:rsidR="00D13BCC">
        <w:t>Ministry of Health</w:t>
      </w:r>
      <w:r w:rsidR="00D13BCC" w:rsidRPr="003F0139">
        <w:t xml:space="preserve"> </w:t>
      </w:r>
      <w:r w:rsidR="00BE4BF3" w:rsidRPr="003F0139">
        <w:t xml:space="preserve">2017), general public </w:t>
      </w:r>
      <w:r w:rsidR="00AC3556" w:rsidRPr="003F0139">
        <w:t>expenditure</w:t>
      </w:r>
      <w:r w:rsidR="00BE4BF3" w:rsidRPr="003F0139">
        <w:t xml:space="preserve"> on health was</w:t>
      </w:r>
      <w:r w:rsidR="00E111E2" w:rsidRPr="003F0139">
        <w:t xml:space="preserve"> </w:t>
      </w:r>
      <w:r w:rsidR="00C465B1">
        <w:t>MUR</w:t>
      </w:r>
      <w:r w:rsidR="00E111E2" w:rsidRPr="003F0139">
        <w:t xml:space="preserve"> 11</w:t>
      </w:r>
      <w:r w:rsidR="00C465B1">
        <w:t>.</w:t>
      </w:r>
      <w:r w:rsidR="00E111E2" w:rsidRPr="003F0139">
        <w:t xml:space="preserve">3 billion </w:t>
      </w:r>
      <w:r w:rsidR="00BE4BF3" w:rsidRPr="003F0139">
        <w:t>in 2016</w:t>
      </w:r>
      <w:r w:rsidR="00AC3556" w:rsidRPr="003F0139">
        <w:t>, whereas</w:t>
      </w:r>
      <w:r w:rsidR="00E111E2" w:rsidRPr="003F0139">
        <w:t xml:space="preserve"> spending on health in the private sector, including out-of-pocket expenditure by households, was estimated at </w:t>
      </w:r>
      <w:r w:rsidR="00C465B1">
        <w:t>almost MUR</w:t>
      </w:r>
      <w:r w:rsidR="00E111E2" w:rsidRPr="003F0139">
        <w:t xml:space="preserve"> 1</w:t>
      </w:r>
      <w:r w:rsidR="00C465B1">
        <w:t>4.0</w:t>
      </w:r>
      <w:r w:rsidR="00E111E2" w:rsidRPr="003F0139">
        <w:t xml:space="preserve"> billion.</w:t>
      </w:r>
      <w:r w:rsidR="003F0139" w:rsidRPr="003F0139">
        <w:t xml:space="preserve"> </w:t>
      </w:r>
      <w:r w:rsidR="004E6010">
        <w:t>The largest share of public health expenditure is absorbed by h</w:t>
      </w:r>
      <w:r w:rsidR="003F2FDD" w:rsidRPr="003F0139">
        <w:t>ospital services, with an estimated</w:t>
      </w:r>
      <w:r w:rsidR="003F0139" w:rsidRPr="003F0139">
        <w:t xml:space="preserve"> </w:t>
      </w:r>
      <w:r w:rsidR="003F2FDD" w:rsidRPr="003F0139">
        <w:t xml:space="preserve">expenditure of </w:t>
      </w:r>
      <w:r w:rsidR="00C465B1">
        <w:t>MUR</w:t>
      </w:r>
      <w:r w:rsidR="003F2FDD" w:rsidRPr="003F0139">
        <w:t xml:space="preserve"> 7</w:t>
      </w:r>
      <w:r w:rsidR="00C465B1">
        <w:t>.</w:t>
      </w:r>
      <w:r w:rsidR="003F2FDD" w:rsidRPr="003F0139">
        <w:t>2 billion</w:t>
      </w:r>
      <w:r w:rsidR="00946416">
        <w:t xml:space="preserve"> in 2016</w:t>
      </w:r>
      <w:r w:rsidR="000438E0">
        <w:t>, followed by</w:t>
      </w:r>
      <w:r w:rsidR="000438E0" w:rsidRPr="000438E0">
        <w:t xml:space="preserve"> </w:t>
      </w:r>
      <w:r w:rsidR="00C465B1">
        <w:t>MUR</w:t>
      </w:r>
      <w:r w:rsidR="000438E0" w:rsidRPr="003F0139">
        <w:t xml:space="preserve"> 1</w:t>
      </w:r>
      <w:r w:rsidR="00C465B1">
        <w:t>.</w:t>
      </w:r>
      <w:r w:rsidR="000438E0" w:rsidRPr="003F0139">
        <w:t xml:space="preserve">0 billion </w:t>
      </w:r>
      <w:r w:rsidR="000438E0">
        <w:t xml:space="preserve">on </w:t>
      </w:r>
      <w:r w:rsidR="000438E0" w:rsidRPr="003F0139">
        <w:t>pharmaceutical products</w:t>
      </w:r>
      <w:r w:rsidR="000438E0">
        <w:t xml:space="preserve">, and </w:t>
      </w:r>
      <w:r w:rsidR="00C465B1">
        <w:t>MUR</w:t>
      </w:r>
      <w:r w:rsidR="000438E0" w:rsidRPr="003F0139">
        <w:t xml:space="preserve"> 673 million</w:t>
      </w:r>
      <w:r w:rsidR="000438E0">
        <w:t xml:space="preserve"> on o</w:t>
      </w:r>
      <w:r w:rsidR="003F2FDD" w:rsidRPr="003F0139">
        <w:t xml:space="preserve">utpatient curative care services at the primary care level </w:t>
      </w:r>
      <w:r w:rsidR="000438E0">
        <w:t>(</w:t>
      </w:r>
      <w:r w:rsidR="00D13BCC">
        <w:t>Ministry of Health</w:t>
      </w:r>
      <w:r w:rsidR="000438E0">
        <w:t xml:space="preserve"> 2017)</w:t>
      </w:r>
      <w:r w:rsidR="003F2FDD" w:rsidRPr="003F0139">
        <w:t xml:space="preserve">. In addition, some </w:t>
      </w:r>
      <w:r w:rsidR="00C465B1">
        <w:t>MUR</w:t>
      </w:r>
      <w:r w:rsidR="003F2FDD" w:rsidRPr="003F0139">
        <w:t xml:space="preserve"> 631 million were spent on governance and health system</w:t>
      </w:r>
      <w:r w:rsidR="003F0139" w:rsidRPr="003F0139">
        <w:t xml:space="preserve"> </w:t>
      </w:r>
      <w:r w:rsidR="003F2FDD" w:rsidRPr="003F0139">
        <w:t>administration.</w:t>
      </w:r>
      <w:r w:rsidR="00D967AC">
        <w:t xml:space="preserve"> Out of </w:t>
      </w:r>
      <w:r w:rsidR="00450EA1">
        <w:t>pocket</w:t>
      </w:r>
      <w:r w:rsidR="00D967AC">
        <w:t xml:space="preserve"> expenditures are</w:t>
      </w:r>
      <w:r w:rsidR="00254A21">
        <w:t xml:space="preserve"> </w:t>
      </w:r>
      <w:r w:rsidR="00450EA1">
        <w:t>spent on</w:t>
      </w:r>
      <w:r w:rsidR="00254A21">
        <w:t xml:space="preserve"> medication (</w:t>
      </w:r>
      <w:r w:rsidR="00C465B1">
        <w:t>MUR</w:t>
      </w:r>
      <w:r w:rsidR="00450EA1">
        <w:t xml:space="preserve"> 4</w:t>
      </w:r>
      <w:r w:rsidR="00C465B1">
        <w:t>.</w:t>
      </w:r>
      <w:r w:rsidR="00450EA1">
        <w:t>0 billion</w:t>
      </w:r>
      <w:r w:rsidR="00254A21">
        <w:t>), consultation fees (</w:t>
      </w:r>
      <w:r w:rsidR="00C11058">
        <w:t>MUR</w:t>
      </w:r>
      <w:r w:rsidR="00450EA1">
        <w:t xml:space="preserve"> 2</w:t>
      </w:r>
      <w:r w:rsidR="00C465B1">
        <w:t>.</w:t>
      </w:r>
      <w:r w:rsidR="00450EA1">
        <w:t>8 billion</w:t>
      </w:r>
      <w:r w:rsidR="00254A21">
        <w:t xml:space="preserve">), and private </w:t>
      </w:r>
      <w:r w:rsidR="00450EA1">
        <w:t>hospitals</w:t>
      </w:r>
      <w:r w:rsidR="00254A21">
        <w:t xml:space="preserve"> (</w:t>
      </w:r>
      <w:r w:rsidR="00C11058">
        <w:t>MUR</w:t>
      </w:r>
      <w:r w:rsidR="00450EA1">
        <w:t xml:space="preserve"> 2</w:t>
      </w:r>
      <w:r w:rsidR="00C465B1">
        <w:t>.</w:t>
      </w:r>
      <w:r w:rsidR="00450EA1">
        <w:t>1 billion</w:t>
      </w:r>
      <w:r w:rsidR="00254A21">
        <w:t>) (</w:t>
      </w:r>
      <w:r w:rsidR="00D13BCC">
        <w:t xml:space="preserve">Ministry of Health </w:t>
      </w:r>
      <w:r w:rsidR="00254A21">
        <w:t>2017).</w:t>
      </w:r>
    </w:p>
    <w:p w14:paraId="11D69BCA" w14:textId="03A68047" w:rsidR="00B91B58" w:rsidRDefault="008A067B">
      <w:r w:rsidRPr="00D202D3">
        <w:rPr>
          <w:b/>
        </w:rPr>
        <w:t>Public h</w:t>
      </w:r>
      <w:r w:rsidR="00736A12" w:rsidRPr="00D202D3">
        <w:rPr>
          <w:b/>
        </w:rPr>
        <w:t xml:space="preserve">ealth expenditure </w:t>
      </w:r>
      <w:r w:rsidR="00BF4743">
        <w:rPr>
          <w:b/>
        </w:rPr>
        <w:t>is</w:t>
      </w:r>
      <w:r w:rsidR="00736A12" w:rsidRPr="00D202D3">
        <w:rPr>
          <w:b/>
        </w:rPr>
        <w:t xml:space="preserve"> </w:t>
      </w:r>
      <w:r w:rsidRPr="00D202D3">
        <w:rPr>
          <w:b/>
        </w:rPr>
        <w:t>progressive</w:t>
      </w:r>
      <w:r w:rsidR="00736A12" w:rsidRPr="00D202D3">
        <w:rPr>
          <w:b/>
        </w:rPr>
        <w:t>.</w:t>
      </w:r>
      <w:r w:rsidR="00736A12" w:rsidRPr="00736A12">
        <w:t xml:space="preserve"> </w:t>
      </w:r>
      <w:r w:rsidR="005442BC">
        <w:t>Public spending on health is relatively well targeted not because poorer people use health facilities more, but rather because they use public health services more than richer people</w:t>
      </w:r>
      <w:r w:rsidR="00A47B7D">
        <w:t>.</w:t>
      </w:r>
      <w:r w:rsidR="005442BC">
        <w:t xml:space="preserve"> </w:t>
      </w:r>
      <w:r w:rsidR="00395BA6">
        <w:t>The amount of p</w:t>
      </w:r>
      <w:r w:rsidR="005442BC">
        <w:t xml:space="preserve">ublic health expenditure </w:t>
      </w:r>
      <w:r w:rsidR="007C22CF">
        <w:t>in per capita terms received by households is about constant along the distribution</w:t>
      </w:r>
      <w:r w:rsidR="003B7866">
        <w:t xml:space="preserve"> and this makes</w:t>
      </w:r>
      <w:r w:rsidR="000E3B70">
        <w:t xml:space="preserve"> </w:t>
      </w:r>
      <w:r w:rsidR="005442BC">
        <w:t>the concentration curve overlap with the diagonal (</w:t>
      </w:r>
      <w:r w:rsidR="005442BC">
        <w:fldChar w:fldCharType="begin"/>
      </w:r>
      <w:r w:rsidR="005442BC">
        <w:instrText xml:space="preserve"> REF _Ref8227470 \h  \* MERGEFORMAT </w:instrText>
      </w:r>
      <w:r w:rsidR="005442BC">
        <w:fldChar w:fldCharType="separate"/>
      </w:r>
      <w:r w:rsidR="00C37C80" w:rsidRPr="00C37C80">
        <w:t>Figure 3.12</w:t>
      </w:r>
      <w:r w:rsidR="005442BC">
        <w:fldChar w:fldCharType="end"/>
      </w:r>
      <w:r w:rsidR="005442BC">
        <w:t xml:space="preserve"> – panel a). The benefit enjoyed by low-income households </w:t>
      </w:r>
      <w:r w:rsidR="00962F92">
        <w:t xml:space="preserve">as a share of their </w:t>
      </w:r>
      <w:r w:rsidR="00C11058">
        <w:t>pre</w:t>
      </w:r>
      <w:r w:rsidR="00962F92">
        <w:t xml:space="preserve">fiscal income </w:t>
      </w:r>
      <w:r w:rsidR="005442BC">
        <w:t>is significantly larger compared to that received by high-income households</w:t>
      </w:r>
      <w:r w:rsidR="00537BD3">
        <w:t xml:space="preserve"> (</w:t>
      </w:r>
      <w:r w:rsidR="00537BD3">
        <w:fldChar w:fldCharType="begin"/>
      </w:r>
      <w:r w:rsidR="00537BD3">
        <w:instrText xml:space="preserve"> REF _Ref8227470 \h  \* MERGEFORMAT </w:instrText>
      </w:r>
      <w:r w:rsidR="00537BD3">
        <w:fldChar w:fldCharType="separate"/>
      </w:r>
      <w:r w:rsidR="00C37C80" w:rsidRPr="00C37C80">
        <w:t>Figure 3.12</w:t>
      </w:r>
      <w:r w:rsidR="00537BD3">
        <w:fldChar w:fldCharType="end"/>
      </w:r>
      <w:r w:rsidR="00537BD3">
        <w:t xml:space="preserve"> – panel b)</w:t>
      </w:r>
      <w:r w:rsidR="005442BC">
        <w:t>.</w:t>
      </w:r>
      <w:r w:rsidR="0058722D">
        <w:t xml:space="preserve"> T</w:t>
      </w:r>
      <w:r w:rsidR="00962F92">
        <w:t xml:space="preserve">his makes the in-kind transfer </w:t>
      </w:r>
      <w:r w:rsidR="0058722D">
        <w:t>globally progressive in relative terms, but not in absolute terms or pro-poor.</w:t>
      </w:r>
      <w:r w:rsidR="005442BC">
        <w:t xml:space="preserve"> This is partly ascribable to larger use of public health care services at the bottom of the distribution as well as by the larger size of households at the bottom.</w:t>
      </w:r>
      <w:r w:rsidR="005442BC" w:rsidRPr="00736A12">
        <w:t xml:space="preserve"> </w:t>
      </w:r>
      <w:r w:rsidR="00933C0C">
        <w:t xml:space="preserve">Households at the bottom of the </w:t>
      </w:r>
      <w:r w:rsidR="00C11058">
        <w:t>pre</w:t>
      </w:r>
      <w:r w:rsidR="00933C0C">
        <w:t>fiscal income distribution are more likely to</w:t>
      </w:r>
      <w:r w:rsidR="00A732A7">
        <w:t xml:space="preserve"> access public health care facilities relative to</w:t>
      </w:r>
      <w:r w:rsidR="00157BAA">
        <w:t xml:space="preserve"> their affluent counterparts</w:t>
      </w:r>
      <w:r w:rsidR="00416496">
        <w:t xml:space="preserve"> (</w:t>
      </w:r>
      <w:r w:rsidR="00416496">
        <w:fldChar w:fldCharType="begin"/>
      </w:r>
      <w:r w:rsidR="00416496">
        <w:instrText xml:space="preserve"> REF _Ref8227470 \h  \* MERGEFORMAT </w:instrText>
      </w:r>
      <w:r w:rsidR="00416496">
        <w:fldChar w:fldCharType="separate"/>
      </w:r>
      <w:r w:rsidR="00C37C80" w:rsidRPr="00C37C80">
        <w:t>Figure 3.12</w:t>
      </w:r>
      <w:r w:rsidR="00416496">
        <w:fldChar w:fldCharType="end"/>
      </w:r>
      <w:r w:rsidR="00416496">
        <w:t xml:space="preserve"> – panel </w:t>
      </w:r>
      <w:r w:rsidR="00524459">
        <w:t>c</w:t>
      </w:r>
      <w:r w:rsidR="00416496">
        <w:t>)</w:t>
      </w:r>
      <w:r w:rsidR="00157BAA">
        <w:t>.</w:t>
      </w:r>
      <w:r w:rsidR="0051261E">
        <w:t xml:space="preserve"> </w:t>
      </w:r>
      <w:r w:rsidR="006C39F4">
        <w:t>A</w:t>
      </w:r>
      <w:r w:rsidR="00524459">
        <w:t>bout 2</w:t>
      </w:r>
      <w:r w:rsidR="00AE0DFD">
        <w:t>5</w:t>
      </w:r>
      <w:r w:rsidR="00524459">
        <w:t xml:space="preserve"> percent of</w:t>
      </w:r>
      <w:r w:rsidR="006C39F4">
        <w:t xml:space="preserve"> the population in the richest quintile report to typically use private health services, as opposed to only between </w:t>
      </w:r>
      <w:r w:rsidR="000D3CAD">
        <w:t>1.5</w:t>
      </w:r>
      <w:r w:rsidR="006C39F4">
        <w:t xml:space="preserve"> and </w:t>
      </w:r>
      <w:r w:rsidR="000D3CAD">
        <w:t>7.3</w:t>
      </w:r>
      <w:r w:rsidR="006C39F4">
        <w:t xml:space="preserve"> percent </w:t>
      </w:r>
      <w:r w:rsidR="002E7A8C">
        <w:t xml:space="preserve">of </w:t>
      </w:r>
      <w:r w:rsidR="000D3CAD">
        <w:t>the population</w:t>
      </w:r>
      <w:r w:rsidR="002E7A8C">
        <w:t xml:space="preserve"> in the bottom and fourth quintile, respectively. </w:t>
      </w:r>
    </w:p>
    <w:tbl>
      <w:tblPr>
        <w:tblW w:w="9360" w:type="dxa"/>
        <w:tblLayout w:type="fixed"/>
        <w:tblCellMar>
          <w:left w:w="0" w:type="dxa"/>
          <w:right w:w="0" w:type="dxa"/>
        </w:tblCellMar>
        <w:tblLook w:val="04A0" w:firstRow="1" w:lastRow="0" w:firstColumn="1" w:lastColumn="0" w:noHBand="0" w:noVBand="1"/>
      </w:tblPr>
      <w:tblGrid>
        <w:gridCol w:w="4680"/>
        <w:gridCol w:w="4680"/>
      </w:tblGrid>
      <w:tr w:rsidR="00F13CBA" w:rsidRPr="001E6C40" w14:paraId="5F172A0F" w14:textId="77777777" w:rsidTr="00855877">
        <w:trPr>
          <w:cantSplit/>
        </w:trPr>
        <w:tc>
          <w:tcPr>
            <w:tcW w:w="9360" w:type="dxa"/>
            <w:gridSpan w:val="2"/>
            <w:hideMark/>
          </w:tcPr>
          <w:p w14:paraId="58195678" w14:textId="7EA78124" w:rsidR="00F13CBA" w:rsidRPr="001E6C40" w:rsidRDefault="00F13CBA" w:rsidP="00855877">
            <w:pPr>
              <w:pStyle w:val="Caption2"/>
              <w:spacing w:line="256" w:lineRule="auto"/>
              <w:jc w:val="left"/>
              <w:rPr>
                <w:b/>
                <w:i w:val="0"/>
                <w:sz w:val="18"/>
                <w:szCs w:val="18"/>
                <w:lang w:eastAsia="en-GB"/>
              </w:rPr>
            </w:pPr>
            <w:bookmarkStart w:id="104" w:name="_Ref8227470"/>
            <w:bookmarkStart w:id="105" w:name="_Toc11255075"/>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3</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12</w:t>
            </w:r>
            <w:r w:rsidR="00275542">
              <w:rPr>
                <w:b/>
                <w:i w:val="0"/>
                <w:sz w:val="18"/>
                <w:szCs w:val="18"/>
                <w:lang w:eastAsia="en-GB"/>
              </w:rPr>
              <w:fldChar w:fldCharType="end"/>
            </w:r>
            <w:bookmarkEnd w:id="104"/>
            <w:r w:rsidRPr="001E6C40">
              <w:rPr>
                <w:b/>
                <w:i w:val="0"/>
                <w:sz w:val="18"/>
                <w:szCs w:val="18"/>
                <w:lang w:eastAsia="en-GB"/>
              </w:rPr>
              <w:t xml:space="preserve">. </w:t>
            </w:r>
            <w:r w:rsidRPr="0070773C">
              <w:rPr>
                <w:b/>
                <w:i w:val="0"/>
                <w:sz w:val="18"/>
                <w:szCs w:val="18"/>
                <w:lang w:eastAsia="en-GB"/>
              </w:rPr>
              <w:t xml:space="preserve">Lorenz and concentration curves </w:t>
            </w:r>
            <w:r>
              <w:rPr>
                <w:b/>
                <w:i w:val="0"/>
                <w:sz w:val="18"/>
                <w:szCs w:val="18"/>
                <w:lang w:eastAsia="en-GB"/>
              </w:rPr>
              <w:t>for</w:t>
            </w:r>
            <w:r w:rsidRPr="0070773C">
              <w:rPr>
                <w:b/>
                <w:i w:val="0"/>
                <w:sz w:val="18"/>
                <w:szCs w:val="18"/>
                <w:lang w:eastAsia="en-GB"/>
              </w:rPr>
              <w:t xml:space="preserve"> per capita market income</w:t>
            </w:r>
            <w:r w:rsidR="0047338F" w:rsidRPr="0070773C">
              <w:rPr>
                <w:b/>
                <w:i w:val="0"/>
                <w:sz w:val="18"/>
                <w:szCs w:val="18"/>
                <w:lang w:eastAsia="en-GB"/>
              </w:rPr>
              <w:t xml:space="preserve"> </w:t>
            </w:r>
            <w:r w:rsidRPr="0070773C">
              <w:rPr>
                <w:b/>
                <w:i w:val="0"/>
                <w:sz w:val="18"/>
                <w:szCs w:val="18"/>
                <w:lang w:eastAsia="en-GB"/>
              </w:rPr>
              <w:t xml:space="preserve">and </w:t>
            </w:r>
            <w:r w:rsidR="00994E7B">
              <w:rPr>
                <w:b/>
                <w:i w:val="0"/>
                <w:sz w:val="18"/>
                <w:szCs w:val="18"/>
                <w:lang w:eastAsia="en-GB"/>
              </w:rPr>
              <w:t>in-kind health transfer</w:t>
            </w:r>
            <w:r w:rsidRPr="0070773C">
              <w:rPr>
                <w:b/>
                <w:i w:val="0"/>
                <w:sz w:val="18"/>
                <w:szCs w:val="18"/>
                <w:lang w:eastAsia="en-GB"/>
              </w:rPr>
              <w:t xml:space="preserve"> and share </w:t>
            </w:r>
            <w:r>
              <w:rPr>
                <w:b/>
                <w:i w:val="0"/>
                <w:sz w:val="18"/>
                <w:szCs w:val="18"/>
                <w:lang w:eastAsia="en-GB"/>
              </w:rPr>
              <w:t xml:space="preserve">of </w:t>
            </w:r>
            <w:r w:rsidR="00994E7B">
              <w:rPr>
                <w:b/>
                <w:i w:val="0"/>
                <w:sz w:val="18"/>
                <w:szCs w:val="18"/>
                <w:lang w:eastAsia="en-GB"/>
              </w:rPr>
              <w:t>in-kind health transfer</w:t>
            </w:r>
            <w:r w:rsidRPr="0070773C">
              <w:rPr>
                <w:b/>
                <w:i w:val="0"/>
                <w:sz w:val="18"/>
                <w:szCs w:val="18"/>
                <w:lang w:eastAsia="en-GB"/>
              </w:rPr>
              <w:t xml:space="preserve"> in </w:t>
            </w:r>
            <w:r>
              <w:rPr>
                <w:b/>
                <w:i w:val="0"/>
                <w:sz w:val="18"/>
                <w:szCs w:val="18"/>
                <w:lang w:eastAsia="en-GB"/>
              </w:rPr>
              <w:t xml:space="preserve">total </w:t>
            </w:r>
            <w:r w:rsidRPr="0070773C">
              <w:rPr>
                <w:b/>
                <w:i w:val="0"/>
                <w:sz w:val="18"/>
                <w:szCs w:val="18"/>
                <w:lang w:eastAsia="en-GB"/>
              </w:rPr>
              <w:t>market income</w:t>
            </w:r>
            <w:r w:rsidR="0047338F" w:rsidRPr="0070773C">
              <w:rPr>
                <w:b/>
                <w:i w:val="0"/>
                <w:sz w:val="18"/>
                <w:szCs w:val="18"/>
                <w:lang w:eastAsia="en-GB"/>
              </w:rPr>
              <w:t xml:space="preserve"> </w:t>
            </w:r>
            <w:r w:rsidRPr="0070773C">
              <w:rPr>
                <w:b/>
                <w:i w:val="0"/>
                <w:sz w:val="18"/>
                <w:szCs w:val="18"/>
                <w:lang w:eastAsia="en-GB"/>
              </w:rPr>
              <w:t>by quintile.</w:t>
            </w:r>
            <w:bookmarkEnd w:id="105"/>
          </w:p>
        </w:tc>
      </w:tr>
      <w:tr w:rsidR="00F13CBA" w14:paraId="5552F201" w14:textId="77777777" w:rsidTr="00855877">
        <w:trPr>
          <w:cantSplit/>
        </w:trPr>
        <w:tc>
          <w:tcPr>
            <w:tcW w:w="4680" w:type="dxa"/>
            <w:hideMark/>
          </w:tcPr>
          <w:p w14:paraId="16B573F1" w14:textId="1DF0DD0D" w:rsidR="00F13CBA" w:rsidRDefault="00F13CBA" w:rsidP="00855877">
            <w:pPr>
              <w:widowControl w:val="0"/>
              <w:jc w:val="center"/>
              <w:rPr>
                <w:rFonts w:cs="Times New Roman"/>
                <w:b/>
                <w:sz w:val="18"/>
                <w:szCs w:val="18"/>
                <w:lang w:eastAsia="en-GB"/>
              </w:rPr>
            </w:pPr>
            <w:r>
              <w:rPr>
                <w:rFonts w:cs="Times New Roman"/>
                <w:b/>
                <w:sz w:val="18"/>
                <w:szCs w:val="18"/>
                <w:lang w:eastAsia="en-GB"/>
              </w:rPr>
              <w:t xml:space="preserve">a. </w:t>
            </w:r>
            <w:r w:rsidRPr="00D60C8A">
              <w:rPr>
                <w:rFonts w:cs="Times New Roman"/>
                <w:b/>
                <w:sz w:val="18"/>
                <w:szCs w:val="18"/>
                <w:lang w:eastAsia="en-GB"/>
              </w:rPr>
              <w:t xml:space="preserve">Lorenz and concentration curve </w:t>
            </w:r>
            <w:r>
              <w:rPr>
                <w:rFonts w:cs="Times New Roman"/>
                <w:b/>
                <w:sz w:val="18"/>
                <w:szCs w:val="18"/>
                <w:lang w:eastAsia="en-GB"/>
              </w:rPr>
              <w:t>for</w:t>
            </w:r>
            <w:r w:rsidRPr="00D60C8A">
              <w:rPr>
                <w:rFonts w:cs="Times New Roman"/>
                <w:b/>
                <w:sz w:val="18"/>
                <w:szCs w:val="18"/>
                <w:lang w:eastAsia="en-GB"/>
              </w:rPr>
              <w:t xml:space="preserve"> </w:t>
            </w:r>
            <w:r w:rsidR="00994E7B" w:rsidRPr="00CE4B59">
              <w:rPr>
                <w:rFonts w:cs="Times New Roman"/>
                <w:b/>
                <w:sz w:val="18"/>
                <w:szCs w:val="18"/>
                <w:lang w:eastAsia="en-GB"/>
              </w:rPr>
              <w:t>in-kind health transfer</w:t>
            </w:r>
            <w:r w:rsidRPr="00D1437E">
              <w:rPr>
                <w:rFonts w:cs="Times New Roman"/>
                <w:b/>
                <w:sz w:val="18"/>
                <w:szCs w:val="18"/>
                <w:lang w:eastAsia="en-GB"/>
              </w:rPr>
              <w:t xml:space="preserve"> </w:t>
            </w:r>
            <w:r w:rsidRPr="00D60C8A">
              <w:rPr>
                <w:rFonts w:cs="Times New Roman"/>
                <w:b/>
                <w:sz w:val="18"/>
                <w:szCs w:val="18"/>
                <w:lang w:eastAsia="en-GB"/>
              </w:rPr>
              <w:t>and market income</w:t>
            </w:r>
          </w:p>
        </w:tc>
        <w:tc>
          <w:tcPr>
            <w:tcW w:w="4680" w:type="dxa"/>
            <w:hideMark/>
          </w:tcPr>
          <w:p w14:paraId="4A2DAD02" w14:textId="68DB9BA1" w:rsidR="00F13CBA" w:rsidRDefault="00F13CBA" w:rsidP="00855877">
            <w:pPr>
              <w:widowControl w:val="0"/>
              <w:jc w:val="center"/>
              <w:rPr>
                <w:rFonts w:cs="Times New Roman"/>
                <w:b/>
                <w:sz w:val="18"/>
                <w:szCs w:val="18"/>
                <w:lang w:eastAsia="en-GB"/>
              </w:rPr>
            </w:pPr>
            <w:r>
              <w:rPr>
                <w:rFonts w:cs="Times New Roman"/>
                <w:b/>
                <w:sz w:val="18"/>
                <w:szCs w:val="18"/>
                <w:lang w:eastAsia="en-GB"/>
              </w:rPr>
              <w:t xml:space="preserve">b. </w:t>
            </w:r>
            <w:r w:rsidRPr="00F2330A">
              <w:rPr>
                <w:rFonts w:cs="Times New Roman"/>
                <w:b/>
                <w:sz w:val="18"/>
                <w:szCs w:val="18"/>
                <w:lang w:eastAsia="en-GB"/>
              </w:rPr>
              <w:t xml:space="preserve">Share of </w:t>
            </w:r>
            <w:r w:rsidR="00994E7B" w:rsidRPr="00CE4B59">
              <w:rPr>
                <w:rFonts w:cs="Times New Roman"/>
                <w:b/>
                <w:sz w:val="18"/>
                <w:szCs w:val="18"/>
                <w:lang w:eastAsia="en-GB"/>
              </w:rPr>
              <w:t>in-kind health transfer</w:t>
            </w:r>
            <w:r w:rsidRPr="00D1437E">
              <w:rPr>
                <w:rFonts w:cs="Times New Roman"/>
                <w:b/>
                <w:sz w:val="18"/>
                <w:szCs w:val="18"/>
                <w:lang w:eastAsia="en-GB"/>
              </w:rPr>
              <w:t xml:space="preserve"> </w:t>
            </w:r>
            <w:r w:rsidRPr="00F2330A">
              <w:rPr>
                <w:rFonts w:cs="Times New Roman"/>
                <w:b/>
                <w:sz w:val="18"/>
                <w:szCs w:val="18"/>
                <w:lang w:eastAsia="en-GB"/>
              </w:rPr>
              <w:t>in</w:t>
            </w:r>
            <w:r w:rsidR="00A27127">
              <w:rPr>
                <w:rFonts w:cs="Times New Roman"/>
                <w:b/>
                <w:sz w:val="18"/>
                <w:szCs w:val="18"/>
                <w:lang w:eastAsia="en-GB"/>
              </w:rPr>
              <w:t xml:space="preserve"> household</w:t>
            </w:r>
            <w:r w:rsidRPr="00F2330A">
              <w:rPr>
                <w:rFonts w:cs="Times New Roman"/>
                <w:b/>
                <w:sz w:val="18"/>
                <w:szCs w:val="18"/>
                <w:lang w:eastAsia="en-GB"/>
              </w:rPr>
              <w:t xml:space="preserve"> </w:t>
            </w:r>
            <w:r>
              <w:rPr>
                <w:rFonts w:cs="Times New Roman"/>
                <w:b/>
                <w:sz w:val="18"/>
                <w:szCs w:val="18"/>
                <w:lang w:eastAsia="en-GB"/>
              </w:rPr>
              <w:t>market income</w:t>
            </w:r>
            <w:r w:rsidRPr="00F2330A">
              <w:rPr>
                <w:rFonts w:cs="Times New Roman"/>
                <w:b/>
                <w:sz w:val="18"/>
                <w:szCs w:val="18"/>
                <w:lang w:eastAsia="en-GB"/>
              </w:rPr>
              <w:t xml:space="preserve"> by quintile</w:t>
            </w:r>
          </w:p>
        </w:tc>
      </w:tr>
      <w:tr w:rsidR="00F13CBA" w14:paraId="7403CCBB" w14:textId="77777777" w:rsidTr="00855877">
        <w:trPr>
          <w:cantSplit/>
        </w:trPr>
        <w:tc>
          <w:tcPr>
            <w:tcW w:w="4680" w:type="dxa"/>
            <w:tcMar>
              <w:top w:w="0" w:type="dxa"/>
              <w:left w:w="108" w:type="dxa"/>
              <w:bottom w:w="0" w:type="dxa"/>
              <w:right w:w="108" w:type="dxa"/>
            </w:tcMar>
            <w:hideMark/>
          </w:tcPr>
          <w:p w14:paraId="6A1AE6C1" w14:textId="43C30AB6" w:rsidR="00F13CBA" w:rsidRDefault="006E6FFA" w:rsidP="00855877">
            <w:pPr>
              <w:spacing w:after="120"/>
              <w:rPr>
                <w:rFonts w:cs="Times New Roman"/>
                <w:sz w:val="16"/>
                <w:szCs w:val="16"/>
              </w:rPr>
            </w:pPr>
            <w:r>
              <w:rPr>
                <w:rFonts w:cs="Times New Roman"/>
                <w:noProof/>
                <w:sz w:val="16"/>
                <w:szCs w:val="16"/>
              </w:rPr>
              <w:drawing>
                <wp:inline distT="0" distB="0" distL="0" distR="0" wp14:anchorId="2C7EB8AB" wp14:editId="0132B3BE">
                  <wp:extent cx="2779776" cy="192938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3.12.A._Lorenz_and_concentration_curve_for_in-kind_health_transfer_and_market_income.png"/>
                          <pic:cNvPicPr/>
                        </pic:nvPicPr>
                        <pic:blipFill rotWithShape="1">
                          <a:blip r:embed="rId31" cstate="print">
                            <a:extLst>
                              <a:ext uri="{28A0092B-C50C-407E-A947-70E740481C1C}">
                                <a14:useLocalDpi xmlns:a14="http://schemas.microsoft.com/office/drawing/2010/main" val="0"/>
                              </a:ext>
                            </a:extLst>
                          </a:blip>
                          <a:srcRect l="14516" r="14516"/>
                          <a:stretch/>
                        </pic:blipFill>
                        <pic:spPr bwMode="auto">
                          <a:xfrm>
                            <a:off x="0" y="0"/>
                            <a:ext cx="2779776" cy="192938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Mar>
              <w:top w:w="0" w:type="dxa"/>
              <w:left w:w="108" w:type="dxa"/>
              <w:bottom w:w="0" w:type="dxa"/>
              <w:right w:w="108" w:type="dxa"/>
            </w:tcMar>
            <w:hideMark/>
          </w:tcPr>
          <w:p w14:paraId="25136483" w14:textId="1FA3DA9E" w:rsidR="00F13CBA" w:rsidRDefault="00692D24" w:rsidP="00855877">
            <w:pPr>
              <w:spacing w:after="120"/>
              <w:rPr>
                <w:rFonts w:cs="Times New Roman"/>
                <w:sz w:val="16"/>
                <w:szCs w:val="16"/>
              </w:rPr>
            </w:pPr>
            <w:r>
              <w:rPr>
                <w:rFonts w:cs="Times New Roman"/>
                <w:noProof/>
                <w:sz w:val="16"/>
                <w:szCs w:val="16"/>
              </w:rPr>
              <w:drawing>
                <wp:inline distT="0" distB="0" distL="0" distR="0" wp14:anchorId="6C06B078" wp14:editId="4DD2B4A6">
                  <wp:extent cx="2834640" cy="1889760"/>
                  <wp:effectExtent l="0" t="0" r="3810" b="0"/>
                  <wp:docPr id="56" name="Picture 56"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3.12.B._Share_of_in-kind_health_transfer_in_total_market_income_by_quintile.png"/>
                          <pic:cNvPicPr/>
                        </pic:nvPicPr>
                        <pic:blipFill>
                          <a:blip r:embed="rId32">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r>
      <w:tr w:rsidR="002626A1" w14:paraId="0BF8B24E" w14:textId="77777777" w:rsidTr="00855877">
        <w:trPr>
          <w:cantSplit/>
        </w:trPr>
        <w:tc>
          <w:tcPr>
            <w:tcW w:w="4680" w:type="dxa"/>
            <w:tcMar>
              <w:top w:w="0" w:type="dxa"/>
              <w:left w:w="108" w:type="dxa"/>
              <w:bottom w:w="0" w:type="dxa"/>
              <w:right w:w="108" w:type="dxa"/>
            </w:tcMar>
          </w:tcPr>
          <w:p w14:paraId="66B5EE07" w14:textId="453F8B70" w:rsidR="002626A1" w:rsidRDefault="002626A1" w:rsidP="00855877">
            <w:pPr>
              <w:spacing w:after="120"/>
              <w:rPr>
                <w:rFonts w:cs="Times New Roman"/>
                <w:noProof/>
                <w:sz w:val="16"/>
                <w:szCs w:val="16"/>
              </w:rPr>
            </w:pPr>
            <w:r>
              <w:rPr>
                <w:rFonts w:cs="Times New Roman"/>
                <w:b/>
                <w:sz w:val="18"/>
                <w:szCs w:val="18"/>
                <w:lang w:eastAsia="en-GB"/>
              </w:rPr>
              <w:t xml:space="preserve">c. </w:t>
            </w:r>
            <w:r w:rsidRPr="00F2330A">
              <w:rPr>
                <w:rFonts w:cs="Times New Roman"/>
                <w:b/>
                <w:sz w:val="18"/>
                <w:szCs w:val="18"/>
                <w:lang w:eastAsia="en-GB"/>
              </w:rPr>
              <w:t xml:space="preserve">Share of </w:t>
            </w:r>
            <w:r w:rsidR="004121D0">
              <w:rPr>
                <w:rFonts w:cs="Times New Roman"/>
                <w:b/>
                <w:sz w:val="18"/>
                <w:szCs w:val="18"/>
                <w:lang w:eastAsia="en-GB"/>
              </w:rPr>
              <w:t>population that reports to typically use only private health services</w:t>
            </w:r>
            <w:r w:rsidRPr="00F2330A">
              <w:rPr>
                <w:rFonts w:cs="Times New Roman"/>
                <w:b/>
                <w:sz w:val="18"/>
                <w:szCs w:val="18"/>
                <w:lang w:eastAsia="en-GB"/>
              </w:rPr>
              <w:t xml:space="preserve"> by quintile</w:t>
            </w:r>
          </w:p>
        </w:tc>
        <w:tc>
          <w:tcPr>
            <w:tcW w:w="4680" w:type="dxa"/>
            <w:tcMar>
              <w:top w:w="0" w:type="dxa"/>
              <w:left w:w="108" w:type="dxa"/>
              <w:bottom w:w="0" w:type="dxa"/>
              <w:right w:w="108" w:type="dxa"/>
            </w:tcMar>
          </w:tcPr>
          <w:p w14:paraId="6C797E8C" w14:textId="77777777" w:rsidR="002626A1" w:rsidRDefault="002626A1" w:rsidP="00855877">
            <w:pPr>
              <w:spacing w:after="120"/>
              <w:rPr>
                <w:rFonts w:cs="Times New Roman"/>
                <w:noProof/>
                <w:sz w:val="16"/>
                <w:szCs w:val="16"/>
              </w:rPr>
            </w:pPr>
          </w:p>
        </w:tc>
      </w:tr>
      <w:tr w:rsidR="002626A1" w14:paraId="2ACA0ED3" w14:textId="77777777" w:rsidTr="00855877">
        <w:trPr>
          <w:cantSplit/>
        </w:trPr>
        <w:tc>
          <w:tcPr>
            <w:tcW w:w="4680" w:type="dxa"/>
            <w:tcMar>
              <w:top w:w="0" w:type="dxa"/>
              <w:left w:w="108" w:type="dxa"/>
              <w:bottom w:w="0" w:type="dxa"/>
              <w:right w:w="108" w:type="dxa"/>
            </w:tcMar>
          </w:tcPr>
          <w:p w14:paraId="7185FA21" w14:textId="51F5D92A" w:rsidR="002626A1" w:rsidRDefault="00692D24" w:rsidP="00855877">
            <w:pPr>
              <w:spacing w:after="120"/>
              <w:rPr>
                <w:rFonts w:cs="Times New Roman"/>
                <w:noProof/>
                <w:sz w:val="16"/>
                <w:szCs w:val="16"/>
              </w:rPr>
            </w:pPr>
            <w:r>
              <w:rPr>
                <w:rFonts w:cs="Times New Roman"/>
                <w:noProof/>
                <w:sz w:val="16"/>
                <w:szCs w:val="16"/>
              </w:rPr>
              <w:drawing>
                <wp:inline distT="0" distB="0" distL="0" distR="0" wp14:anchorId="5F9912AC" wp14:editId="5E8C7D23">
                  <wp:extent cx="2834640" cy="188976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_3.12.C.Share_private_health_by_quintile.png"/>
                          <pic:cNvPicPr/>
                        </pic:nvPicPr>
                        <pic:blipFill>
                          <a:blip r:embed="rId33">
                            <a:extLst>
                              <a:ext uri="{28A0092B-C50C-407E-A947-70E740481C1C}">
                                <a14:useLocalDpi xmlns:a14="http://schemas.microsoft.com/office/drawing/2010/main" val="0"/>
                              </a:ext>
                            </a:extLst>
                          </a:blip>
                          <a:stretch>
                            <a:fillRect/>
                          </a:stretch>
                        </pic:blipFill>
                        <pic:spPr>
                          <a:xfrm>
                            <a:off x="0" y="0"/>
                            <a:ext cx="2834640" cy="1889760"/>
                          </a:xfrm>
                          <a:prstGeom prst="rect">
                            <a:avLst/>
                          </a:prstGeom>
                        </pic:spPr>
                      </pic:pic>
                    </a:graphicData>
                  </a:graphic>
                </wp:inline>
              </w:drawing>
            </w:r>
          </w:p>
        </w:tc>
        <w:tc>
          <w:tcPr>
            <w:tcW w:w="4680" w:type="dxa"/>
            <w:tcMar>
              <w:top w:w="0" w:type="dxa"/>
              <w:left w:w="108" w:type="dxa"/>
              <w:bottom w:w="0" w:type="dxa"/>
              <w:right w:w="108" w:type="dxa"/>
            </w:tcMar>
          </w:tcPr>
          <w:p w14:paraId="3BD9BA3A" w14:textId="77777777" w:rsidR="002626A1" w:rsidRDefault="002626A1" w:rsidP="00855877">
            <w:pPr>
              <w:spacing w:after="120"/>
              <w:rPr>
                <w:rFonts w:cs="Times New Roman"/>
                <w:noProof/>
                <w:sz w:val="16"/>
                <w:szCs w:val="16"/>
              </w:rPr>
            </w:pPr>
          </w:p>
        </w:tc>
      </w:tr>
      <w:tr w:rsidR="00F13CBA" w14:paraId="3D42B131" w14:textId="77777777" w:rsidTr="00855877">
        <w:trPr>
          <w:cantSplit/>
        </w:trPr>
        <w:tc>
          <w:tcPr>
            <w:tcW w:w="9360" w:type="dxa"/>
            <w:gridSpan w:val="2"/>
            <w:tcMar>
              <w:top w:w="0" w:type="dxa"/>
              <w:left w:w="108" w:type="dxa"/>
              <w:bottom w:w="0" w:type="dxa"/>
              <w:right w:w="108" w:type="dxa"/>
            </w:tcMar>
            <w:hideMark/>
          </w:tcPr>
          <w:p w14:paraId="50D2054A" w14:textId="77777777" w:rsidR="00F13CBA" w:rsidRDefault="00F13CBA" w:rsidP="00855877">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2421BC54" w14:textId="1C5FD9CF" w:rsidR="00F13CBA" w:rsidRPr="00767FF8" w:rsidRDefault="00F13CBA" w:rsidP="00855877">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5E3027">
              <w:rPr>
                <w:rFonts w:cs="Times New Roman"/>
                <w:sz w:val="18"/>
                <w:szCs w:val="18"/>
              </w:rPr>
              <w:t xml:space="preserve">(1) </w:t>
            </w:r>
            <w:r w:rsidR="005E3027" w:rsidRPr="00767FF8">
              <w:rPr>
                <w:rFonts w:cs="Times New Roman"/>
                <w:sz w:val="18"/>
                <w:szCs w:val="18"/>
              </w:rPr>
              <w:t>Market inco</w:t>
            </w:r>
            <w:r w:rsidR="005E3027" w:rsidRPr="00793B42">
              <w:rPr>
                <w:rFonts w:cs="Times New Roman"/>
                <w:sz w:val="18"/>
                <w:szCs w:val="18"/>
              </w:rPr>
              <w:t xml:space="preserve">me </w:t>
            </w:r>
            <w:r w:rsidR="005E3027">
              <w:rPr>
                <w:rFonts w:cs="Times New Roman"/>
                <w:sz w:val="18"/>
                <w:szCs w:val="18"/>
              </w:rPr>
              <w:t xml:space="preserve">refers to market income </w:t>
            </w:r>
            <w:r w:rsidR="005E3027" w:rsidRPr="00793B42">
              <w:rPr>
                <w:rFonts w:cs="Times New Roman"/>
                <w:sz w:val="18"/>
                <w:szCs w:val="18"/>
              </w:rPr>
              <w:t xml:space="preserve">plus pensions </w:t>
            </w:r>
            <w:r w:rsidR="005E3027">
              <w:rPr>
                <w:rFonts w:cs="Times New Roman"/>
                <w:sz w:val="18"/>
                <w:szCs w:val="18"/>
              </w:rPr>
              <w:t xml:space="preserve">and </w:t>
            </w:r>
            <w:r w:rsidR="005E3027" w:rsidRPr="00793B42">
              <w:rPr>
                <w:rFonts w:cs="Times New Roman"/>
                <w:sz w:val="18"/>
                <w:szCs w:val="18"/>
              </w:rPr>
              <w:t>comprises pretax wages, salaries, income earned from capital assets (rent, interest, or dividends), contributory pensions, and private transfers.</w:t>
            </w:r>
            <w:r w:rsidR="005E3027">
              <w:rPr>
                <w:rFonts w:cs="Times New Roman"/>
                <w:sz w:val="18"/>
                <w:szCs w:val="18"/>
              </w:rPr>
              <w:t xml:space="preserve"> (2) </w:t>
            </w:r>
            <w:r w:rsidR="005E3027" w:rsidRPr="007D5AD4">
              <w:rPr>
                <w:rFonts w:cs="Times New Roman"/>
                <w:sz w:val="18"/>
                <w:szCs w:val="18"/>
              </w:rPr>
              <w:t>95</w:t>
            </w:r>
            <w:r w:rsidR="005E3027">
              <w:rPr>
                <w:rFonts w:cs="Times New Roman"/>
                <w:sz w:val="18"/>
                <w:szCs w:val="18"/>
              </w:rPr>
              <w:t xml:space="preserve"> </w:t>
            </w:r>
            <w:r w:rsidR="005E3027" w:rsidRPr="007D5AD4">
              <w:rPr>
                <w:rFonts w:cs="Times New Roman"/>
                <w:sz w:val="18"/>
                <w:szCs w:val="18"/>
              </w:rPr>
              <w:t xml:space="preserve">percent confidence intervals </w:t>
            </w:r>
            <w:r w:rsidR="005E3027">
              <w:rPr>
                <w:rFonts w:cs="Times New Roman"/>
                <w:sz w:val="18"/>
                <w:szCs w:val="18"/>
              </w:rPr>
              <w:t>displayed</w:t>
            </w:r>
            <w:r w:rsidR="005E3027" w:rsidRPr="007D5AD4">
              <w:rPr>
                <w:rFonts w:cs="Times New Roman"/>
                <w:sz w:val="18"/>
                <w:szCs w:val="18"/>
              </w:rPr>
              <w:t xml:space="preserve"> in panel (b)</w:t>
            </w:r>
            <w:r w:rsidR="005E3027">
              <w:rPr>
                <w:rFonts w:cs="Times New Roman"/>
                <w:sz w:val="18"/>
                <w:szCs w:val="18"/>
              </w:rPr>
              <w:t>.</w:t>
            </w:r>
          </w:p>
        </w:tc>
      </w:tr>
    </w:tbl>
    <w:p w14:paraId="7CE5A90D" w14:textId="77777777" w:rsidR="00D96EE7" w:rsidRPr="00736A12" w:rsidRDefault="00D96EE7" w:rsidP="00736A12">
      <w:pPr>
        <w:rPr>
          <w:rFonts w:asciiTheme="majorHAnsi" w:hAnsiTheme="majorHAnsi" w:cstheme="majorHAnsi"/>
          <w:szCs w:val="22"/>
        </w:rPr>
      </w:pPr>
    </w:p>
    <w:p w14:paraId="7766D780" w14:textId="1586750F" w:rsidR="00E97CC3" w:rsidRPr="001D6247" w:rsidRDefault="00A968DB" w:rsidP="001D6247">
      <w:pPr>
        <w:rPr>
          <w:rFonts w:asciiTheme="majorHAnsi" w:hAnsiTheme="majorHAnsi" w:cstheme="majorHAnsi"/>
          <w:szCs w:val="22"/>
        </w:rPr>
      </w:pPr>
      <w:r w:rsidRPr="00D13C55">
        <w:rPr>
          <w:b/>
        </w:rPr>
        <w:t xml:space="preserve">However, </w:t>
      </w:r>
      <w:r w:rsidR="000E04E2">
        <w:rPr>
          <w:b/>
        </w:rPr>
        <w:t>the</w:t>
      </w:r>
      <w:r w:rsidR="004226EF" w:rsidRPr="00D13C55">
        <w:rPr>
          <w:b/>
        </w:rPr>
        <w:t xml:space="preserve"> </w:t>
      </w:r>
      <w:r w:rsidR="00665FE3">
        <w:rPr>
          <w:b/>
        </w:rPr>
        <w:t>increase</w:t>
      </w:r>
      <w:r w:rsidR="00555D8D">
        <w:rPr>
          <w:b/>
        </w:rPr>
        <w:t xml:space="preserve"> in access to</w:t>
      </w:r>
      <w:r w:rsidR="004226EF" w:rsidRPr="00D13C55">
        <w:rPr>
          <w:b/>
        </w:rPr>
        <w:t xml:space="preserve"> private sector</w:t>
      </w:r>
      <w:r w:rsidR="00A21490" w:rsidRPr="00D13C55">
        <w:rPr>
          <w:b/>
        </w:rPr>
        <w:t xml:space="preserve"> </w:t>
      </w:r>
      <w:r w:rsidR="00555D8D">
        <w:rPr>
          <w:b/>
        </w:rPr>
        <w:t>health care</w:t>
      </w:r>
      <w:r w:rsidR="00A21490" w:rsidRPr="00D13C55">
        <w:rPr>
          <w:b/>
        </w:rPr>
        <w:t xml:space="preserve"> might pose financial strain </w:t>
      </w:r>
      <w:r w:rsidR="00F213E4">
        <w:rPr>
          <w:b/>
        </w:rPr>
        <w:t>on living standards of</w:t>
      </w:r>
      <w:r w:rsidR="00A21490" w:rsidRPr="00D13C55">
        <w:rPr>
          <w:b/>
        </w:rPr>
        <w:t xml:space="preserve"> the po</w:t>
      </w:r>
      <w:r w:rsidR="00CC6CC3" w:rsidRPr="00D13C55">
        <w:rPr>
          <w:b/>
        </w:rPr>
        <w:t>orest.</w:t>
      </w:r>
      <w:r w:rsidR="00CC6CC3" w:rsidRPr="00D13C55">
        <w:t xml:space="preserve"> </w:t>
      </w:r>
      <w:r w:rsidR="00BD15F6" w:rsidRPr="00D13C55">
        <w:t>In</w:t>
      </w:r>
      <w:r w:rsidR="004A2362" w:rsidRPr="00D13C55">
        <w:t xml:space="preserve"> </w:t>
      </w:r>
      <w:r w:rsidRPr="00D13C55">
        <w:t xml:space="preserve">2007 </w:t>
      </w:r>
      <w:r w:rsidR="00BD15F6" w:rsidRPr="00D13C55">
        <w:t>p</w:t>
      </w:r>
      <w:r w:rsidRPr="00D13C55">
        <w:t xml:space="preserve">rivate </w:t>
      </w:r>
      <w:r w:rsidR="00BD15F6" w:rsidRPr="00D13C55">
        <w:t>h</w:t>
      </w:r>
      <w:r w:rsidRPr="00D13C55">
        <w:t xml:space="preserve">ealth </w:t>
      </w:r>
      <w:r w:rsidR="00BD15F6" w:rsidRPr="00D13C55">
        <w:t>e</w:t>
      </w:r>
      <w:r w:rsidRPr="00D13C55">
        <w:t>xpenditure</w:t>
      </w:r>
      <w:r w:rsidR="00736A12" w:rsidRPr="00D13C55">
        <w:t xml:space="preserve"> </w:t>
      </w:r>
      <w:r w:rsidRPr="00D13C55">
        <w:t xml:space="preserve">surpassed </w:t>
      </w:r>
      <w:r w:rsidR="00BD15F6" w:rsidRPr="00D13C55">
        <w:t>public health e</w:t>
      </w:r>
      <w:r w:rsidRPr="00D13C55">
        <w:t>xpenditure</w:t>
      </w:r>
      <w:r w:rsidR="00BD15F6" w:rsidRPr="00D13C55">
        <w:t xml:space="preserve"> and </w:t>
      </w:r>
      <w:r w:rsidR="00A861FF" w:rsidRPr="00D13C55">
        <w:t xml:space="preserve">the </w:t>
      </w:r>
      <w:r w:rsidR="00235778">
        <w:t xml:space="preserve">gap </w:t>
      </w:r>
      <w:r w:rsidR="00A861FF" w:rsidRPr="00D13C55">
        <w:t xml:space="preserve">has </w:t>
      </w:r>
      <w:r w:rsidR="00235778">
        <w:t xml:space="preserve">expanded </w:t>
      </w:r>
      <w:r w:rsidR="00A861FF" w:rsidRPr="00D13C55">
        <w:t>ever since.</w:t>
      </w:r>
      <w:r w:rsidRPr="00D13C55">
        <w:t xml:space="preserve"> </w:t>
      </w:r>
      <w:r w:rsidR="00A861FF" w:rsidRPr="00D13C55">
        <w:t xml:space="preserve">Private health expenditure </w:t>
      </w:r>
      <w:r w:rsidRPr="00D13C55">
        <w:t>is predominately out of pocket with only 3.4</w:t>
      </w:r>
      <w:r w:rsidR="00A861FF" w:rsidRPr="00D13C55">
        <w:t xml:space="preserve"> percent</w:t>
      </w:r>
      <w:r w:rsidR="002515AD" w:rsidRPr="00D13C55">
        <w:t xml:space="preserve"> paid for by</w:t>
      </w:r>
      <w:r w:rsidRPr="00D13C55">
        <w:t xml:space="preserve"> private insurance</w:t>
      </w:r>
      <w:r w:rsidR="002515AD" w:rsidRPr="00D13C55">
        <w:t xml:space="preserve"> (Nundoochan et al 2018)</w:t>
      </w:r>
      <w:r w:rsidRPr="00D13C55">
        <w:t xml:space="preserve">. In </w:t>
      </w:r>
      <w:r w:rsidR="002515AD" w:rsidRPr="00D13C55">
        <w:t xml:space="preserve">addition, catastrophic heath expenditure </w:t>
      </w:r>
      <w:r w:rsidR="003B6FAF" w:rsidRPr="00D13C55">
        <w:t>increased from 5.8</w:t>
      </w:r>
      <w:r w:rsidR="008F10E7">
        <w:t xml:space="preserve"> percent</w:t>
      </w:r>
      <w:r w:rsidR="003B6FAF" w:rsidRPr="00D13C55">
        <w:t xml:space="preserve"> in 2001/02 to 8.8</w:t>
      </w:r>
      <w:r w:rsidR="008F10E7">
        <w:t xml:space="preserve"> percent</w:t>
      </w:r>
      <w:r w:rsidR="003B6FAF" w:rsidRPr="00D13C55">
        <w:t xml:space="preserve"> in 2012.</w:t>
      </w:r>
      <w:r w:rsidR="00D904E4">
        <w:rPr>
          <w:rStyle w:val="FootnoteReference"/>
        </w:rPr>
        <w:footnoteReference w:id="17"/>
      </w:r>
      <w:r w:rsidR="00A40C57">
        <w:t xml:space="preserve"> </w:t>
      </w:r>
      <w:r w:rsidR="00D946F5" w:rsidRPr="00555D8D">
        <w:rPr>
          <w:rFonts w:asciiTheme="majorHAnsi" w:hAnsiTheme="majorHAnsi" w:cstheme="majorHAnsi"/>
          <w:szCs w:val="22"/>
        </w:rPr>
        <w:t>H</w:t>
      </w:r>
      <w:r w:rsidR="00E165FC" w:rsidRPr="00555D8D">
        <w:rPr>
          <w:rFonts w:asciiTheme="majorHAnsi" w:hAnsiTheme="majorHAnsi" w:cstheme="majorHAnsi"/>
          <w:color w:val="131413"/>
          <w:szCs w:val="22"/>
        </w:rPr>
        <w:t>ousehold</w:t>
      </w:r>
      <w:r w:rsidR="00D946F5" w:rsidRPr="00555D8D">
        <w:rPr>
          <w:rFonts w:asciiTheme="majorHAnsi" w:hAnsiTheme="majorHAnsi" w:cstheme="majorHAnsi"/>
          <w:color w:val="131413"/>
          <w:szCs w:val="22"/>
        </w:rPr>
        <w:t>s</w:t>
      </w:r>
      <w:r w:rsidR="00E165FC" w:rsidRPr="00555D8D">
        <w:rPr>
          <w:rFonts w:asciiTheme="majorHAnsi" w:hAnsiTheme="majorHAnsi" w:cstheme="majorHAnsi"/>
          <w:color w:val="131413"/>
          <w:szCs w:val="22"/>
        </w:rPr>
        <w:t xml:space="preserve"> </w:t>
      </w:r>
      <w:r w:rsidR="00D946F5" w:rsidRPr="00555D8D">
        <w:rPr>
          <w:rFonts w:asciiTheme="majorHAnsi" w:hAnsiTheme="majorHAnsi" w:cstheme="majorHAnsi"/>
          <w:color w:val="131413"/>
          <w:szCs w:val="22"/>
        </w:rPr>
        <w:t>headed by</w:t>
      </w:r>
      <w:r w:rsidR="001E3AC4" w:rsidRPr="00555D8D">
        <w:rPr>
          <w:rFonts w:asciiTheme="majorHAnsi" w:hAnsiTheme="majorHAnsi" w:cstheme="majorHAnsi"/>
          <w:color w:val="131413"/>
          <w:szCs w:val="22"/>
        </w:rPr>
        <w:t xml:space="preserve"> a retired head and those </w:t>
      </w:r>
      <w:r w:rsidR="00D946F5" w:rsidRPr="00555D8D">
        <w:rPr>
          <w:rFonts w:asciiTheme="majorHAnsi" w:hAnsiTheme="majorHAnsi" w:cstheme="majorHAnsi"/>
          <w:color w:val="131413"/>
          <w:szCs w:val="22"/>
        </w:rPr>
        <w:t>with at least one</w:t>
      </w:r>
      <w:r w:rsidR="00E165FC" w:rsidRPr="00555D8D">
        <w:rPr>
          <w:rFonts w:asciiTheme="majorHAnsi" w:hAnsiTheme="majorHAnsi" w:cstheme="majorHAnsi"/>
          <w:color w:val="131413"/>
          <w:szCs w:val="22"/>
        </w:rPr>
        <w:t xml:space="preserve"> member </w:t>
      </w:r>
      <w:r w:rsidR="00D946F5" w:rsidRPr="00555D8D">
        <w:rPr>
          <w:rFonts w:asciiTheme="majorHAnsi" w:hAnsiTheme="majorHAnsi" w:cstheme="majorHAnsi"/>
          <w:color w:val="131413"/>
          <w:szCs w:val="22"/>
        </w:rPr>
        <w:t>aged</w:t>
      </w:r>
      <w:r w:rsidR="00E165FC" w:rsidRPr="00555D8D">
        <w:rPr>
          <w:rFonts w:asciiTheme="majorHAnsi" w:hAnsiTheme="majorHAnsi" w:cstheme="majorHAnsi"/>
          <w:color w:val="131413"/>
          <w:szCs w:val="22"/>
        </w:rPr>
        <w:t xml:space="preserve"> 60 or over</w:t>
      </w:r>
      <w:r w:rsidR="00E165FC" w:rsidRPr="00555D8D">
        <w:rPr>
          <w:rFonts w:asciiTheme="majorHAnsi" w:hAnsiTheme="majorHAnsi" w:cstheme="majorHAnsi"/>
          <w:szCs w:val="22"/>
        </w:rPr>
        <w:t xml:space="preserve"> appear to be </w:t>
      </w:r>
      <w:r w:rsidR="001E3AC4" w:rsidRPr="00555D8D">
        <w:rPr>
          <w:rFonts w:asciiTheme="majorHAnsi" w:hAnsiTheme="majorHAnsi" w:cstheme="majorHAnsi"/>
          <w:szCs w:val="22"/>
        </w:rPr>
        <w:t>more likely to face</w:t>
      </w:r>
      <w:r w:rsidR="00E165FC" w:rsidRPr="00555D8D">
        <w:rPr>
          <w:rFonts w:asciiTheme="majorHAnsi" w:hAnsiTheme="majorHAnsi" w:cstheme="majorHAnsi"/>
          <w:szCs w:val="22"/>
        </w:rPr>
        <w:t xml:space="preserve"> catastrophic heath expenditure</w:t>
      </w:r>
      <w:r w:rsidR="0051261E">
        <w:rPr>
          <w:rFonts w:asciiTheme="majorHAnsi" w:hAnsiTheme="majorHAnsi" w:cstheme="majorHAnsi"/>
          <w:szCs w:val="22"/>
        </w:rPr>
        <w:t xml:space="preserve"> </w:t>
      </w:r>
      <w:r w:rsidR="00A40C57" w:rsidRPr="00555D8D">
        <w:rPr>
          <w:rFonts w:asciiTheme="majorHAnsi" w:hAnsiTheme="majorHAnsi" w:cstheme="majorHAnsi"/>
          <w:szCs w:val="22"/>
        </w:rPr>
        <w:t>However, t</w:t>
      </w:r>
      <w:r w:rsidR="003B6FAF" w:rsidRPr="00555D8D">
        <w:rPr>
          <w:rFonts w:asciiTheme="majorHAnsi" w:hAnsiTheme="majorHAnsi" w:cstheme="majorHAnsi"/>
          <w:szCs w:val="22"/>
        </w:rPr>
        <w:t>he share of households</w:t>
      </w:r>
      <w:r w:rsidR="00736A12" w:rsidRPr="00555D8D">
        <w:rPr>
          <w:rFonts w:asciiTheme="majorHAnsi" w:hAnsiTheme="majorHAnsi" w:cstheme="majorHAnsi"/>
          <w:szCs w:val="22"/>
        </w:rPr>
        <w:t xml:space="preserve"> </w:t>
      </w:r>
      <w:r w:rsidR="003B6FAF" w:rsidRPr="00555D8D">
        <w:rPr>
          <w:rFonts w:asciiTheme="majorHAnsi" w:hAnsiTheme="majorHAnsi" w:cstheme="majorHAnsi"/>
          <w:szCs w:val="22"/>
        </w:rPr>
        <w:t xml:space="preserve">pushed below the poverty line due to </w:t>
      </w:r>
      <w:r w:rsidR="00C95615" w:rsidRPr="00555D8D">
        <w:rPr>
          <w:rFonts w:asciiTheme="majorHAnsi" w:hAnsiTheme="majorHAnsi" w:cstheme="majorHAnsi"/>
          <w:szCs w:val="22"/>
        </w:rPr>
        <w:t xml:space="preserve">out of pocket expenditures </w:t>
      </w:r>
      <w:r w:rsidR="003B6FAF" w:rsidRPr="00555D8D">
        <w:rPr>
          <w:rFonts w:asciiTheme="majorHAnsi" w:hAnsiTheme="majorHAnsi" w:cstheme="majorHAnsi"/>
          <w:szCs w:val="22"/>
        </w:rPr>
        <w:t>dropped from 0.4</w:t>
      </w:r>
      <w:r w:rsidR="00C95615" w:rsidRPr="00555D8D">
        <w:rPr>
          <w:rFonts w:asciiTheme="majorHAnsi" w:hAnsiTheme="majorHAnsi" w:cstheme="majorHAnsi"/>
          <w:szCs w:val="22"/>
        </w:rPr>
        <w:t xml:space="preserve"> percent</w:t>
      </w:r>
      <w:r w:rsidR="003B6FAF" w:rsidRPr="00555D8D">
        <w:rPr>
          <w:rFonts w:asciiTheme="majorHAnsi" w:hAnsiTheme="majorHAnsi" w:cstheme="majorHAnsi"/>
          <w:szCs w:val="22"/>
        </w:rPr>
        <w:t xml:space="preserve"> in 2001/02 to 0.34</w:t>
      </w:r>
      <w:r w:rsidR="00C95615" w:rsidRPr="00555D8D">
        <w:rPr>
          <w:rFonts w:asciiTheme="majorHAnsi" w:hAnsiTheme="majorHAnsi" w:cstheme="majorHAnsi"/>
          <w:szCs w:val="22"/>
        </w:rPr>
        <w:t xml:space="preserve"> percent</w:t>
      </w:r>
      <w:r w:rsidR="003B6FAF" w:rsidRPr="00555D8D">
        <w:rPr>
          <w:rFonts w:asciiTheme="majorHAnsi" w:hAnsiTheme="majorHAnsi" w:cstheme="majorHAnsi"/>
          <w:szCs w:val="22"/>
        </w:rPr>
        <w:t xml:space="preserve"> </w:t>
      </w:r>
      <w:r w:rsidR="003B6FAF" w:rsidRPr="00D13C55">
        <w:t xml:space="preserve">in 2012. </w:t>
      </w:r>
      <w:r w:rsidR="009550A6">
        <w:t xml:space="preserve">The main driver of </w:t>
      </w:r>
      <w:r w:rsidR="009550A6" w:rsidRPr="00D13C55">
        <w:t>out of pocket</w:t>
      </w:r>
      <w:r w:rsidR="009550A6">
        <w:t xml:space="preserve"> expenditures are </w:t>
      </w:r>
      <w:r w:rsidR="00AE3A28">
        <w:t>purchases</w:t>
      </w:r>
      <w:r w:rsidR="009550A6">
        <w:t xml:space="preserve"> of p</w:t>
      </w:r>
      <w:r w:rsidR="00AE3A28">
        <w:t>ha</w:t>
      </w:r>
      <w:r w:rsidR="009550A6">
        <w:t>rma</w:t>
      </w:r>
      <w:r w:rsidR="00AE3A28">
        <w:t xml:space="preserve">ceutical products followed by medical supplies and disposables. As reported in </w:t>
      </w:r>
      <w:r w:rsidR="00AE3A28" w:rsidRPr="00D13C55">
        <w:t xml:space="preserve">Nundoochan et al </w:t>
      </w:r>
      <w:r w:rsidR="00AE3A28">
        <w:t>(</w:t>
      </w:r>
      <w:r w:rsidR="00AE3A28" w:rsidRPr="00D13C55">
        <w:t>2018</w:t>
      </w:r>
      <w:r w:rsidR="00AE3A28">
        <w:t>), many Mauritians</w:t>
      </w:r>
      <w:r w:rsidR="00F50664">
        <w:t xml:space="preserve"> perceive brand name medicines as</w:t>
      </w:r>
      <w:r w:rsidR="00230C7A">
        <w:t xml:space="preserve"> more effective than generic ones. Moreover, a survey on Medicine Prices in </w:t>
      </w:r>
      <w:r w:rsidR="004A0E9D">
        <w:t>Mauritius</w:t>
      </w:r>
      <w:r w:rsidR="00230C7A">
        <w:t xml:space="preserve"> finds that</w:t>
      </w:r>
      <w:r w:rsidR="004A0E9D">
        <w:t xml:space="preserve"> in the private sector </w:t>
      </w:r>
      <w:r w:rsidR="001B5D31">
        <w:t xml:space="preserve">the cheapest </w:t>
      </w:r>
      <w:r w:rsidR="004A0E9D">
        <w:t>generic</w:t>
      </w:r>
      <w:r w:rsidR="007774AF">
        <w:t xml:space="preserve"> medicines sale for 6 times their international price and brand medicines at nearly 20 times their international </w:t>
      </w:r>
      <w:r w:rsidR="001B5D31">
        <w:t>reference</w:t>
      </w:r>
      <w:r w:rsidR="007774AF">
        <w:t xml:space="preserve"> prices</w:t>
      </w:r>
      <w:r w:rsidR="001B5D31">
        <w:t xml:space="preserve"> (</w:t>
      </w:r>
      <w:r w:rsidR="001B5D31" w:rsidRPr="00D13C55">
        <w:t>Nundoochan et al 2018</w:t>
      </w:r>
      <w:r w:rsidR="001B5D31">
        <w:t>)</w:t>
      </w:r>
      <w:r w:rsidR="007774AF">
        <w:t>.</w:t>
      </w:r>
      <w:r w:rsidR="008E7294">
        <w:t xml:space="preserve"> On average, </w:t>
      </w:r>
      <w:r w:rsidR="00121690">
        <w:t xml:space="preserve">in </w:t>
      </w:r>
      <w:r w:rsidR="0051395D">
        <w:t>Mauritius</w:t>
      </w:r>
      <w:r w:rsidR="00121690">
        <w:t xml:space="preserve"> </w:t>
      </w:r>
      <w:r w:rsidR="008E7294">
        <w:t xml:space="preserve">brand medicines are sold at </w:t>
      </w:r>
      <w:r w:rsidR="00121690">
        <w:t>three times the price of generic ones</w:t>
      </w:r>
      <w:r w:rsidR="00EC23C1">
        <w:t xml:space="preserve">. </w:t>
      </w:r>
      <w:r w:rsidR="00121690">
        <w:t>F</w:t>
      </w:r>
      <w:r w:rsidR="00EC23C1">
        <w:t xml:space="preserve">inally, </w:t>
      </w:r>
      <w:r w:rsidR="00121690">
        <w:t>use of private hospitals is</w:t>
      </w:r>
      <w:r w:rsidR="00C01319">
        <w:t xml:space="preserve"> largely ascribable to long </w:t>
      </w:r>
      <w:r w:rsidR="00C01319" w:rsidRPr="001D6247">
        <w:rPr>
          <w:rFonts w:asciiTheme="majorHAnsi" w:hAnsiTheme="majorHAnsi" w:cstheme="majorHAnsi"/>
          <w:szCs w:val="22"/>
        </w:rPr>
        <w:t xml:space="preserve">waiting time </w:t>
      </w:r>
      <w:r w:rsidR="0051395D" w:rsidRPr="001D6247">
        <w:rPr>
          <w:rFonts w:asciiTheme="majorHAnsi" w:hAnsiTheme="majorHAnsi" w:cstheme="majorHAnsi"/>
          <w:szCs w:val="22"/>
        </w:rPr>
        <w:t>to access health care in public hospitals.</w:t>
      </w:r>
    </w:p>
    <w:tbl>
      <w:tblPr>
        <w:tblW w:w="9360" w:type="dxa"/>
        <w:tblLayout w:type="fixed"/>
        <w:tblCellMar>
          <w:left w:w="0" w:type="dxa"/>
          <w:right w:w="0" w:type="dxa"/>
        </w:tblCellMar>
        <w:tblLook w:val="04A0" w:firstRow="1" w:lastRow="0" w:firstColumn="1" w:lastColumn="0" w:noHBand="0" w:noVBand="1"/>
      </w:tblPr>
      <w:tblGrid>
        <w:gridCol w:w="9360"/>
      </w:tblGrid>
      <w:tr w:rsidR="007A432E" w:rsidRPr="001E6C40" w14:paraId="4F58BA89" w14:textId="77777777" w:rsidTr="004B37D4">
        <w:trPr>
          <w:cantSplit/>
        </w:trPr>
        <w:tc>
          <w:tcPr>
            <w:tcW w:w="9360" w:type="dxa"/>
            <w:hideMark/>
          </w:tcPr>
          <w:p w14:paraId="73D50CCB" w14:textId="33A6186E" w:rsidR="007A432E" w:rsidRPr="001E6C40" w:rsidRDefault="007A432E" w:rsidP="004B37D4">
            <w:pPr>
              <w:pStyle w:val="Caption2"/>
              <w:spacing w:line="256" w:lineRule="auto"/>
              <w:jc w:val="left"/>
              <w:rPr>
                <w:b/>
                <w:i w:val="0"/>
                <w:sz w:val="18"/>
                <w:szCs w:val="18"/>
                <w:lang w:eastAsia="en-GB"/>
              </w:rPr>
            </w:pPr>
            <w:bookmarkStart w:id="106" w:name="_Ref8507853"/>
            <w:bookmarkStart w:id="107" w:name="_Toc11255076"/>
            <w:r w:rsidRPr="001E6C40">
              <w:rPr>
                <w:b/>
                <w:i w:val="0"/>
                <w:sz w:val="18"/>
                <w:szCs w:val="18"/>
                <w:lang w:eastAsia="en-GB"/>
              </w:rPr>
              <w:t xml:space="preserve">Figure </w:t>
            </w:r>
            <w:r>
              <w:rPr>
                <w:b/>
                <w:i w:val="0"/>
                <w:sz w:val="18"/>
                <w:szCs w:val="18"/>
                <w:lang w:eastAsia="en-GB"/>
              </w:rPr>
              <w:fldChar w:fldCharType="begin"/>
            </w:r>
            <w:r>
              <w:rPr>
                <w:b/>
                <w:i w:val="0"/>
                <w:sz w:val="18"/>
                <w:szCs w:val="18"/>
                <w:lang w:eastAsia="en-GB"/>
              </w:rPr>
              <w:instrText xml:space="preserve"> STYLEREF 1 \s </w:instrText>
            </w:r>
            <w:r>
              <w:rPr>
                <w:b/>
                <w:i w:val="0"/>
                <w:sz w:val="18"/>
                <w:szCs w:val="18"/>
                <w:lang w:eastAsia="en-GB"/>
              </w:rPr>
              <w:fldChar w:fldCharType="separate"/>
            </w:r>
            <w:r w:rsidR="00C37C80">
              <w:rPr>
                <w:b/>
                <w:i w:val="0"/>
                <w:noProof/>
                <w:sz w:val="18"/>
                <w:szCs w:val="18"/>
                <w:lang w:eastAsia="en-GB"/>
              </w:rPr>
              <w:t>3</w:t>
            </w:r>
            <w:r>
              <w:rPr>
                <w:b/>
                <w:i w:val="0"/>
                <w:sz w:val="18"/>
                <w:szCs w:val="18"/>
                <w:lang w:eastAsia="en-GB"/>
              </w:rPr>
              <w:fldChar w:fldCharType="end"/>
            </w:r>
            <w:r>
              <w:rPr>
                <w:b/>
                <w:i w:val="0"/>
                <w:sz w:val="18"/>
                <w:szCs w:val="18"/>
                <w:lang w:eastAsia="en-GB"/>
              </w:rPr>
              <w:t>.</w:t>
            </w:r>
            <w:r>
              <w:rPr>
                <w:b/>
                <w:i w:val="0"/>
                <w:sz w:val="18"/>
                <w:szCs w:val="18"/>
                <w:lang w:eastAsia="en-GB"/>
              </w:rPr>
              <w:fldChar w:fldCharType="begin"/>
            </w:r>
            <w:r>
              <w:rPr>
                <w:b/>
                <w:i w:val="0"/>
                <w:sz w:val="18"/>
                <w:szCs w:val="18"/>
                <w:lang w:eastAsia="en-GB"/>
              </w:rPr>
              <w:instrText xml:space="preserve"> SEQ Figure \* ARABIC \s 1 </w:instrText>
            </w:r>
            <w:r>
              <w:rPr>
                <w:b/>
                <w:i w:val="0"/>
                <w:sz w:val="18"/>
                <w:szCs w:val="18"/>
                <w:lang w:eastAsia="en-GB"/>
              </w:rPr>
              <w:fldChar w:fldCharType="separate"/>
            </w:r>
            <w:r w:rsidR="00C37C80">
              <w:rPr>
                <w:b/>
                <w:i w:val="0"/>
                <w:noProof/>
                <w:sz w:val="18"/>
                <w:szCs w:val="18"/>
                <w:lang w:eastAsia="en-GB"/>
              </w:rPr>
              <w:t>13</w:t>
            </w:r>
            <w:r>
              <w:rPr>
                <w:b/>
                <w:i w:val="0"/>
                <w:sz w:val="18"/>
                <w:szCs w:val="18"/>
                <w:lang w:eastAsia="en-GB"/>
              </w:rPr>
              <w:fldChar w:fldCharType="end"/>
            </w:r>
            <w:bookmarkEnd w:id="106"/>
            <w:r>
              <w:rPr>
                <w:b/>
                <w:i w:val="0"/>
              </w:rPr>
              <w:t xml:space="preserve"> Progressivity of</w:t>
            </w:r>
            <w:r>
              <w:rPr>
                <w:b/>
                <w:i w:val="0"/>
                <w:sz w:val="18"/>
                <w:szCs w:val="18"/>
                <w:lang w:eastAsia="en-GB"/>
              </w:rPr>
              <w:t xml:space="preserve"> Taxes and Transfers</w:t>
            </w:r>
            <w:bookmarkEnd w:id="107"/>
          </w:p>
        </w:tc>
      </w:tr>
      <w:tr w:rsidR="007A432E" w:rsidRPr="001E6C40" w14:paraId="0038E73E" w14:textId="77777777" w:rsidTr="004B37D4">
        <w:trPr>
          <w:cantSplit/>
          <w:trHeight w:val="792"/>
        </w:trPr>
        <w:tc>
          <w:tcPr>
            <w:tcW w:w="9360" w:type="dxa"/>
          </w:tcPr>
          <w:p w14:paraId="19F8FE1A" w14:textId="203FF73D" w:rsidR="007A432E" w:rsidRPr="001E6C40" w:rsidRDefault="00692D24" w:rsidP="004B37D4">
            <w:pPr>
              <w:pStyle w:val="Caption2"/>
              <w:spacing w:line="256" w:lineRule="auto"/>
              <w:jc w:val="left"/>
              <w:rPr>
                <w:b/>
                <w:i w:val="0"/>
                <w:sz w:val="18"/>
                <w:szCs w:val="18"/>
                <w:lang w:eastAsia="en-GB"/>
              </w:rPr>
            </w:pPr>
            <w:r>
              <w:rPr>
                <w:b/>
                <w:i w:val="0"/>
                <w:noProof/>
                <w:sz w:val="18"/>
                <w:szCs w:val="18"/>
                <w:lang w:eastAsia="en-GB"/>
              </w:rPr>
              <w:drawing>
                <wp:inline distT="0" distB="0" distL="0" distR="0" wp14:anchorId="50FC93D6" wp14:editId="670D987C">
                  <wp:extent cx="5943600" cy="2971800"/>
                  <wp:effectExtent l="0" t="0" r="0" b="0"/>
                  <wp:docPr id="58" name="Picture 58"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_3.13_Progressivity_of_Taxes_and_Transfer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tc>
      </w:tr>
      <w:tr w:rsidR="007A432E" w:rsidRPr="00767FF8" w14:paraId="000CCB1B" w14:textId="77777777" w:rsidTr="004B37D4">
        <w:trPr>
          <w:cantSplit/>
        </w:trPr>
        <w:tc>
          <w:tcPr>
            <w:tcW w:w="9360" w:type="dxa"/>
            <w:tcMar>
              <w:top w:w="0" w:type="dxa"/>
              <w:left w:w="108" w:type="dxa"/>
              <w:bottom w:w="0" w:type="dxa"/>
              <w:right w:w="108" w:type="dxa"/>
            </w:tcMar>
            <w:hideMark/>
          </w:tcPr>
          <w:p w14:paraId="220BE70E" w14:textId="77777777" w:rsidR="007A432E" w:rsidRDefault="007A432E"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3DABBA09" w14:textId="77777777" w:rsidR="007A432E" w:rsidRPr="00767FF8" w:rsidRDefault="007A432E"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Market inco</w:t>
            </w:r>
            <w:r w:rsidRPr="00793B42">
              <w:rPr>
                <w:rFonts w:cs="Times New Roman"/>
                <w:sz w:val="18"/>
                <w:szCs w:val="18"/>
              </w:rPr>
              <w:t>me plus pensions comprises pretax wages, salaries, income earned from capital assets (rent, interest, or dividends), contributory pensions, and private transfers.</w:t>
            </w:r>
          </w:p>
        </w:tc>
      </w:tr>
    </w:tbl>
    <w:p w14:paraId="37E9C1C5" w14:textId="77777777" w:rsidR="00E97CC3" w:rsidRPr="001D6247" w:rsidRDefault="00E97CC3" w:rsidP="001D6247">
      <w:pPr>
        <w:rPr>
          <w:rFonts w:asciiTheme="majorHAnsi" w:hAnsiTheme="majorHAnsi" w:cstheme="majorHAnsi"/>
          <w:szCs w:val="22"/>
        </w:rPr>
      </w:pPr>
    </w:p>
    <w:p w14:paraId="5606559A" w14:textId="594195EC" w:rsidR="00C11058" w:rsidRDefault="00954DE6" w:rsidP="00F452D2">
      <w:r w:rsidRPr="001D6247">
        <w:rPr>
          <w:rFonts w:asciiTheme="majorHAnsi" w:hAnsiTheme="majorHAnsi" w:cstheme="majorHAnsi"/>
          <w:b/>
          <w:szCs w:val="22"/>
        </w:rPr>
        <w:t xml:space="preserve">To summarize, </w:t>
      </w:r>
      <w:r w:rsidR="0043590B" w:rsidRPr="001D6247">
        <w:rPr>
          <w:rFonts w:asciiTheme="majorHAnsi" w:hAnsiTheme="majorHAnsi" w:cstheme="majorHAnsi"/>
          <w:b/>
          <w:szCs w:val="22"/>
        </w:rPr>
        <w:t>direct</w:t>
      </w:r>
      <w:r w:rsidR="00CE41AE" w:rsidRPr="001D6247">
        <w:rPr>
          <w:rFonts w:asciiTheme="majorHAnsi" w:hAnsiTheme="majorHAnsi" w:cstheme="majorHAnsi"/>
          <w:b/>
          <w:szCs w:val="22"/>
        </w:rPr>
        <w:t xml:space="preserve"> </w:t>
      </w:r>
      <w:r w:rsidR="0043590B" w:rsidRPr="001D6247">
        <w:rPr>
          <w:rFonts w:asciiTheme="majorHAnsi" w:hAnsiTheme="majorHAnsi" w:cstheme="majorHAnsi"/>
          <w:b/>
          <w:szCs w:val="22"/>
        </w:rPr>
        <w:t>taxes, subsidies and</w:t>
      </w:r>
      <w:r w:rsidR="00CE41AE" w:rsidRPr="001D6247">
        <w:rPr>
          <w:rFonts w:asciiTheme="majorHAnsi" w:hAnsiTheme="majorHAnsi" w:cstheme="majorHAnsi"/>
          <w:b/>
          <w:szCs w:val="22"/>
        </w:rPr>
        <w:t xml:space="preserve"> transfers </w:t>
      </w:r>
      <w:r w:rsidR="0043590B" w:rsidRPr="001D6247">
        <w:rPr>
          <w:rFonts w:asciiTheme="majorHAnsi" w:hAnsiTheme="majorHAnsi" w:cstheme="majorHAnsi"/>
          <w:b/>
          <w:szCs w:val="22"/>
        </w:rPr>
        <w:t>are progressive in relative terms, except for indirect taxes</w:t>
      </w:r>
      <w:r w:rsidR="001D6247">
        <w:rPr>
          <w:rFonts w:asciiTheme="majorHAnsi" w:hAnsiTheme="majorHAnsi" w:cstheme="majorHAnsi"/>
          <w:szCs w:val="22"/>
        </w:rPr>
        <w:t>.</w:t>
      </w:r>
      <w:r w:rsidR="0043590B" w:rsidRPr="001D6247">
        <w:rPr>
          <w:rFonts w:asciiTheme="majorHAnsi" w:hAnsiTheme="majorHAnsi" w:cstheme="majorHAnsi"/>
          <w:szCs w:val="22"/>
        </w:rPr>
        <w:t xml:space="preserve"> </w:t>
      </w:r>
      <w:r w:rsidR="00A3697D">
        <w:rPr>
          <w:rFonts w:asciiTheme="majorHAnsi" w:hAnsiTheme="majorHAnsi" w:cstheme="majorHAnsi"/>
          <w:szCs w:val="22"/>
        </w:rPr>
        <w:t xml:space="preserve">A </w:t>
      </w:r>
      <w:r w:rsidR="005C65BA">
        <w:rPr>
          <w:rFonts w:asciiTheme="majorHAnsi" w:hAnsiTheme="majorHAnsi" w:cstheme="majorHAnsi"/>
          <w:szCs w:val="22"/>
        </w:rPr>
        <w:t>common</w:t>
      </w:r>
      <w:r w:rsidR="00A3697D">
        <w:rPr>
          <w:rFonts w:asciiTheme="majorHAnsi" w:hAnsiTheme="majorHAnsi" w:cstheme="majorHAnsi"/>
          <w:szCs w:val="22"/>
        </w:rPr>
        <w:t xml:space="preserve"> summary statistic</w:t>
      </w:r>
      <w:r w:rsidR="00F515C4">
        <w:rPr>
          <w:rFonts w:asciiTheme="majorHAnsi" w:hAnsiTheme="majorHAnsi" w:cstheme="majorHAnsi"/>
          <w:szCs w:val="22"/>
        </w:rPr>
        <w:t xml:space="preserve"> </w:t>
      </w:r>
      <w:r w:rsidR="00522C9C">
        <w:rPr>
          <w:rFonts w:asciiTheme="majorHAnsi" w:hAnsiTheme="majorHAnsi" w:cstheme="majorHAnsi"/>
          <w:szCs w:val="22"/>
        </w:rPr>
        <w:t xml:space="preserve">used </w:t>
      </w:r>
      <w:r w:rsidR="00F515C4">
        <w:rPr>
          <w:rFonts w:asciiTheme="majorHAnsi" w:hAnsiTheme="majorHAnsi" w:cstheme="majorHAnsi"/>
          <w:szCs w:val="22"/>
        </w:rPr>
        <w:t>to measure progressivity is the Kakwani index (Kakwani 1977)</w:t>
      </w:r>
      <w:r w:rsidR="002B71D8">
        <w:rPr>
          <w:rFonts w:asciiTheme="majorHAnsi" w:hAnsiTheme="majorHAnsi" w:cstheme="majorHAnsi"/>
          <w:szCs w:val="22"/>
        </w:rPr>
        <w:t>.</w:t>
      </w:r>
      <w:r w:rsidR="0063490F" w:rsidRPr="001D6247">
        <w:rPr>
          <w:rFonts w:asciiTheme="majorHAnsi" w:hAnsiTheme="majorHAnsi" w:cstheme="majorHAnsi"/>
          <w:szCs w:val="22"/>
        </w:rPr>
        <w:t xml:space="preserve"> </w:t>
      </w:r>
      <w:r w:rsidR="005E1D9B">
        <w:rPr>
          <w:rFonts w:asciiTheme="majorHAnsi" w:hAnsiTheme="majorHAnsi" w:cstheme="majorHAnsi"/>
          <w:szCs w:val="22"/>
        </w:rPr>
        <w:t xml:space="preserve">In the case of taxes, the index </w:t>
      </w:r>
      <w:r w:rsidR="002B71D8">
        <w:rPr>
          <w:rFonts w:asciiTheme="majorHAnsi" w:hAnsiTheme="majorHAnsi" w:cstheme="majorHAnsi"/>
          <w:szCs w:val="22"/>
        </w:rPr>
        <w:t>is defined as</w:t>
      </w:r>
      <w:r w:rsidR="00323546" w:rsidRPr="001D6247">
        <w:rPr>
          <w:rFonts w:asciiTheme="majorHAnsi" w:hAnsiTheme="majorHAnsi" w:cstheme="majorHAnsi"/>
          <w:szCs w:val="22"/>
        </w:rPr>
        <w:t xml:space="preserve"> the difference between the concentration coefficient of a tax and the Gini for </w:t>
      </w:r>
      <w:r w:rsidR="00C11058">
        <w:rPr>
          <w:rFonts w:asciiTheme="majorHAnsi" w:hAnsiTheme="majorHAnsi" w:cstheme="majorHAnsi"/>
          <w:szCs w:val="22"/>
        </w:rPr>
        <w:t>pre</w:t>
      </w:r>
      <w:r w:rsidR="00323546" w:rsidRPr="001D6247">
        <w:rPr>
          <w:rFonts w:asciiTheme="majorHAnsi" w:hAnsiTheme="majorHAnsi" w:cstheme="majorHAnsi"/>
          <w:szCs w:val="22"/>
        </w:rPr>
        <w:t>fiscal income</w:t>
      </w:r>
      <w:r w:rsidR="00C07062">
        <w:rPr>
          <w:rFonts w:asciiTheme="majorHAnsi" w:hAnsiTheme="majorHAnsi" w:cstheme="majorHAnsi"/>
          <w:szCs w:val="22"/>
        </w:rPr>
        <w:t>. If the index is positive (negative)</w:t>
      </w:r>
      <w:r w:rsidR="00323546" w:rsidRPr="001D6247">
        <w:rPr>
          <w:rFonts w:asciiTheme="majorHAnsi" w:hAnsiTheme="majorHAnsi" w:cstheme="majorHAnsi"/>
          <w:szCs w:val="22"/>
        </w:rPr>
        <w:t xml:space="preserve">, a tax is globally progressive (regressive). For transfers, if the difference between the Gini for </w:t>
      </w:r>
      <w:r w:rsidR="00C11058">
        <w:rPr>
          <w:rFonts w:asciiTheme="majorHAnsi" w:hAnsiTheme="majorHAnsi" w:cstheme="majorHAnsi"/>
          <w:szCs w:val="22"/>
        </w:rPr>
        <w:t>pre</w:t>
      </w:r>
      <w:r w:rsidR="00323546" w:rsidRPr="001D6247">
        <w:rPr>
          <w:rFonts w:asciiTheme="majorHAnsi" w:hAnsiTheme="majorHAnsi" w:cstheme="majorHAnsi"/>
          <w:szCs w:val="22"/>
        </w:rPr>
        <w:t>fiscal income and the concentration coefficient of the transfer is positive</w:t>
      </w:r>
      <w:r w:rsidR="008D78D2">
        <w:rPr>
          <w:rFonts w:asciiTheme="majorHAnsi" w:hAnsiTheme="majorHAnsi" w:cstheme="majorHAnsi"/>
          <w:szCs w:val="22"/>
        </w:rPr>
        <w:t xml:space="preserve"> (negative)</w:t>
      </w:r>
      <w:r w:rsidR="00323546" w:rsidRPr="001D6247">
        <w:rPr>
          <w:rFonts w:asciiTheme="majorHAnsi" w:hAnsiTheme="majorHAnsi" w:cstheme="majorHAnsi"/>
          <w:szCs w:val="22"/>
        </w:rPr>
        <w:t>, the transfer is progressive</w:t>
      </w:r>
      <w:r w:rsidR="008D78D2">
        <w:rPr>
          <w:rFonts w:asciiTheme="majorHAnsi" w:hAnsiTheme="majorHAnsi" w:cstheme="majorHAnsi"/>
          <w:szCs w:val="22"/>
        </w:rPr>
        <w:t xml:space="preserve"> (regressive)</w:t>
      </w:r>
      <w:r w:rsidR="00323546" w:rsidRPr="001D6247">
        <w:rPr>
          <w:rFonts w:asciiTheme="majorHAnsi" w:hAnsiTheme="majorHAnsi" w:cstheme="majorHAnsi"/>
          <w:szCs w:val="22"/>
        </w:rPr>
        <w:t xml:space="preserve"> in relative terms.</w:t>
      </w:r>
      <w:r w:rsidR="00FD4FFB">
        <w:rPr>
          <w:rFonts w:asciiTheme="majorHAnsi" w:hAnsiTheme="majorHAnsi" w:cstheme="majorHAnsi"/>
          <w:szCs w:val="22"/>
        </w:rPr>
        <w:t xml:space="preserve"> </w:t>
      </w:r>
      <w:r w:rsidR="00FD4FFB">
        <w:rPr>
          <w:rFonts w:asciiTheme="majorHAnsi" w:hAnsiTheme="majorHAnsi" w:cstheme="majorHAnsi"/>
          <w:szCs w:val="22"/>
        </w:rPr>
        <w:fldChar w:fldCharType="begin"/>
      </w:r>
      <w:r w:rsidR="00FD4FFB">
        <w:rPr>
          <w:rFonts w:asciiTheme="majorHAnsi" w:hAnsiTheme="majorHAnsi" w:cstheme="majorHAnsi"/>
          <w:szCs w:val="22"/>
        </w:rPr>
        <w:instrText xml:space="preserve"> REF _Ref8507853 \h </w:instrText>
      </w:r>
      <w:r w:rsidR="00380CDD">
        <w:rPr>
          <w:rFonts w:asciiTheme="majorHAnsi" w:hAnsiTheme="majorHAnsi" w:cstheme="majorHAnsi"/>
          <w:szCs w:val="22"/>
        </w:rPr>
        <w:instrText xml:space="preserve"> \* MERGEFORMAT </w:instrText>
      </w:r>
      <w:r w:rsidR="00FD4FFB">
        <w:rPr>
          <w:rFonts w:asciiTheme="majorHAnsi" w:hAnsiTheme="majorHAnsi" w:cstheme="majorHAnsi"/>
          <w:szCs w:val="22"/>
        </w:rPr>
      </w:r>
      <w:r w:rsidR="00FD4FFB">
        <w:rPr>
          <w:rFonts w:asciiTheme="majorHAnsi" w:hAnsiTheme="majorHAnsi" w:cstheme="majorHAnsi"/>
          <w:szCs w:val="22"/>
        </w:rPr>
        <w:fldChar w:fldCharType="separate"/>
      </w:r>
      <w:r w:rsidR="00C37C80" w:rsidRPr="00C37C80">
        <w:rPr>
          <w:rFonts w:asciiTheme="majorHAnsi" w:hAnsiTheme="majorHAnsi" w:cstheme="majorHAnsi"/>
          <w:szCs w:val="22"/>
        </w:rPr>
        <w:t>Figure 3.13</w:t>
      </w:r>
      <w:r w:rsidR="00FD4FFB">
        <w:rPr>
          <w:rFonts w:asciiTheme="majorHAnsi" w:hAnsiTheme="majorHAnsi" w:cstheme="majorHAnsi"/>
          <w:szCs w:val="22"/>
        </w:rPr>
        <w:fldChar w:fldCharType="end"/>
      </w:r>
      <w:r w:rsidR="00FD4FFB">
        <w:rPr>
          <w:rFonts w:asciiTheme="majorHAnsi" w:hAnsiTheme="majorHAnsi" w:cstheme="majorHAnsi"/>
          <w:szCs w:val="22"/>
        </w:rPr>
        <w:t xml:space="preserve"> provides a bird</w:t>
      </w:r>
      <w:r w:rsidR="00136FFA">
        <w:rPr>
          <w:rFonts w:asciiTheme="majorHAnsi" w:hAnsiTheme="majorHAnsi" w:cstheme="majorHAnsi"/>
          <w:szCs w:val="22"/>
        </w:rPr>
        <w:t>’</w:t>
      </w:r>
      <w:r w:rsidR="00FD4FFB">
        <w:rPr>
          <w:rFonts w:asciiTheme="majorHAnsi" w:hAnsiTheme="majorHAnsi" w:cstheme="majorHAnsi"/>
          <w:szCs w:val="22"/>
        </w:rPr>
        <w:t xml:space="preserve">s-eye view of the progressivity of each fiscal instrument </w:t>
      </w:r>
      <w:r w:rsidR="00E630F4">
        <w:rPr>
          <w:rFonts w:asciiTheme="majorHAnsi" w:hAnsiTheme="majorHAnsi" w:cstheme="majorHAnsi"/>
          <w:szCs w:val="22"/>
        </w:rPr>
        <w:t>analyzed in this study</w:t>
      </w:r>
      <w:r w:rsidR="00FD4FFB">
        <w:rPr>
          <w:rFonts w:asciiTheme="majorHAnsi" w:hAnsiTheme="majorHAnsi" w:cstheme="majorHAnsi"/>
          <w:szCs w:val="22"/>
        </w:rPr>
        <w:t xml:space="preserve">. Direct </w:t>
      </w:r>
      <w:r w:rsidR="00136FFA">
        <w:rPr>
          <w:rFonts w:asciiTheme="majorHAnsi" w:hAnsiTheme="majorHAnsi" w:cstheme="majorHAnsi"/>
          <w:szCs w:val="22"/>
        </w:rPr>
        <w:t>taxes and contributions</w:t>
      </w:r>
      <w:r w:rsidR="0075091F">
        <w:rPr>
          <w:rFonts w:asciiTheme="majorHAnsi" w:hAnsiTheme="majorHAnsi" w:cstheme="majorHAnsi"/>
          <w:szCs w:val="22"/>
        </w:rPr>
        <w:t>, except for contributions to pension benefits,</w:t>
      </w:r>
      <w:r w:rsidR="00136FFA">
        <w:rPr>
          <w:rFonts w:asciiTheme="majorHAnsi" w:hAnsiTheme="majorHAnsi" w:cstheme="majorHAnsi"/>
          <w:szCs w:val="22"/>
        </w:rPr>
        <w:t xml:space="preserve"> </w:t>
      </w:r>
      <w:r w:rsidR="00E902EF">
        <w:rPr>
          <w:rFonts w:asciiTheme="majorHAnsi" w:hAnsiTheme="majorHAnsi" w:cstheme="majorHAnsi"/>
          <w:szCs w:val="22"/>
        </w:rPr>
        <w:t xml:space="preserve">are progressive as a larger share is </w:t>
      </w:r>
      <w:r w:rsidR="001F337D">
        <w:rPr>
          <w:rFonts w:asciiTheme="majorHAnsi" w:hAnsiTheme="majorHAnsi" w:cstheme="majorHAnsi"/>
          <w:szCs w:val="22"/>
        </w:rPr>
        <w:t xml:space="preserve">borne </w:t>
      </w:r>
      <w:r w:rsidR="002A1669">
        <w:rPr>
          <w:rFonts w:asciiTheme="majorHAnsi" w:hAnsiTheme="majorHAnsi" w:cstheme="majorHAnsi"/>
          <w:szCs w:val="22"/>
        </w:rPr>
        <w:t xml:space="preserve">by richer households </w:t>
      </w:r>
      <w:r w:rsidR="0075091F">
        <w:rPr>
          <w:rFonts w:asciiTheme="majorHAnsi" w:hAnsiTheme="majorHAnsi" w:cstheme="majorHAnsi"/>
          <w:szCs w:val="22"/>
        </w:rPr>
        <w:t>(</w:t>
      </w:r>
      <w:r w:rsidR="00733CF1">
        <w:rPr>
          <w:rFonts w:asciiTheme="majorHAnsi" w:hAnsiTheme="majorHAnsi" w:cstheme="majorHAnsi"/>
          <w:szCs w:val="22"/>
        </w:rPr>
        <w:t>purple</w:t>
      </w:r>
      <w:r w:rsidR="0075091F">
        <w:rPr>
          <w:rFonts w:asciiTheme="majorHAnsi" w:hAnsiTheme="majorHAnsi" w:cstheme="majorHAnsi"/>
          <w:szCs w:val="22"/>
        </w:rPr>
        <w:t xml:space="preserve"> bars)</w:t>
      </w:r>
      <w:r w:rsidR="002A1669">
        <w:rPr>
          <w:rFonts w:asciiTheme="majorHAnsi" w:hAnsiTheme="majorHAnsi" w:cstheme="majorHAnsi"/>
          <w:szCs w:val="22"/>
        </w:rPr>
        <w:t xml:space="preserve">. </w:t>
      </w:r>
      <w:r w:rsidR="0075091F">
        <w:rPr>
          <w:rFonts w:asciiTheme="majorHAnsi" w:hAnsiTheme="majorHAnsi" w:cstheme="majorHAnsi"/>
          <w:szCs w:val="22"/>
        </w:rPr>
        <w:t xml:space="preserve">The </w:t>
      </w:r>
      <w:r w:rsidR="00417079">
        <w:rPr>
          <w:rFonts w:asciiTheme="majorHAnsi" w:hAnsiTheme="majorHAnsi" w:cstheme="majorHAnsi"/>
          <w:szCs w:val="22"/>
        </w:rPr>
        <w:t xml:space="preserve">progressivity component of the </w:t>
      </w:r>
      <w:r w:rsidR="0075091F">
        <w:rPr>
          <w:rFonts w:asciiTheme="majorHAnsi" w:hAnsiTheme="majorHAnsi" w:cstheme="majorHAnsi"/>
          <w:szCs w:val="22"/>
        </w:rPr>
        <w:t xml:space="preserve">PIT </w:t>
      </w:r>
      <w:r w:rsidR="00417079">
        <w:rPr>
          <w:rFonts w:asciiTheme="majorHAnsi" w:hAnsiTheme="majorHAnsi" w:cstheme="majorHAnsi"/>
          <w:szCs w:val="22"/>
        </w:rPr>
        <w:t xml:space="preserve">lies in the </w:t>
      </w:r>
      <w:r w:rsidR="007E5302">
        <w:rPr>
          <w:rFonts w:asciiTheme="majorHAnsi" w:hAnsiTheme="majorHAnsi" w:cstheme="majorHAnsi"/>
          <w:szCs w:val="22"/>
        </w:rPr>
        <w:t>system of exemption thresholds and deductions allowances</w:t>
      </w:r>
      <w:r w:rsidR="000C6F62">
        <w:rPr>
          <w:rFonts w:asciiTheme="majorHAnsi" w:hAnsiTheme="majorHAnsi" w:cstheme="majorHAnsi"/>
          <w:szCs w:val="22"/>
        </w:rPr>
        <w:t xml:space="preserve"> that are regularly updated</w:t>
      </w:r>
      <w:r w:rsidR="003256B0">
        <w:rPr>
          <w:rFonts w:asciiTheme="majorHAnsi" w:hAnsiTheme="majorHAnsi" w:cstheme="majorHAnsi"/>
          <w:szCs w:val="22"/>
        </w:rPr>
        <w:t>. Similarly, the system of cash transfers is overall and individually progressive</w:t>
      </w:r>
      <w:r w:rsidR="00193C82">
        <w:rPr>
          <w:rFonts w:asciiTheme="majorHAnsi" w:hAnsiTheme="majorHAnsi" w:cstheme="majorHAnsi"/>
          <w:szCs w:val="22"/>
        </w:rPr>
        <w:t xml:space="preserve"> (yellow bars)</w:t>
      </w:r>
      <w:r w:rsidR="003256B0">
        <w:rPr>
          <w:rFonts w:asciiTheme="majorHAnsi" w:hAnsiTheme="majorHAnsi" w:cstheme="majorHAnsi"/>
          <w:szCs w:val="22"/>
        </w:rPr>
        <w:t xml:space="preserve">. </w:t>
      </w:r>
      <w:r w:rsidR="00BE0212">
        <w:rPr>
          <w:rFonts w:asciiTheme="majorHAnsi" w:hAnsiTheme="majorHAnsi" w:cstheme="majorHAnsi"/>
          <w:szCs w:val="22"/>
        </w:rPr>
        <w:t xml:space="preserve">Social Aid stands out as the most progressive </w:t>
      </w:r>
      <w:r w:rsidR="000C6F62">
        <w:rPr>
          <w:rFonts w:asciiTheme="majorHAnsi" w:hAnsiTheme="majorHAnsi" w:cstheme="majorHAnsi"/>
          <w:szCs w:val="22"/>
        </w:rPr>
        <w:t>program</w:t>
      </w:r>
      <w:r w:rsidR="00963813">
        <w:rPr>
          <w:rFonts w:asciiTheme="majorHAnsi" w:hAnsiTheme="majorHAnsi" w:cstheme="majorHAnsi"/>
          <w:szCs w:val="22"/>
        </w:rPr>
        <w:t xml:space="preserve">: </w:t>
      </w:r>
      <w:r w:rsidR="00963813">
        <w:t>about 85 percent is absorbed by households at the bottom 40.</w:t>
      </w:r>
      <w:r w:rsidR="008F1D36">
        <w:t xml:space="preserve"> The most </w:t>
      </w:r>
      <w:r w:rsidR="00A12E2C">
        <w:t>expensive</w:t>
      </w:r>
      <w:r w:rsidR="008F1D36">
        <w:t xml:space="preserve"> (</w:t>
      </w:r>
      <w:r w:rsidR="007A5D35">
        <w:t>as a share of</w:t>
      </w:r>
      <w:r w:rsidR="008F1D36">
        <w:t xml:space="preserve"> </w:t>
      </w:r>
      <w:r w:rsidR="00A12E2C">
        <w:t>budget</w:t>
      </w:r>
      <w:r w:rsidR="008F1D36">
        <w:t>) n</w:t>
      </w:r>
      <w:r w:rsidR="004C6E0D">
        <w:t>on</w:t>
      </w:r>
      <w:r w:rsidR="008F1D36">
        <w:t xml:space="preserve">contributory transfer is the </w:t>
      </w:r>
      <w:r w:rsidR="00F55CB3">
        <w:t>BRP</w:t>
      </w:r>
      <w:r w:rsidR="008F1D36">
        <w:t xml:space="preserve">. </w:t>
      </w:r>
      <w:r w:rsidR="00F55CB3">
        <w:t xml:space="preserve">The </w:t>
      </w:r>
      <w:r w:rsidR="008F1D36">
        <w:t>BRP is progressive</w:t>
      </w:r>
      <w:r w:rsidR="008D5E40">
        <w:t>,</w:t>
      </w:r>
      <w:r w:rsidR="0049009F">
        <w:t xml:space="preserve"> but less progressive than Social Aid</w:t>
      </w:r>
      <w:r w:rsidR="008F1D36">
        <w:t xml:space="preserve"> since it is </w:t>
      </w:r>
      <w:r w:rsidR="00A12E2C">
        <w:t>untargeted</w:t>
      </w:r>
      <w:r w:rsidR="008F1D36">
        <w:t xml:space="preserve"> </w:t>
      </w:r>
      <w:r w:rsidR="0049009F">
        <w:t>and e</w:t>
      </w:r>
      <w:r w:rsidR="00A12E2C">
        <w:t xml:space="preserve">ven </w:t>
      </w:r>
      <w:r w:rsidR="0049009F">
        <w:t>households</w:t>
      </w:r>
      <w:r w:rsidR="00A12E2C">
        <w:t xml:space="preserve"> at the top benefit from it.</w:t>
      </w:r>
      <w:r w:rsidR="00967359">
        <w:t xml:space="preserve"> By contrast, indirect taxes</w:t>
      </w:r>
      <w:r w:rsidR="00C764AD">
        <w:t xml:space="preserve">, except for the excise </w:t>
      </w:r>
      <w:r w:rsidR="00F7086D">
        <w:t>duty</w:t>
      </w:r>
      <w:r w:rsidR="00C764AD">
        <w:t xml:space="preserve"> on fuel, are regressive</w:t>
      </w:r>
      <w:r w:rsidR="007B3141">
        <w:t xml:space="preserve"> (green bars)</w:t>
      </w:r>
      <w:r w:rsidR="00C764AD">
        <w:t>. Among them, excises on tobacco and alcohol products, are the most regressive</w:t>
      </w:r>
      <w:r w:rsidR="00F7086D">
        <w:t xml:space="preserve"> because of the distributional pattern of consumption of these items</w:t>
      </w:r>
      <w:r w:rsidR="00A83B71">
        <w:t>.</w:t>
      </w:r>
      <w:r w:rsidR="00F7086D">
        <w:t xml:space="preserve"> </w:t>
      </w:r>
      <w:r w:rsidR="00A83B71">
        <w:t>P</w:t>
      </w:r>
      <w:r w:rsidR="00F7086D">
        <w:t>oor and low-income households have a larger percentage consumption of alcohol and tobacco and therefore bear the largest share of the burden.</w:t>
      </w:r>
      <w:r w:rsidR="00A83B71">
        <w:t xml:space="preserve"> However, this effect does not account for the long-term</w:t>
      </w:r>
      <w:r w:rsidR="006219DF">
        <w:t xml:space="preserve"> beneficial effect of higher excises on alcohol and tobacco that might </w:t>
      </w:r>
      <w:r w:rsidR="00F704D0">
        <w:t>contribute</w:t>
      </w:r>
      <w:r w:rsidR="006219DF">
        <w:t xml:space="preserve"> to reduce consumption and the</w:t>
      </w:r>
      <w:r w:rsidR="00F704D0">
        <w:t>re</w:t>
      </w:r>
      <w:r w:rsidR="006219DF">
        <w:t xml:space="preserve">fore to lower </w:t>
      </w:r>
      <w:r w:rsidR="00F704D0">
        <w:t xml:space="preserve">public </w:t>
      </w:r>
      <w:r w:rsidR="006219DF">
        <w:t xml:space="preserve">health </w:t>
      </w:r>
      <w:r w:rsidR="00F704D0">
        <w:t>expenditure</w:t>
      </w:r>
      <w:r w:rsidR="006219DF">
        <w:t xml:space="preserve"> and </w:t>
      </w:r>
      <w:r w:rsidR="00F704D0">
        <w:t>to increase the number of years in good health.</w:t>
      </w:r>
      <w:r w:rsidR="003149FD">
        <w:t xml:space="preserve"> </w:t>
      </w:r>
      <w:r w:rsidR="0049538B">
        <w:t>Indirect subsidies are progressive</w:t>
      </w:r>
      <w:r w:rsidR="002B2DC8">
        <w:t xml:space="preserve">, particularly </w:t>
      </w:r>
      <w:r w:rsidR="00B014C5">
        <w:t>the rice consumption subsidy</w:t>
      </w:r>
      <w:r w:rsidR="0051261E">
        <w:t xml:space="preserve"> </w:t>
      </w:r>
      <w:r w:rsidR="00B014C5">
        <w:t xml:space="preserve">and the </w:t>
      </w:r>
      <w:r w:rsidR="002B2DC8">
        <w:t xml:space="preserve">subsidy to bus transport. </w:t>
      </w:r>
      <w:r w:rsidR="00423634">
        <w:t xml:space="preserve">Finally, in-kind health and education transfers are also progressive </w:t>
      </w:r>
      <w:r w:rsidR="007B3141">
        <w:t>(brown bars)</w:t>
      </w:r>
      <w:r w:rsidR="00423634">
        <w:t xml:space="preserve">. However, the degree of progressivity is </w:t>
      </w:r>
      <w:r w:rsidR="00A50E51">
        <w:t xml:space="preserve">higher for </w:t>
      </w:r>
      <w:r w:rsidR="00C11058">
        <w:t>pre</w:t>
      </w:r>
      <w:r w:rsidR="00A50E51">
        <w:t>primary, primary and</w:t>
      </w:r>
      <w:r w:rsidR="007A6C18">
        <w:t xml:space="preserve"> secondary education, whereas technical and vocational and tertiary education</w:t>
      </w:r>
      <w:r w:rsidR="00423634">
        <w:t xml:space="preserve"> </w:t>
      </w:r>
      <w:r w:rsidR="007A6C18">
        <w:t xml:space="preserve">are less so due to the </w:t>
      </w:r>
      <w:r w:rsidR="00BA6623">
        <w:t>large share of students that</w:t>
      </w:r>
      <w:r w:rsidR="00F95383">
        <w:t xml:space="preserve"> enroll at these levels and that make </w:t>
      </w:r>
      <w:r w:rsidR="00BA6623">
        <w:t>affluent households</w:t>
      </w:r>
      <w:r w:rsidR="00F95383">
        <w:t xml:space="preserve"> benefit proportionally more from </w:t>
      </w:r>
      <w:r w:rsidR="00ED0D2C">
        <w:t>public educational expenditures at these levels</w:t>
      </w:r>
      <w:r w:rsidR="00BA6623">
        <w:t>.</w:t>
      </w:r>
    </w:p>
    <w:p w14:paraId="6A0E3ED6" w14:textId="0DD240A3" w:rsidR="002E6831" w:rsidRPr="00F452D2" w:rsidRDefault="002E6831" w:rsidP="00F452D2">
      <w:pPr>
        <w:rPr>
          <w:rFonts w:asciiTheme="majorHAnsi" w:hAnsiTheme="majorHAnsi" w:cstheme="majorHAnsi"/>
          <w:szCs w:val="22"/>
        </w:rPr>
      </w:pPr>
      <w:r>
        <w:br w:type="page"/>
      </w:r>
    </w:p>
    <w:p w14:paraId="3F8D85BD" w14:textId="5CACC81D" w:rsidR="002E6831" w:rsidRPr="00520C2C" w:rsidRDefault="002E6831" w:rsidP="00520C2C">
      <w:pPr>
        <w:pStyle w:val="Heading1"/>
        <w:numPr>
          <w:ilvl w:val="0"/>
          <w:numId w:val="2"/>
        </w:numPr>
        <w:rPr>
          <w:rFonts w:ascii="Times New Roman" w:hAnsi="Times New Roman" w:cs="Times New Roman"/>
        </w:rPr>
      </w:pPr>
      <w:bookmarkStart w:id="108" w:name="_Toc8812807"/>
      <w:bookmarkStart w:id="109" w:name="_Toc10824880"/>
      <w:bookmarkStart w:id="110" w:name="_Toc10824952"/>
      <w:r w:rsidRPr="00520C2C">
        <w:rPr>
          <w:rFonts w:ascii="Times New Roman" w:hAnsi="Times New Roman" w:cs="Times New Roman"/>
        </w:rPr>
        <w:t xml:space="preserve">Impact of </w:t>
      </w:r>
      <w:r w:rsidR="00AD6BFF">
        <w:rPr>
          <w:rFonts w:ascii="Times New Roman" w:hAnsi="Times New Roman" w:cs="Times New Roman"/>
        </w:rPr>
        <w:t>the Net Fiscal System</w:t>
      </w:r>
      <w:r w:rsidRPr="00520C2C">
        <w:rPr>
          <w:rFonts w:ascii="Times New Roman" w:hAnsi="Times New Roman" w:cs="Times New Roman"/>
        </w:rPr>
        <w:t xml:space="preserve"> on Poverty and Inequality</w:t>
      </w:r>
      <w:bookmarkEnd w:id="108"/>
      <w:bookmarkEnd w:id="109"/>
      <w:bookmarkEnd w:id="110"/>
    </w:p>
    <w:p w14:paraId="2022BE11" w14:textId="442167EF" w:rsidR="000107AC" w:rsidRDefault="00423634" w:rsidP="00717C49">
      <w:r w:rsidRPr="00B8214E">
        <w:t xml:space="preserve">The previous section has investigated </w:t>
      </w:r>
      <w:r w:rsidR="00EB6446" w:rsidRPr="00B8214E">
        <w:t>whether</w:t>
      </w:r>
      <w:r w:rsidR="00921F18" w:rsidRPr="00B8214E">
        <w:t xml:space="preserve"> each single fiscal instrument from direct taxes to in-kind transfer is progressive or </w:t>
      </w:r>
      <w:r w:rsidR="00EB6446" w:rsidRPr="00B8214E">
        <w:t>regressive</w:t>
      </w:r>
      <w:r w:rsidR="00921F18" w:rsidRPr="00B8214E">
        <w:t xml:space="preserve">. However, </w:t>
      </w:r>
      <w:r w:rsidR="00EB6446" w:rsidRPr="00B8214E">
        <w:t>as shown in Enami, Lustig, and Aranda (</w:t>
      </w:r>
      <w:r w:rsidR="004C4AD9" w:rsidRPr="00B8214E">
        <w:t>2018</w:t>
      </w:r>
      <w:r w:rsidR="00EB6446" w:rsidRPr="00B8214E">
        <w:t>) and Enami (</w:t>
      </w:r>
      <w:r w:rsidR="004C4AD9" w:rsidRPr="00B8214E">
        <w:t>2018</w:t>
      </w:r>
      <w:r w:rsidR="00F62F59">
        <w:t>a</w:t>
      </w:r>
      <w:r w:rsidR="00EB6446" w:rsidRPr="00B8214E">
        <w:t xml:space="preserve">), </w:t>
      </w:r>
      <w:r w:rsidR="000C3F17" w:rsidRPr="00B8214E">
        <w:t xml:space="preserve">a </w:t>
      </w:r>
      <w:r w:rsidR="00EB6446" w:rsidRPr="00B8214E">
        <w:t xml:space="preserve">progressive </w:t>
      </w:r>
      <w:r w:rsidR="000C3F17" w:rsidRPr="00B8214E">
        <w:t xml:space="preserve">fiscal instrument </w:t>
      </w:r>
      <w:r w:rsidR="00EB6446" w:rsidRPr="00B8214E">
        <w:t>is not necessarily equalizing</w:t>
      </w:r>
      <w:r w:rsidR="000C3F17" w:rsidRPr="00B8214E">
        <w:t xml:space="preserve"> and</w:t>
      </w:r>
      <w:r w:rsidR="00EB6446" w:rsidRPr="00B8214E">
        <w:t xml:space="preserve"> poverty-reducing</w:t>
      </w:r>
      <w:r w:rsidR="006D7D27" w:rsidRPr="00B8214E">
        <w:t xml:space="preserve">. </w:t>
      </w:r>
      <w:r w:rsidR="006D7D27" w:rsidRPr="005B7707">
        <w:t>Moreover</w:t>
      </w:r>
      <w:r w:rsidR="00EB6446" w:rsidRPr="005B7707">
        <w:t>, even if a tax and transfer system is poverty-reducing and progressive, it can make a portion of the poor poorer</w:t>
      </w:r>
      <w:r w:rsidR="00F641C0" w:rsidRPr="005B7707">
        <w:t xml:space="preserve"> or</w:t>
      </w:r>
      <w:r w:rsidR="00EB6446" w:rsidRPr="005B7707">
        <w:t xml:space="preserve"> </w:t>
      </w:r>
      <w:r w:rsidR="00F641C0" w:rsidRPr="005B7707">
        <w:t>push</w:t>
      </w:r>
      <w:r w:rsidR="00EB6446" w:rsidRPr="005B7707">
        <w:t xml:space="preserve"> some n</w:t>
      </w:r>
      <w:r w:rsidR="004C6E0D">
        <w:t>on</w:t>
      </w:r>
      <w:r w:rsidR="00EB6446" w:rsidRPr="005B7707">
        <w:t xml:space="preserve">poor </w:t>
      </w:r>
      <w:r w:rsidR="00F641C0" w:rsidRPr="005B7707">
        <w:t>below the poverty line</w:t>
      </w:r>
      <w:r w:rsidR="006D7D27" w:rsidRPr="005B7707">
        <w:t xml:space="preserve"> (Higgins and Lustig 2016)</w:t>
      </w:r>
      <w:r w:rsidR="00EB6446" w:rsidRPr="005B7707">
        <w:t>.</w:t>
      </w:r>
      <w:r w:rsidR="00B8214E">
        <w:t xml:space="preserve"> This section </w:t>
      </w:r>
      <w:r w:rsidR="006E2FFD">
        <w:t>answers</w:t>
      </w:r>
      <w:r w:rsidR="00B8214E">
        <w:t xml:space="preserve"> questions regarding the redistributive (inequality) </w:t>
      </w:r>
      <w:r w:rsidR="00906F30">
        <w:t xml:space="preserve">and poverty </w:t>
      </w:r>
      <w:r w:rsidR="00B8214E">
        <w:t>effect of each fiscal instrument individually as well as of the ne</w:t>
      </w:r>
      <w:r w:rsidR="00906F30">
        <w:t xml:space="preserve">t fiscal system in its complexity. </w:t>
      </w:r>
      <w:r w:rsidR="008D78D2" w:rsidRPr="00B8214E">
        <w:t>To ascertain the effect of each intervention on inequality</w:t>
      </w:r>
      <w:r w:rsidR="00547BBD">
        <w:t xml:space="preserve"> and poverty</w:t>
      </w:r>
      <w:r w:rsidR="008D78D2" w:rsidRPr="00B8214E">
        <w:t>, the analysis makes use of the marginal contribution of each intervention</w:t>
      </w:r>
      <w:r w:rsidR="00547BBD">
        <w:t>, which</w:t>
      </w:r>
      <w:r w:rsidR="008D78D2" w:rsidRPr="00B8214E">
        <w:t xml:space="preserve"> is defined as the difference in the Gini coefficient </w:t>
      </w:r>
      <w:r w:rsidR="00547BBD">
        <w:t xml:space="preserve">(or poverty indicator) </w:t>
      </w:r>
      <w:r w:rsidR="008D78D2" w:rsidRPr="00B8214E">
        <w:t xml:space="preserve">for an income aggregate that includes and excludes a given intervention. </w:t>
      </w:r>
      <w:r w:rsidR="00815827">
        <w:t xml:space="preserve">If positive, it indicates a </w:t>
      </w:r>
      <w:r w:rsidR="00AE62F7">
        <w:t>reduction in inequality (Gini coefficient) or in the poverty headcount.</w:t>
      </w:r>
    </w:p>
    <w:p w14:paraId="554AFE95" w14:textId="07F8AC6A" w:rsidR="00191886" w:rsidRDefault="00F9260C" w:rsidP="00191886">
      <w:pPr>
        <w:pStyle w:val="Heading3"/>
      </w:pPr>
      <w:bookmarkStart w:id="111" w:name="_Toc8812808"/>
      <w:bookmarkStart w:id="112" w:name="_Toc10824881"/>
      <w:bookmarkStart w:id="113" w:name="_Toc10824953"/>
      <w:r>
        <w:t>Which</w:t>
      </w:r>
      <w:r w:rsidR="00191886">
        <w:t xml:space="preserve"> tax</w:t>
      </w:r>
      <w:r w:rsidR="00804592">
        <w:t>es</w:t>
      </w:r>
      <w:r w:rsidR="00191886">
        <w:t xml:space="preserve"> </w:t>
      </w:r>
      <w:r w:rsidR="00804592">
        <w:t>and</w:t>
      </w:r>
      <w:r w:rsidR="00191886">
        <w:t xml:space="preserve"> transfer</w:t>
      </w:r>
      <w:r w:rsidR="00804592">
        <w:t>s are</w:t>
      </w:r>
      <w:r w:rsidR="00191886">
        <w:t xml:space="preserve"> equalizing</w:t>
      </w:r>
      <w:r w:rsidR="00034EDA">
        <w:t xml:space="preserve"> and/or pro-poor</w:t>
      </w:r>
      <w:r w:rsidR="00191886">
        <w:t>?</w:t>
      </w:r>
      <w:bookmarkEnd w:id="111"/>
      <w:bookmarkEnd w:id="112"/>
      <w:bookmarkEnd w:id="113"/>
      <w:r w:rsidR="00191886">
        <w:t xml:space="preserve"> </w:t>
      </w:r>
    </w:p>
    <w:p w14:paraId="625FEAC2" w14:textId="76A0176A" w:rsidR="00454B2A" w:rsidRDefault="00575DE0" w:rsidP="00E1718D">
      <w:r w:rsidRPr="006F4670">
        <w:rPr>
          <w:b/>
        </w:rPr>
        <w:t>D</w:t>
      </w:r>
      <w:r w:rsidR="004022D2" w:rsidRPr="006F4670">
        <w:rPr>
          <w:b/>
        </w:rPr>
        <w:t xml:space="preserve">irect </w:t>
      </w:r>
      <w:r w:rsidR="00547B48" w:rsidRPr="006F4670">
        <w:rPr>
          <w:b/>
        </w:rPr>
        <w:t>transfers</w:t>
      </w:r>
      <w:r w:rsidRPr="006F4670">
        <w:rPr>
          <w:b/>
        </w:rPr>
        <w:t xml:space="preserve"> decrease both poverty</w:t>
      </w:r>
      <w:r w:rsidR="00547B48" w:rsidRPr="006F4670">
        <w:rPr>
          <w:b/>
        </w:rPr>
        <w:t xml:space="preserve"> </w:t>
      </w:r>
      <w:r w:rsidRPr="006F4670">
        <w:rPr>
          <w:b/>
        </w:rPr>
        <w:t xml:space="preserve">and inequality, whereas direct taxes only </w:t>
      </w:r>
      <w:r w:rsidR="001A096C">
        <w:rPr>
          <w:b/>
        </w:rPr>
        <w:t>reduce</w:t>
      </w:r>
      <w:r w:rsidRPr="006F4670">
        <w:rPr>
          <w:b/>
        </w:rPr>
        <w:t xml:space="preserve"> </w:t>
      </w:r>
      <w:r w:rsidR="001A096C">
        <w:rPr>
          <w:b/>
        </w:rPr>
        <w:t>inequality</w:t>
      </w:r>
      <w:r w:rsidRPr="006F4670">
        <w:rPr>
          <w:b/>
        </w:rPr>
        <w:t>.</w:t>
      </w:r>
      <w:r>
        <w:t xml:space="preserve"> </w:t>
      </w:r>
      <w:r w:rsidR="005D359D">
        <w:t>The poverty headcount rate measured against the national poverty line (</w:t>
      </w:r>
      <w:r w:rsidR="003323CA">
        <w:t xml:space="preserve">at </w:t>
      </w:r>
      <w:r w:rsidR="00C11058">
        <w:t>MUR</w:t>
      </w:r>
      <w:r w:rsidR="005D359D">
        <w:t xml:space="preserve"> 6,404 </w:t>
      </w:r>
      <w:r w:rsidR="00291DE2">
        <w:t>per day expressed in</w:t>
      </w:r>
      <w:r w:rsidR="005D359D">
        <w:t xml:space="preserve"> adult equivalent)</w:t>
      </w:r>
      <w:r w:rsidR="005E2737">
        <w:t xml:space="preserve"> declines </w:t>
      </w:r>
      <w:r w:rsidR="00C47CA1">
        <w:t xml:space="preserve">by </w:t>
      </w:r>
      <w:r w:rsidR="00F330A5">
        <w:t xml:space="preserve">5.9 percentage points </w:t>
      </w:r>
      <w:r w:rsidR="00C47CA1">
        <w:t xml:space="preserve">thanks to the </w:t>
      </w:r>
      <w:r w:rsidR="00F330A5">
        <w:t xml:space="preserve">fiscal system, in particular it goes down </w:t>
      </w:r>
      <w:r w:rsidR="005E2737">
        <w:t>by</w:t>
      </w:r>
      <w:r w:rsidR="00F7003B">
        <w:t xml:space="preserve"> </w:t>
      </w:r>
      <w:r w:rsidR="00B6519D">
        <w:t>9</w:t>
      </w:r>
      <w:r w:rsidR="00F7003B">
        <w:t xml:space="preserve"> percentage points</w:t>
      </w:r>
      <w:r w:rsidR="00FE2B91">
        <w:t xml:space="preserve"> with </w:t>
      </w:r>
      <w:r w:rsidR="00B6519D">
        <w:t>the system of direct transfers</w:t>
      </w:r>
      <w:r w:rsidR="00FE2B91">
        <w:t xml:space="preserve"> and </w:t>
      </w:r>
      <w:r w:rsidR="00C372F4">
        <w:t>modestly increases</w:t>
      </w:r>
      <w:r w:rsidR="00FE2B91">
        <w:t xml:space="preserve"> </w:t>
      </w:r>
      <w:r w:rsidR="00C372F4">
        <w:t>(</w:t>
      </w:r>
      <w:r w:rsidR="00FE2B91">
        <w:t xml:space="preserve">by </w:t>
      </w:r>
      <w:r w:rsidR="00C372F4">
        <w:t>1</w:t>
      </w:r>
      <w:r w:rsidR="00D10042">
        <w:t>.6</w:t>
      </w:r>
      <w:r w:rsidR="00FE2B91">
        <w:t xml:space="preserve"> percentage point</w:t>
      </w:r>
      <w:r w:rsidR="00D10042">
        <w:t>s</w:t>
      </w:r>
      <w:r w:rsidR="00C372F4">
        <w:t xml:space="preserve">) due to the effect of </w:t>
      </w:r>
      <w:r w:rsidR="006F4670">
        <w:t xml:space="preserve">direct </w:t>
      </w:r>
      <w:r w:rsidR="00C372F4">
        <w:t>taxes and contributions</w:t>
      </w:r>
      <w:r w:rsidR="0073194C">
        <w:t xml:space="preserve"> (</w:t>
      </w:r>
      <w:r w:rsidR="0073194C">
        <w:fldChar w:fldCharType="begin"/>
      </w:r>
      <w:r w:rsidR="0073194C">
        <w:instrText xml:space="preserve"> REF _Ref8422039 \h </w:instrText>
      </w:r>
      <w:r w:rsidR="00962514">
        <w:instrText xml:space="preserve"> \* MERGEFORMAT </w:instrText>
      </w:r>
      <w:r w:rsidR="0073194C">
        <w:fldChar w:fldCharType="separate"/>
      </w:r>
      <w:r w:rsidR="00C37C80" w:rsidRPr="00C37C80">
        <w:t>Figure 4.1</w:t>
      </w:r>
      <w:r w:rsidR="0073194C">
        <w:fldChar w:fldCharType="end"/>
      </w:r>
      <w:r w:rsidR="00D14058">
        <w:t xml:space="preserve">, </w:t>
      </w:r>
      <w:r w:rsidR="00F36E36">
        <w:t>purple</w:t>
      </w:r>
      <w:r w:rsidR="00D14058">
        <w:t xml:space="preserve"> </w:t>
      </w:r>
      <w:r w:rsidR="00193C82">
        <w:t xml:space="preserve">and yellow </w:t>
      </w:r>
      <w:r w:rsidR="00D14058">
        <w:t>bars</w:t>
      </w:r>
      <w:r w:rsidR="007A3E9D">
        <w:t>,</w:t>
      </w:r>
      <w:r w:rsidR="00193C82">
        <w:t xml:space="preserve"> respectively</w:t>
      </w:r>
      <w:r w:rsidR="0073194C">
        <w:t>)</w:t>
      </w:r>
      <w:r w:rsidR="006F4670">
        <w:t xml:space="preserve">. </w:t>
      </w:r>
      <w:r w:rsidR="00B1068F">
        <w:t>A</w:t>
      </w:r>
      <w:r w:rsidR="005A4F89">
        <w:t xml:space="preserve">mong cash transfers, </w:t>
      </w:r>
      <w:r w:rsidR="00862888">
        <w:t xml:space="preserve">the </w:t>
      </w:r>
      <w:r w:rsidR="00F55CB3">
        <w:t xml:space="preserve">BRP </w:t>
      </w:r>
      <w:r w:rsidR="00603A8F">
        <w:t xml:space="preserve">is particularly </w:t>
      </w:r>
      <w:r w:rsidR="006F4670">
        <w:t xml:space="preserve">effective in reducing poverty </w:t>
      </w:r>
      <w:r w:rsidR="001C7C73">
        <w:t>(-</w:t>
      </w:r>
      <w:r w:rsidR="008A2CE0">
        <w:t>6.5</w:t>
      </w:r>
      <w:r w:rsidR="001C7C73">
        <w:t xml:space="preserve"> </w:t>
      </w:r>
      <w:r w:rsidR="000D740C">
        <w:t xml:space="preserve">percentage </w:t>
      </w:r>
      <w:r w:rsidR="001C7C73">
        <w:t xml:space="preserve">points) </w:t>
      </w:r>
      <w:r w:rsidR="00607AF2">
        <w:t>followed by</w:t>
      </w:r>
      <w:r w:rsidR="001C7C73">
        <w:t xml:space="preserve"> the Basic Invalid Pension (-1.4 </w:t>
      </w:r>
      <w:r w:rsidR="000D740C">
        <w:t xml:space="preserve">percentage </w:t>
      </w:r>
      <w:r w:rsidR="001C7C73">
        <w:t>points)</w:t>
      </w:r>
      <w:r w:rsidR="00B6189F">
        <w:t xml:space="preserve">, whereas the effect of Social Aid is rather small </w:t>
      </w:r>
      <w:r w:rsidR="004F49B7">
        <w:t>(</w:t>
      </w:r>
      <w:r w:rsidR="00B6189F">
        <w:t>-0.3 percentage points</w:t>
      </w:r>
      <w:r w:rsidR="004F49B7">
        <w:t>)</w:t>
      </w:r>
      <w:r w:rsidR="00B6189F">
        <w:t xml:space="preserve">. </w:t>
      </w:r>
      <w:r w:rsidR="00A749D3">
        <w:t xml:space="preserve">Among direct taxes, </w:t>
      </w:r>
      <w:r w:rsidR="006B6BFA">
        <w:t xml:space="preserve">contributions paid to social security are moderately poverty increasing </w:t>
      </w:r>
      <w:r w:rsidR="009141BA">
        <w:t>(1</w:t>
      </w:r>
      <w:r w:rsidR="00175FE3">
        <w:t>.</w:t>
      </w:r>
      <w:r w:rsidR="009141BA">
        <w:t>3 percentage points)</w:t>
      </w:r>
      <w:r w:rsidR="006B6BFA">
        <w:t xml:space="preserve">. </w:t>
      </w:r>
      <w:r w:rsidR="006A03CF">
        <w:t>The redistributive effect</w:t>
      </w:r>
      <w:r w:rsidR="004F49B7">
        <w:t>,</w:t>
      </w:r>
      <w:r w:rsidR="002B5EB8">
        <w:t xml:space="preserve"> captured by the change in the Gini coefficient with and without a particular fiscal intervention</w:t>
      </w:r>
      <w:r w:rsidR="004F49B7">
        <w:t>,</w:t>
      </w:r>
      <w:r w:rsidR="002B5EB8">
        <w:t xml:space="preserve"> </w:t>
      </w:r>
      <w:r w:rsidR="0039698A">
        <w:t>of cash transfers is s</w:t>
      </w:r>
      <w:r w:rsidR="005F5E3B">
        <w:t>iza</w:t>
      </w:r>
      <w:r w:rsidR="0039698A">
        <w:t xml:space="preserve">ble. </w:t>
      </w:r>
      <w:r w:rsidR="00D20BC8">
        <w:t xml:space="preserve">The reduction in inequality is estimated at </w:t>
      </w:r>
      <w:r w:rsidR="004C20CF">
        <w:t xml:space="preserve">4.5 Gini points, with BRP </w:t>
      </w:r>
      <w:r w:rsidR="004E1612">
        <w:t xml:space="preserve">alone </w:t>
      </w:r>
      <w:r w:rsidR="00976796">
        <w:t xml:space="preserve">contributing 3.1 Gini points </w:t>
      </w:r>
      <w:r w:rsidR="0038353B">
        <w:t>to the</w:t>
      </w:r>
      <w:r w:rsidR="004C20CF">
        <w:t xml:space="preserve"> decline</w:t>
      </w:r>
      <w:r w:rsidR="00BD2D27">
        <w:t xml:space="preserve">. By contrast, direct taxes increase inequality by </w:t>
      </w:r>
      <w:r w:rsidR="0091011A">
        <w:t>0.</w:t>
      </w:r>
      <w:r w:rsidR="00976796">
        <w:t>9</w:t>
      </w:r>
      <w:r w:rsidR="00BD2D27">
        <w:t xml:space="preserve"> Gini point</w:t>
      </w:r>
      <w:r w:rsidR="00962514">
        <w:t xml:space="preserve"> (</w:t>
      </w:r>
      <w:r w:rsidR="00962514">
        <w:fldChar w:fldCharType="begin"/>
      </w:r>
      <w:r w:rsidR="00962514">
        <w:instrText xml:space="preserve"> REF _Ref8422063 \h  \* MERGEFORMAT </w:instrText>
      </w:r>
      <w:r w:rsidR="00962514">
        <w:fldChar w:fldCharType="separate"/>
      </w:r>
      <w:r w:rsidR="00C37C80" w:rsidRPr="00C37C80">
        <w:t>Figure 4.2</w:t>
      </w:r>
      <w:r w:rsidR="00962514">
        <w:fldChar w:fldCharType="end"/>
      </w:r>
      <w:r w:rsidR="00962514">
        <w:t>)</w:t>
      </w:r>
      <w:r w:rsidR="00BD2D27">
        <w:t>.</w:t>
      </w:r>
      <w:r w:rsidR="006125EA">
        <w:t xml:space="preserve"> </w:t>
      </w:r>
    </w:p>
    <w:p w14:paraId="36B6A5AB" w14:textId="0444452C" w:rsidR="00716457" w:rsidRDefault="00716457" w:rsidP="00716457">
      <w:r>
        <w:rPr>
          <w:b/>
        </w:rPr>
        <w:t>Ind</w:t>
      </w:r>
      <w:r w:rsidRPr="006F4670">
        <w:rPr>
          <w:b/>
        </w:rPr>
        <w:t xml:space="preserve">irect </w:t>
      </w:r>
      <w:r>
        <w:rPr>
          <w:b/>
        </w:rPr>
        <w:t xml:space="preserve">taxes are unequalizing </w:t>
      </w:r>
      <w:r w:rsidR="00B92634">
        <w:rPr>
          <w:b/>
        </w:rPr>
        <w:t xml:space="preserve">in the short-term </w:t>
      </w:r>
      <w:r>
        <w:rPr>
          <w:b/>
        </w:rPr>
        <w:t>and result in sizable increase in poverty.</w:t>
      </w:r>
      <w:r>
        <w:t xml:space="preserve"> VAT and excise taxes exert an inequality increasing effect on the distribution of </w:t>
      </w:r>
      <w:r w:rsidR="00C11058">
        <w:t>pre</w:t>
      </w:r>
      <w:r>
        <w:t xml:space="preserve">fiscal income: inequality with indirect taxes is </w:t>
      </w:r>
      <w:r w:rsidR="00703303">
        <w:t>0.9</w:t>
      </w:r>
      <w:r>
        <w:t xml:space="preserve"> Gini points higher (</w:t>
      </w:r>
      <w:r>
        <w:fldChar w:fldCharType="begin"/>
      </w:r>
      <w:r>
        <w:instrText xml:space="preserve"> REF _Ref8422063 \h  \* MERGEFORMAT </w:instrText>
      </w:r>
      <w:r>
        <w:fldChar w:fldCharType="separate"/>
      </w:r>
      <w:r w:rsidR="00C37C80" w:rsidRPr="00C37C80">
        <w:t>Figure 4.2</w:t>
      </w:r>
      <w:r>
        <w:fldChar w:fldCharType="end"/>
      </w:r>
      <w:r>
        <w:t>, green bars). The bulk of the unequalizing effect of indirect taxes is ascribable to excise duties on tobacco and alcohol (</w:t>
      </w:r>
      <w:r w:rsidR="008E5099">
        <w:t>0.</w:t>
      </w:r>
      <w:r w:rsidR="00472FA3">
        <w:t>5</w:t>
      </w:r>
      <w:r>
        <w:t xml:space="preserve"> and 0.</w:t>
      </w:r>
      <w:r w:rsidR="00472FA3">
        <w:t>2</w:t>
      </w:r>
      <w:r>
        <w:t xml:space="preserve"> Gini points), followed by VAT (0.</w:t>
      </w:r>
      <w:r w:rsidR="00472FA3">
        <w:t>18</w:t>
      </w:r>
      <w:r>
        <w:t xml:space="preserve"> Gini points). </w:t>
      </w:r>
      <w:r w:rsidR="002D7527">
        <w:t>T</w:t>
      </w:r>
      <w:r w:rsidR="00C63547">
        <w:t xml:space="preserve">hese </w:t>
      </w:r>
      <w:r w:rsidR="006C6ABA">
        <w:t>estimates only</w:t>
      </w:r>
      <w:r w:rsidR="00C63547">
        <w:t xml:space="preserve"> capture short-term</w:t>
      </w:r>
      <w:r w:rsidR="006C6ABA">
        <w:t xml:space="preserve"> effects</w:t>
      </w:r>
      <w:r w:rsidR="00C63547">
        <w:t xml:space="preserve">, </w:t>
      </w:r>
      <w:r w:rsidR="006C6ABA">
        <w:t xml:space="preserve">and </w:t>
      </w:r>
      <w:r w:rsidR="00A673C5">
        <w:t xml:space="preserve">excises on alcohol and tobacco can have overall positive effect on the welfare of low-income households via </w:t>
      </w:r>
      <w:r w:rsidR="00004C2A">
        <w:t>lower health-related expenditures and longer life expectancy</w:t>
      </w:r>
      <w:r w:rsidR="007C2443">
        <w:t xml:space="preserve">. </w:t>
      </w:r>
      <w:r>
        <w:t xml:space="preserve">In addition, poverty increases by </w:t>
      </w:r>
      <w:r w:rsidR="005B7F6E">
        <w:t>5</w:t>
      </w:r>
      <w:r>
        <w:t xml:space="preserve"> percentage points due to indirect taxes, and particularly because of </w:t>
      </w:r>
      <w:r w:rsidR="008260B5">
        <w:t xml:space="preserve">VAT and </w:t>
      </w:r>
      <w:r>
        <w:t xml:space="preserve">excises on fuel and </w:t>
      </w:r>
      <w:r w:rsidR="008260B5">
        <w:t xml:space="preserve">tobacco </w:t>
      </w:r>
      <w:r>
        <w:t>(</w:t>
      </w:r>
      <w:r>
        <w:fldChar w:fldCharType="begin"/>
      </w:r>
      <w:r>
        <w:instrText xml:space="preserve"> REF _Ref8422039 \h  \* MERGEFORMAT </w:instrText>
      </w:r>
      <w:r>
        <w:fldChar w:fldCharType="separate"/>
      </w:r>
      <w:r w:rsidR="00C37C80" w:rsidRPr="00C37C80">
        <w:t>Figure 4.1</w:t>
      </w:r>
      <w:r>
        <w:fldChar w:fldCharType="end"/>
      </w:r>
      <w:r>
        <w:t>, brown bars). When moving from disposable to consumable income, about 9 percent of individuals are fiscally impoverished at the national poverty line. In other words, indirect taxes on consumption make some poor poorer and some n</w:t>
      </w:r>
      <w:r w:rsidR="004C6E0D">
        <w:t>on</w:t>
      </w:r>
      <w:r>
        <w:t>poor poor.</w:t>
      </w:r>
    </w:p>
    <w:p w14:paraId="713C708C" w14:textId="6D5A74CC" w:rsidR="00716457" w:rsidRDefault="00716457" w:rsidP="00E1718D"/>
    <w:tbl>
      <w:tblPr>
        <w:tblW w:w="9360" w:type="dxa"/>
        <w:tblLayout w:type="fixed"/>
        <w:tblCellMar>
          <w:left w:w="0" w:type="dxa"/>
          <w:right w:w="0" w:type="dxa"/>
        </w:tblCellMar>
        <w:tblLook w:val="04A0" w:firstRow="1" w:lastRow="0" w:firstColumn="1" w:lastColumn="0" w:noHBand="0" w:noVBand="1"/>
      </w:tblPr>
      <w:tblGrid>
        <w:gridCol w:w="9360"/>
      </w:tblGrid>
      <w:tr w:rsidR="00454B2A" w:rsidRPr="001E6C40" w14:paraId="2D582621" w14:textId="77777777" w:rsidTr="004B37D4">
        <w:trPr>
          <w:cantSplit/>
        </w:trPr>
        <w:tc>
          <w:tcPr>
            <w:tcW w:w="9360" w:type="dxa"/>
            <w:hideMark/>
          </w:tcPr>
          <w:p w14:paraId="1C56145E" w14:textId="484008BC" w:rsidR="00454B2A" w:rsidRPr="001E6C40" w:rsidRDefault="00454B2A" w:rsidP="004B37D4">
            <w:pPr>
              <w:pStyle w:val="Caption2"/>
              <w:spacing w:line="256" w:lineRule="auto"/>
              <w:jc w:val="left"/>
              <w:rPr>
                <w:b/>
                <w:i w:val="0"/>
                <w:sz w:val="18"/>
                <w:szCs w:val="18"/>
                <w:lang w:eastAsia="en-GB"/>
              </w:rPr>
            </w:pPr>
            <w:bookmarkStart w:id="114" w:name="_Ref8422039"/>
            <w:bookmarkStart w:id="115" w:name="_Toc11255077"/>
            <w:r w:rsidRPr="001E6C40">
              <w:rPr>
                <w:b/>
                <w:i w:val="0"/>
                <w:sz w:val="18"/>
                <w:szCs w:val="18"/>
                <w:lang w:eastAsia="en-GB"/>
              </w:rPr>
              <w:t xml:space="preserve">Figure </w:t>
            </w:r>
            <w:r>
              <w:rPr>
                <w:b/>
                <w:i w:val="0"/>
                <w:sz w:val="18"/>
                <w:szCs w:val="18"/>
                <w:lang w:eastAsia="en-GB"/>
              </w:rPr>
              <w:fldChar w:fldCharType="begin"/>
            </w:r>
            <w:r>
              <w:rPr>
                <w:b/>
                <w:i w:val="0"/>
                <w:sz w:val="18"/>
                <w:szCs w:val="18"/>
                <w:lang w:eastAsia="en-GB"/>
              </w:rPr>
              <w:instrText xml:space="preserve"> STYLEREF 1 \s </w:instrText>
            </w:r>
            <w:r>
              <w:rPr>
                <w:b/>
                <w:i w:val="0"/>
                <w:sz w:val="18"/>
                <w:szCs w:val="18"/>
                <w:lang w:eastAsia="en-GB"/>
              </w:rPr>
              <w:fldChar w:fldCharType="separate"/>
            </w:r>
            <w:r w:rsidR="00C37C80">
              <w:rPr>
                <w:b/>
                <w:i w:val="0"/>
                <w:noProof/>
                <w:sz w:val="18"/>
                <w:szCs w:val="18"/>
                <w:lang w:eastAsia="en-GB"/>
              </w:rPr>
              <w:t>4</w:t>
            </w:r>
            <w:r>
              <w:rPr>
                <w:b/>
                <w:i w:val="0"/>
                <w:sz w:val="18"/>
                <w:szCs w:val="18"/>
                <w:lang w:eastAsia="en-GB"/>
              </w:rPr>
              <w:fldChar w:fldCharType="end"/>
            </w:r>
            <w:r>
              <w:rPr>
                <w:b/>
                <w:i w:val="0"/>
                <w:sz w:val="18"/>
                <w:szCs w:val="18"/>
                <w:lang w:eastAsia="en-GB"/>
              </w:rPr>
              <w:t>.</w:t>
            </w:r>
            <w:r>
              <w:rPr>
                <w:b/>
                <w:i w:val="0"/>
                <w:sz w:val="18"/>
                <w:szCs w:val="18"/>
                <w:lang w:eastAsia="en-GB"/>
              </w:rPr>
              <w:fldChar w:fldCharType="begin"/>
            </w:r>
            <w:r>
              <w:rPr>
                <w:b/>
                <w:i w:val="0"/>
                <w:sz w:val="18"/>
                <w:szCs w:val="18"/>
                <w:lang w:eastAsia="en-GB"/>
              </w:rPr>
              <w:instrText xml:space="preserve"> SEQ Figure \* ARABIC \s 1 </w:instrText>
            </w:r>
            <w:r>
              <w:rPr>
                <w:b/>
                <w:i w:val="0"/>
                <w:sz w:val="18"/>
                <w:szCs w:val="18"/>
                <w:lang w:eastAsia="en-GB"/>
              </w:rPr>
              <w:fldChar w:fldCharType="separate"/>
            </w:r>
            <w:r w:rsidR="00C37C80">
              <w:rPr>
                <w:b/>
                <w:i w:val="0"/>
                <w:noProof/>
                <w:sz w:val="18"/>
                <w:szCs w:val="18"/>
                <w:lang w:eastAsia="en-GB"/>
              </w:rPr>
              <w:t>1</w:t>
            </w:r>
            <w:r>
              <w:rPr>
                <w:b/>
                <w:i w:val="0"/>
                <w:sz w:val="18"/>
                <w:szCs w:val="18"/>
                <w:lang w:eastAsia="en-GB"/>
              </w:rPr>
              <w:fldChar w:fldCharType="end"/>
            </w:r>
            <w:bookmarkEnd w:id="114"/>
            <w:r>
              <w:rPr>
                <w:b/>
                <w:i w:val="0"/>
              </w:rPr>
              <w:t xml:space="preserve"> </w:t>
            </w:r>
            <w:r>
              <w:rPr>
                <w:b/>
                <w:i w:val="0"/>
                <w:sz w:val="18"/>
                <w:szCs w:val="18"/>
                <w:lang w:eastAsia="en-GB"/>
              </w:rPr>
              <w:t>Marginal Contribution of Taxes and Transfers to Changes in Poverty Headcount (national poverty line)</w:t>
            </w:r>
            <w:bookmarkEnd w:id="115"/>
          </w:p>
        </w:tc>
      </w:tr>
      <w:tr w:rsidR="00454B2A" w14:paraId="1857A1C0" w14:textId="77777777" w:rsidTr="004B37D4">
        <w:trPr>
          <w:cantSplit/>
        </w:trPr>
        <w:tc>
          <w:tcPr>
            <w:tcW w:w="9360" w:type="dxa"/>
            <w:tcMar>
              <w:top w:w="0" w:type="dxa"/>
              <w:left w:w="108" w:type="dxa"/>
              <w:bottom w:w="0" w:type="dxa"/>
              <w:right w:w="108" w:type="dxa"/>
            </w:tcMar>
            <w:hideMark/>
          </w:tcPr>
          <w:p w14:paraId="29BB7A82" w14:textId="7660C9CC" w:rsidR="00454B2A" w:rsidRDefault="00435650" w:rsidP="004B37D4">
            <w:pPr>
              <w:spacing w:after="120"/>
              <w:rPr>
                <w:rFonts w:cs="Times New Roman"/>
                <w:sz w:val="16"/>
                <w:szCs w:val="16"/>
              </w:rPr>
            </w:pPr>
            <w:r>
              <w:rPr>
                <w:rFonts w:cs="Times New Roman"/>
                <w:noProof/>
                <w:sz w:val="16"/>
                <w:szCs w:val="16"/>
              </w:rPr>
              <w:drawing>
                <wp:inline distT="0" distB="0" distL="0" distR="0" wp14:anchorId="7A2A8FF7" wp14:editId="42925A59">
                  <wp:extent cx="5806440" cy="2903220"/>
                  <wp:effectExtent l="0" t="0" r="3810" b="0"/>
                  <wp:docPr id="1" name="Picture 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1_Marginal_Contribution_of_Taxes_and_Transfers_to_Changes_in_Poverty_Headcount_(national_poverty_line).png"/>
                          <pic:cNvPicPr/>
                        </pic:nvPicPr>
                        <pic:blipFill>
                          <a:blip r:embed="rId35">
                            <a:extLst>
                              <a:ext uri="{28A0092B-C50C-407E-A947-70E740481C1C}">
                                <a14:useLocalDpi xmlns:a14="http://schemas.microsoft.com/office/drawing/2010/main" val="0"/>
                              </a:ext>
                            </a:extLst>
                          </a:blip>
                          <a:stretch>
                            <a:fillRect/>
                          </a:stretch>
                        </pic:blipFill>
                        <pic:spPr>
                          <a:xfrm>
                            <a:off x="0" y="0"/>
                            <a:ext cx="5806440" cy="2903220"/>
                          </a:xfrm>
                          <a:prstGeom prst="rect">
                            <a:avLst/>
                          </a:prstGeom>
                        </pic:spPr>
                      </pic:pic>
                    </a:graphicData>
                  </a:graphic>
                </wp:inline>
              </w:drawing>
            </w:r>
          </w:p>
        </w:tc>
      </w:tr>
      <w:tr w:rsidR="00454B2A" w:rsidRPr="00767FF8" w14:paraId="5F4188AF" w14:textId="77777777" w:rsidTr="004B37D4">
        <w:trPr>
          <w:cantSplit/>
        </w:trPr>
        <w:tc>
          <w:tcPr>
            <w:tcW w:w="9360" w:type="dxa"/>
            <w:tcMar>
              <w:top w:w="0" w:type="dxa"/>
              <w:left w:w="108" w:type="dxa"/>
              <w:bottom w:w="0" w:type="dxa"/>
              <w:right w:w="108" w:type="dxa"/>
            </w:tcMar>
            <w:hideMark/>
          </w:tcPr>
          <w:p w14:paraId="74E4F207" w14:textId="77777777" w:rsidR="00454B2A" w:rsidRDefault="00454B2A"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0E25E7FD" w14:textId="77777777" w:rsidR="00454B2A" w:rsidRPr="00767FF8" w:rsidRDefault="00454B2A"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Market inco</w:t>
            </w:r>
            <w:r w:rsidRPr="00793B42">
              <w:rPr>
                <w:rFonts w:cs="Times New Roman"/>
                <w:sz w:val="18"/>
                <w:szCs w:val="18"/>
              </w:rPr>
              <w:t>me plus pensions comprises pretax wages, salaries, income earned from capital assets (rent, interest, or dividends), contributory pensions, and private transfers.</w:t>
            </w:r>
          </w:p>
        </w:tc>
      </w:tr>
    </w:tbl>
    <w:p w14:paraId="127FE7D6" w14:textId="77777777" w:rsidR="0066718A" w:rsidRDefault="0066718A" w:rsidP="00E1718D"/>
    <w:tbl>
      <w:tblPr>
        <w:tblW w:w="9360" w:type="dxa"/>
        <w:tblLayout w:type="fixed"/>
        <w:tblCellMar>
          <w:left w:w="0" w:type="dxa"/>
          <w:right w:w="0" w:type="dxa"/>
        </w:tblCellMar>
        <w:tblLook w:val="04A0" w:firstRow="1" w:lastRow="0" w:firstColumn="1" w:lastColumn="0" w:noHBand="0" w:noVBand="1"/>
      </w:tblPr>
      <w:tblGrid>
        <w:gridCol w:w="9360"/>
      </w:tblGrid>
      <w:tr w:rsidR="002977ED" w:rsidRPr="001E6C40" w14:paraId="42EFE2F6" w14:textId="77777777" w:rsidTr="004B37D4">
        <w:trPr>
          <w:cantSplit/>
        </w:trPr>
        <w:tc>
          <w:tcPr>
            <w:tcW w:w="9360" w:type="dxa"/>
            <w:hideMark/>
          </w:tcPr>
          <w:p w14:paraId="03FE0419" w14:textId="1D03E05C" w:rsidR="002977ED" w:rsidRPr="001E6C40" w:rsidRDefault="002977ED" w:rsidP="004B37D4">
            <w:pPr>
              <w:pStyle w:val="Caption2"/>
              <w:spacing w:line="256" w:lineRule="auto"/>
              <w:jc w:val="left"/>
              <w:rPr>
                <w:b/>
                <w:i w:val="0"/>
                <w:sz w:val="18"/>
                <w:szCs w:val="18"/>
                <w:lang w:eastAsia="en-GB"/>
              </w:rPr>
            </w:pPr>
            <w:bookmarkStart w:id="116" w:name="_Ref8422063"/>
            <w:bookmarkStart w:id="117" w:name="_Toc11255078"/>
            <w:r w:rsidRPr="001E6C40">
              <w:rPr>
                <w:b/>
                <w:i w:val="0"/>
                <w:sz w:val="18"/>
                <w:szCs w:val="18"/>
                <w:lang w:eastAsia="en-GB"/>
              </w:rPr>
              <w:t xml:space="preserve">Figure </w:t>
            </w:r>
            <w:r>
              <w:rPr>
                <w:b/>
                <w:i w:val="0"/>
                <w:sz w:val="18"/>
                <w:szCs w:val="18"/>
                <w:lang w:eastAsia="en-GB"/>
              </w:rPr>
              <w:fldChar w:fldCharType="begin"/>
            </w:r>
            <w:r>
              <w:rPr>
                <w:b/>
                <w:i w:val="0"/>
                <w:sz w:val="18"/>
                <w:szCs w:val="18"/>
                <w:lang w:eastAsia="en-GB"/>
              </w:rPr>
              <w:instrText xml:space="preserve"> STYLEREF 1 \s </w:instrText>
            </w:r>
            <w:r>
              <w:rPr>
                <w:b/>
                <w:i w:val="0"/>
                <w:sz w:val="18"/>
                <w:szCs w:val="18"/>
                <w:lang w:eastAsia="en-GB"/>
              </w:rPr>
              <w:fldChar w:fldCharType="separate"/>
            </w:r>
            <w:r w:rsidR="00C37C80">
              <w:rPr>
                <w:b/>
                <w:i w:val="0"/>
                <w:noProof/>
                <w:sz w:val="18"/>
                <w:szCs w:val="18"/>
                <w:lang w:eastAsia="en-GB"/>
              </w:rPr>
              <w:t>4</w:t>
            </w:r>
            <w:r>
              <w:rPr>
                <w:b/>
                <w:i w:val="0"/>
                <w:sz w:val="18"/>
                <w:szCs w:val="18"/>
                <w:lang w:eastAsia="en-GB"/>
              </w:rPr>
              <w:fldChar w:fldCharType="end"/>
            </w:r>
            <w:r>
              <w:rPr>
                <w:b/>
                <w:i w:val="0"/>
                <w:sz w:val="18"/>
                <w:szCs w:val="18"/>
                <w:lang w:eastAsia="en-GB"/>
              </w:rPr>
              <w:t>.</w:t>
            </w:r>
            <w:r>
              <w:rPr>
                <w:b/>
                <w:i w:val="0"/>
                <w:sz w:val="18"/>
                <w:szCs w:val="18"/>
                <w:lang w:eastAsia="en-GB"/>
              </w:rPr>
              <w:fldChar w:fldCharType="begin"/>
            </w:r>
            <w:r>
              <w:rPr>
                <w:b/>
                <w:i w:val="0"/>
                <w:sz w:val="18"/>
                <w:szCs w:val="18"/>
                <w:lang w:eastAsia="en-GB"/>
              </w:rPr>
              <w:instrText xml:space="preserve"> SEQ Figure \* ARABIC \s 1 </w:instrText>
            </w:r>
            <w:r>
              <w:rPr>
                <w:b/>
                <w:i w:val="0"/>
                <w:sz w:val="18"/>
                <w:szCs w:val="18"/>
                <w:lang w:eastAsia="en-GB"/>
              </w:rPr>
              <w:fldChar w:fldCharType="separate"/>
            </w:r>
            <w:r w:rsidR="00C37C80">
              <w:rPr>
                <w:b/>
                <w:i w:val="0"/>
                <w:noProof/>
                <w:sz w:val="18"/>
                <w:szCs w:val="18"/>
                <w:lang w:eastAsia="en-GB"/>
              </w:rPr>
              <w:t>2</w:t>
            </w:r>
            <w:r>
              <w:rPr>
                <w:b/>
                <w:i w:val="0"/>
                <w:sz w:val="18"/>
                <w:szCs w:val="18"/>
                <w:lang w:eastAsia="en-GB"/>
              </w:rPr>
              <w:fldChar w:fldCharType="end"/>
            </w:r>
            <w:bookmarkEnd w:id="116"/>
            <w:r>
              <w:rPr>
                <w:b/>
                <w:i w:val="0"/>
              </w:rPr>
              <w:t xml:space="preserve"> </w:t>
            </w:r>
            <w:r>
              <w:rPr>
                <w:b/>
                <w:i w:val="0"/>
                <w:sz w:val="18"/>
                <w:szCs w:val="18"/>
                <w:lang w:eastAsia="en-GB"/>
              </w:rPr>
              <w:t>Marginal Contribution of Taxes and Transfers to Changes in Inequality (Gini coefficient)</w:t>
            </w:r>
            <w:bookmarkEnd w:id="117"/>
          </w:p>
        </w:tc>
      </w:tr>
      <w:tr w:rsidR="002977ED" w:rsidRPr="001E6C40" w14:paraId="23E54B67" w14:textId="77777777" w:rsidTr="004B37D4">
        <w:trPr>
          <w:cantSplit/>
          <w:trHeight w:val="792"/>
        </w:trPr>
        <w:tc>
          <w:tcPr>
            <w:tcW w:w="9360" w:type="dxa"/>
          </w:tcPr>
          <w:p w14:paraId="07E2D3D5" w14:textId="1B12A347" w:rsidR="002977ED" w:rsidRPr="001E6C40" w:rsidRDefault="00435650" w:rsidP="004B37D4">
            <w:pPr>
              <w:pStyle w:val="Caption2"/>
              <w:spacing w:line="256" w:lineRule="auto"/>
              <w:jc w:val="left"/>
              <w:rPr>
                <w:b/>
                <w:i w:val="0"/>
                <w:sz w:val="18"/>
                <w:szCs w:val="18"/>
                <w:lang w:eastAsia="en-GB"/>
              </w:rPr>
            </w:pPr>
            <w:r>
              <w:rPr>
                <w:b/>
                <w:i w:val="0"/>
                <w:noProof/>
                <w:sz w:val="18"/>
                <w:szCs w:val="18"/>
                <w:lang w:eastAsia="en-GB"/>
              </w:rPr>
              <w:drawing>
                <wp:inline distT="0" distB="0" distL="0" distR="0" wp14:anchorId="350E990F" wp14:editId="1DBBF96A">
                  <wp:extent cx="5943600" cy="2971800"/>
                  <wp:effectExtent l="0" t="0" r="0" b="0"/>
                  <wp:docPr id="4" name="Picture 4"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2_Marginal_Contribution_of_Taxes_and_Transfers_to_Changes_in_Inequality_(Gini_coefficient).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tc>
      </w:tr>
      <w:tr w:rsidR="002977ED" w:rsidRPr="00767FF8" w14:paraId="7B53CBE6" w14:textId="77777777" w:rsidTr="004B37D4">
        <w:trPr>
          <w:cantSplit/>
        </w:trPr>
        <w:tc>
          <w:tcPr>
            <w:tcW w:w="9360" w:type="dxa"/>
            <w:tcMar>
              <w:top w:w="0" w:type="dxa"/>
              <w:left w:w="108" w:type="dxa"/>
              <w:bottom w:w="0" w:type="dxa"/>
              <w:right w:w="108" w:type="dxa"/>
            </w:tcMar>
            <w:hideMark/>
          </w:tcPr>
          <w:p w14:paraId="73CADFE1" w14:textId="77777777" w:rsidR="002977ED" w:rsidRDefault="002977ED"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48FBB4CC" w14:textId="77777777" w:rsidR="002977ED" w:rsidRPr="00767FF8" w:rsidRDefault="002977ED"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Market inco</w:t>
            </w:r>
            <w:r w:rsidRPr="00793B42">
              <w:rPr>
                <w:rFonts w:cs="Times New Roman"/>
                <w:sz w:val="18"/>
                <w:szCs w:val="18"/>
              </w:rPr>
              <w:t>me plus pensions comprises pretax wages, salaries, income earned from capital assets (rent, interest, or dividends), contributory pensions, and private transfers.</w:t>
            </w:r>
          </w:p>
        </w:tc>
      </w:tr>
    </w:tbl>
    <w:p w14:paraId="3766F627" w14:textId="77777777" w:rsidR="002977ED" w:rsidRDefault="002977ED" w:rsidP="00E1718D"/>
    <w:p w14:paraId="423FB005" w14:textId="4A1E6DB1" w:rsidR="0011199D" w:rsidRDefault="0011199D" w:rsidP="0011199D">
      <w:bookmarkStart w:id="118" w:name="_Toc8812809"/>
      <w:r>
        <w:rPr>
          <w:b/>
        </w:rPr>
        <w:t xml:space="preserve">Health </w:t>
      </w:r>
      <w:r w:rsidRPr="000C71C2">
        <w:rPr>
          <w:b/>
        </w:rPr>
        <w:t xml:space="preserve">in-kind transfers </w:t>
      </w:r>
      <w:r>
        <w:rPr>
          <w:b/>
        </w:rPr>
        <w:t>reduce poverty and inequality, the contribution of indirect subsidies is positive yet negligible.</w:t>
      </w:r>
      <w:r>
        <w:t xml:space="preserve"> In-kind health transfers contribute to both a considerable reduction in inequality and poverty (</w:t>
      </w:r>
      <w:r>
        <w:fldChar w:fldCharType="begin"/>
      </w:r>
      <w:r>
        <w:instrText xml:space="preserve"> REF _Ref8422039 \h  \* MERGEFORMAT </w:instrText>
      </w:r>
      <w:r>
        <w:fldChar w:fldCharType="separate"/>
      </w:r>
      <w:r w:rsidR="00C37C80" w:rsidRPr="00C37C80">
        <w:t>Figure 4.1</w:t>
      </w:r>
      <w:r>
        <w:fldChar w:fldCharType="end"/>
      </w:r>
      <w:r>
        <w:t xml:space="preserve"> and </w:t>
      </w:r>
      <w:r>
        <w:fldChar w:fldCharType="begin"/>
      </w:r>
      <w:r>
        <w:instrText xml:space="preserve"> REF _Ref8422063 \h  \* MERGEFORMAT </w:instrText>
      </w:r>
      <w:r>
        <w:fldChar w:fldCharType="separate"/>
      </w:r>
      <w:r w:rsidR="00C37C80" w:rsidRPr="00C37C80">
        <w:t>Figure 4.2</w:t>
      </w:r>
      <w:r>
        <w:fldChar w:fldCharType="end"/>
      </w:r>
      <w:r>
        <w:t xml:space="preserve">, brown bars). The Gini coefficient without transfer would be 1.6 Gini points higher and the poverty headcount rate would be 3.1 percentage points higher. Although in-kind education transfers also contribute to decrease </w:t>
      </w:r>
      <w:r w:rsidR="00C11058">
        <w:t>pre</w:t>
      </w:r>
      <w:r>
        <w:t>fiscal income inequality and poverty, the effect is rather small with inequality decreasing by 0.7 Gini points and poverty by 1.1 percentage points. Similarly, because of the untargeted nature, they contribute to a reduction in poverty by 0.5 percentage points (orange bars). The equalizing effect is very modest and estimated at less than 0.3 Gini point.</w:t>
      </w:r>
    </w:p>
    <w:p w14:paraId="597FA133" w14:textId="10DBFBE4" w:rsidR="00C53D7E" w:rsidRDefault="00C53D7E" w:rsidP="004A06DE">
      <w:pPr>
        <w:pStyle w:val="Heading3"/>
      </w:pPr>
      <w:bookmarkStart w:id="119" w:name="_Toc10824882"/>
      <w:bookmarkStart w:id="120" w:name="_Toc10824954"/>
      <w:r>
        <w:t xml:space="preserve">Does the fiscal system </w:t>
      </w:r>
      <w:r w:rsidR="00E1718D">
        <w:t>reduce</w:t>
      </w:r>
      <w:r>
        <w:t xml:space="preserve"> inequality</w:t>
      </w:r>
      <w:r w:rsidR="004A06DE">
        <w:t>?</w:t>
      </w:r>
      <w:bookmarkEnd w:id="118"/>
      <w:bookmarkEnd w:id="119"/>
      <w:bookmarkEnd w:id="120"/>
      <w:r w:rsidR="00F201FC">
        <w:t xml:space="preserve"> </w:t>
      </w:r>
    </w:p>
    <w:p w14:paraId="4A02F839" w14:textId="47FF210A" w:rsidR="00275542" w:rsidRPr="00973BDE" w:rsidRDefault="00BA46D7" w:rsidP="00973BDE">
      <w:r w:rsidRPr="00FC0145">
        <w:rPr>
          <w:b/>
        </w:rPr>
        <w:t>The net fiscal system</w:t>
      </w:r>
      <w:r w:rsidR="00F631F1" w:rsidRPr="00FC0145">
        <w:rPr>
          <w:b/>
        </w:rPr>
        <w:t xml:space="preserve"> reduc</w:t>
      </w:r>
      <w:r w:rsidR="00242A17">
        <w:rPr>
          <w:b/>
        </w:rPr>
        <w:t>es</w:t>
      </w:r>
      <w:r w:rsidR="00F631F1" w:rsidRPr="00FC0145">
        <w:rPr>
          <w:b/>
        </w:rPr>
        <w:t xml:space="preserve"> inequality.</w:t>
      </w:r>
      <w:r w:rsidR="00F631F1">
        <w:t xml:space="preserve"> </w:t>
      </w:r>
      <w:r w:rsidR="00C35B08">
        <w:t>The Gini coefficient before any fiscal intervention</w:t>
      </w:r>
      <w:r w:rsidR="00FF5E14">
        <w:t xml:space="preserve"> </w:t>
      </w:r>
      <w:r w:rsidR="006B58DE">
        <w:t>is estimated at 0.40 and declines to 0.3</w:t>
      </w:r>
      <w:r w:rsidR="00BE09ED">
        <w:t>1</w:t>
      </w:r>
      <w:r w:rsidR="006B58DE">
        <w:t xml:space="preserve"> after the combine</w:t>
      </w:r>
      <w:r w:rsidR="0069772E">
        <w:t>d</w:t>
      </w:r>
      <w:r w:rsidR="006B58DE">
        <w:t xml:space="preserve"> </w:t>
      </w:r>
      <w:r w:rsidR="0069772E">
        <w:t>effect</w:t>
      </w:r>
      <w:r w:rsidR="006B58DE">
        <w:t xml:space="preserve"> of taxes</w:t>
      </w:r>
      <w:r w:rsidR="0069772E">
        <w:t>,</w:t>
      </w:r>
      <w:r w:rsidR="006B58DE">
        <w:t xml:space="preserve"> contributions</w:t>
      </w:r>
      <w:r w:rsidR="0069772E">
        <w:t>, and social spending is accounted for</w:t>
      </w:r>
      <w:r w:rsidR="00973BDE">
        <w:t xml:space="preserve"> (</w:t>
      </w:r>
      <w:r w:rsidR="00973BDE">
        <w:fldChar w:fldCharType="begin"/>
      </w:r>
      <w:r w:rsidR="00973BDE">
        <w:instrText xml:space="preserve"> REF _Ref8335219 \h  \* MERGEFORMAT </w:instrText>
      </w:r>
      <w:r w:rsidR="00973BDE">
        <w:fldChar w:fldCharType="separate"/>
      </w:r>
      <w:r w:rsidR="00C37C80" w:rsidRPr="00C37C80">
        <w:t>Table 4.1</w:t>
      </w:r>
      <w:r w:rsidR="00973BDE">
        <w:fldChar w:fldCharType="end"/>
      </w:r>
      <w:r w:rsidR="00973BDE">
        <w:t>)</w:t>
      </w:r>
      <w:r w:rsidR="0069772E">
        <w:t xml:space="preserve">. </w:t>
      </w:r>
      <w:r w:rsidR="00FD7E85">
        <w:t xml:space="preserve">The largest reduction </w:t>
      </w:r>
      <w:r w:rsidR="00E44714">
        <w:t>(-5</w:t>
      </w:r>
      <w:r w:rsidR="00AD6D33">
        <w:t>.6</w:t>
      </w:r>
      <w:r w:rsidR="00E44714">
        <w:t xml:space="preserve"> Gini points) </w:t>
      </w:r>
      <w:r w:rsidR="00FD7E85">
        <w:t xml:space="preserve">in inequality takes place </w:t>
      </w:r>
      <w:r w:rsidR="00BE5696">
        <w:t>after</w:t>
      </w:r>
      <w:r w:rsidR="00FD7E85">
        <w:t xml:space="preserve"> the effect of direct taxes</w:t>
      </w:r>
      <w:r w:rsidR="008E616E">
        <w:t xml:space="preserve"> and cash transfers </w:t>
      </w:r>
      <w:r w:rsidR="00BE5696">
        <w:t xml:space="preserve">is </w:t>
      </w:r>
      <w:r w:rsidR="00C05C9D">
        <w:t>accounted for</w:t>
      </w:r>
      <w:r w:rsidR="004C23EA">
        <w:t xml:space="preserve"> (</w:t>
      </w:r>
      <w:r w:rsidR="00C05C9D">
        <w:t xml:space="preserve">moving </w:t>
      </w:r>
      <w:r w:rsidR="004C23EA">
        <w:t>from market to disposable income)</w:t>
      </w:r>
      <w:r w:rsidR="00BE5696">
        <w:t xml:space="preserve">. This </w:t>
      </w:r>
      <w:r w:rsidR="006F7792">
        <w:t xml:space="preserve">step </w:t>
      </w:r>
      <w:r w:rsidR="00BE5696">
        <w:t xml:space="preserve">includes </w:t>
      </w:r>
      <w:r w:rsidR="006F7792">
        <w:t xml:space="preserve">accounting for </w:t>
      </w:r>
      <w:r w:rsidR="00730053">
        <w:t xml:space="preserve">PITs </w:t>
      </w:r>
      <w:r w:rsidR="00BE5696">
        <w:t>and social security contributions as well as basic n</w:t>
      </w:r>
      <w:r w:rsidR="004C6E0D">
        <w:t>on</w:t>
      </w:r>
      <w:r w:rsidR="00BE5696">
        <w:t xml:space="preserve">contributory pensions and </w:t>
      </w:r>
      <w:r w:rsidR="006F7792">
        <w:t>the s</w:t>
      </w:r>
      <w:r w:rsidR="00BE5696">
        <w:t>ocial aid program.</w:t>
      </w:r>
      <w:r w:rsidR="006F7792">
        <w:t xml:space="preserve"> Indirect taxes, </w:t>
      </w:r>
      <w:r w:rsidR="0061325C">
        <w:t xml:space="preserve">which comprise </w:t>
      </w:r>
      <w:r w:rsidR="00AC2419">
        <w:t>VAT and excise duties, together with indirect subsidies</w:t>
      </w:r>
      <w:r w:rsidR="00E44714">
        <w:t xml:space="preserve"> have a </w:t>
      </w:r>
      <w:r w:rsidR="00693C7C">
        <w:t>minor</w:t>
      </w:r>
      <w:r w:rsidR="00E44714">
        <w:t xml:space="preserve"> inequality re</w:t>
      </w:r>
      <w:r w:rsidR="00693C7C">
        <w:t>ducing effect</w:t>
      </w:r>
      <w:r w:rsidR="0061325C">
        <w:t>.</w:t>
      </w:r>
      <w:r w:rsidR="00C65492">
        <w:t xml:space="preserve"> </w:t>
      </w:r>
      <w:r w:rsidR="0061325C">
        <w:t>Moving</w:t>
      </w:r>
      <w:r w:rsidR="00C65492">
        <w:t xml:space="preserve"> from </w:t>
      </w:r>
      <w:r w:rsidR="00693C7C">
        <w:t>disposable to consumable income</w:t>
      </w:r>
      <w:r w:rsidR="00C65492">
        <w:t>,</w:t>
      </w:r>
      <w:r w:rsidR="00693C7C">
        <w:t xml:space="preserve"> the </w:t>
      </w:r>
      <w:r w:rsidR="00C65492">
        <w:t xml:space="preserve">estimated </w:t>
      </w:r>
      <w:r w:rsidR="00693C7C">
        <w:t>change i</w:t>
      </w:r>
      <w:r w:rsidR="00C65492">
        <w:t xml:space="preserve">n inequality is </w:t>
      </w:r>
      <w:r w:rsidR="004C326D">
        <w:t>about -0.</w:t>
      </w:r>
      <w:r w:rsidR="00706234">
        <w:t>3</w:t>
      </w:r>
      <w:r w:rsidR="00C65492">
        <w:t xml:space="preserve"> Gini point.</w:t>
      </w:r>
      <w:r w:rsidR="000A6B9B">
        <w:t xml:space="preserve"> </w:t>
      </w:r>
      <w:r w:rsidR="00F92DDD">
        <w:t>T</w:t>
      </w:r>
      <w:r w:rsidR="000A6B9B">
        <w:t xml:space="preserve">he last step that accounts for the effect of in-kind </w:t>
      </w:r>
      <w:r w:rsidR="00DC18CC">
        <w:t xml:space="preserve">health and education </w:t>
      </w:r>
      <w:r w:rsidR="000A6B9B">
        <w:t xml:space="preserve">transfers </w:t>
      </w:r>
      <w:r w:rsidR="007C63F4">
        <w:t xml:space="preserve">has a </w:t>
      </w:r>
      <w:r w:rsidR="00BE09ED">
        <w:t>considerable</w:t>
      </w:r>
      <w:r w:rsidR="003D21D5">
        <w:t xml:space="preserve"> reducing</w:t>
      </w:r>
      <w:r w:rsidR="007C63F4">
        <w:t xml:space="preserve"> effect on inequality</w:t>
      </w:r>
      <w:r w:rsidR="004C326D">
        <w:t xml:space="preserve"> (-</w:t>
      </w:r>
      <w:r w:rsidR="006B3AC2">
        <w:t>3.5</w:t>
      </w:r>
      <w:r w:rsidR="009929FD">
        <w:t xml:space="preserve"> Gini points).</w:t>
      </w:r>
    </w:p>
    <w:tbl>
      <w:tblPr>
        <w:tblW w:w="6624" w:type="dxa"/>
        <w:tblLook w:val="04A0" w:firstRow="1" w:lastRow="0" w:firstColumn="1" w:lastColumn="0" w:noHBand="0" w:noVBand="1"/>
      </w:tblPr>
      <w:tblGrid>
        <w:gridCol w:w="2016"/>
        <w:gridCol w:w="1152"/>
        <w:gridCol w:w="1152"/>
        <w:gridCol w:w="1152"/>
        <w:gridCol w:w="1152"/>
      </w:tblGrid>
      <w:tr w:rsidR="00D1084F" w:rsidRPr="00ED3FAB" w14:paraId="00D798F1" w14:textId="77777777" w:rsidTr="004B37D4">
        <w:trPr>
          <w:trHeight w:val="300"/>
        </w:trPr>
        <w:tc>
          <w:tcPr>
            <w:tcW w:w="6624" w:type="dxa"/>
            <w:gridSpan w:val="5"/>
            <w:tcBorders>
              <w:left w:val="nil"/>
              <w:bottom w:val="single" w:sz="4" w:space="0" w:color="auto"/>
              <w:right w:val="nil"/>
            </w:tcBorders>
            <w:vAlign w:val="center"/>
          </w:tcPr>
          <w:p w14:paraId="6F71EE80" w14:textId="73A85C01" w:rsidR="00D1084F" w:rsidRPr="00275542" w:rsidRDefault="00275542" w:rsidP="00223267">
            <w:pPr>
              <w:pStyle w:val="Caption2"/>
              <w:spacing w:line="256" w:lineRule="auto"/>
              <w:jc w:val="left"/>
              <w:rPr>
                <w:rFonts w:eastAsiaTheme="minorEastAsia" w:cstheme="minorBidi"/>
                <w:i w:val="0"/>
                <w:color w:val="404040" w:themeColor="text1" w:themeTint="BF"/>
                <w:sz w:val="16"/>
                <w:szCs w:val="16"/>
              </w:rPr>
            </w:pPr>
            <w:bookmarkStart w:id="121" w:name="_Ref8335219"/>
            <w:bookmarkStart w:id="122" w:name="_Toc11255089"/>
            <w:r w:rsidRPr="00223267">
              <w:rPr>
                <w:b/>
                <w:i w:val="0"/>
                <w:sz w:val="18"/>
                <w:szCs w:val="18"/>
                <w:lang w:eastAsia="en-GB"/>
              </w:rPr>
              <w:t xml:space="preserve">Table </w:t>
            </w:r>
            <w:r w:rsidRPr="00223267">
              <w:rPr>
                <w:b/>
                <w:i w:val="0"/>
                <w:sz w:val="18"/>
                <w:szCs w:val="18"/>
                <w:lang w:eastAsia="en-GB"/>
              </w:rPr>
              <w:fldChar w:fldCharType="begin"/>
            </w:r>
            <w:r w:rsidRPr="00223267">
              <w:rPr>
                <w:b/>
                <w:i w:val="0"/>
                <w:sz w:val="18"/>
                <w:szCs w:val="18"/>
                <w:lang w:eastAsia="en-GB"/>
              </w:rPr>
              <w:instrText xml:space="preserve"> STYLEREF 1 \s </w:instrText>
            </w:r>
            <w:r w:rsidRPr="00223267">
              <w:rPr>
                <w:b/>
                <w:i w:val="0"/>
                <w:sz w:val="18"/>
                <w:szCs w:val="18"/>
                <w:lang w:eastAsia="en-GB"/>
              </w:rPr>
              <w:fldChar w:fldCharType="separate"/>
            </w:r>
            <w:r w:rsidR="00C37C80">
              <w:rPr>
                <w:b/>
                <w:i w:val="0"/>
                <w:noProof/>
                <w:sz w:val="18"/>
                <w:szCs w:val="18"/>
                <w:lang w:eastAsia="en-GB"/>
              </w:rPr>
              <w:t>4</w:t>
            </w:r>
            <w:r w:rsidRPr="00223267">
              <w:rPr>
                <w:b/>
                <w:i w:val="0"/>
                <w:sz w:val="18"/>
                <w:szCs w:val="18"/>
                <w:lang w:eastAsia="en-GB"/>
              </w:rPr>
              <w:fldChar w:fldCharType="end"/>
            </w:r>
            <w:r w:rsidRPr="00223267">
              <w:rPr>
                <w:b/>
                <w:i w:val="0"/>
                <w:sz w:val="18"/>
                <w:szCs w:val="18"/>
                <w:lang w:eastAsia="en-GB"/>
              </w:rPr>
              <w:t>.</w:t>
            </w:r>
            <w:r w:rsidRPr="00223267">
              <w:rPr>
                <w:b/>
                <w:i w:val="0"/>
                <w:sz w:val="18"/>
                <w:szCs w:val="18"/>
                <w:lang w:eastAsia="en-GB"/>
              </w:rPr>
              <w:fldChar w:fldCharType="begin"/>
            </w:r>
            <w:r w:rsidRPr="00223267">
              <w:rPr>
                <w:b/>
                <w:i w:val="0"/>
                <w:sz w:val="18"/>
                <w:szCs w:val="18"/>
                <w:lang w:eastAsia="en-GB"/>
              </w:rPr>
              <w:instrText xml:space="preserve"> SEQ Table \* ARABIC \s 1 </w:instrText>
            </w:r>
            <w:r w:rsidRPr="00223267">
              <w:rPr>
                <w:b/>
                <w:i w:val="0"/>
                <w:sz w:val="18"/>
                <w:szCs w:val="18"/>
                <w:lang w:eastAsia="en-GB"/>
              </w:rPr>
              <w:fldChar w:fldCharType="separate"/>
            </w:r>
            <w:r w:rsidR="00C37C80">
              <w:rPr>
                <w:b/>
                <w:i w:val="0"/>
                <w:noProof/>
                <w:sz w:val="18"/>
                <w:szCs w:val="18"/>
                <w:lang w:eastAsia="en-GB"/>
              </w:rPr>
              <w:t>1</w:t>
            </w:r>
            <w:r w:rsidRPr="00223267">
              <w:rPr>
                <w:b/>
                <w:i w:val="0"/>
                <w:sz w:val="18"/>
                <w:szCs w:val="18"/>
                <w:lang w:eastAsia="en-GB"/>
              </w:rPr>
              <w:fldChar w:fldCharType="end"/>
            </w:r>
            <w:bookmarkEnd w:id="121"/>
            <w:r w:rsidR="00223267" w:rsidRPr="00223267">
              <w:rPr>
                <w:b/>
                <w:i w:val="0"/>
                <w:sz w:val="18"/>
                <w:szCs w:val="18"/>
                <w:lang w:eastAsia="en-GB"/>
              </w:rPr>
              <w:t xml:space="preserve"> </w:t>
            </w:r>
            <w:r w:rsidR="009332C1">
              <w:rPr>
                <w:b/>
                <w:i w:val="0"/>
                <w:sz w:val="18"/>
                <w:szCs w:val="18"/>
                <w:lang w:eastAsia="en-GB"/>
              </w:rPr>
              <w:t>I</w:t>
            </w:r>
            <w:r w:rsidR="00D1084F" w:rsidRPr="00223267">
              <w:rPr>
                <w:b/>
                <w:i w:val="0"/>
                <w:sz w:val="18"/>
                <w:szCs w:val="18"/>
                <w:lang w:eastAsia="en-GB"/>
              </w:rPr>
              <w:t xml:space="preserve">nequality </w:t>
            </w:r>
            <w:r w:rsidR="009332C1">
              <w:rPr>
                <w:b/>
                <w:i w:val="0"/>
                <w:sz w:val="18"/>
                <w:szCs w:val="18"/>
                <w:lang w:eastAsia="en-GB"/>
              </w:rPr>
              <w:t>and p</w:t>
            </w:r>
            <w:r w:rsidR="009332C1" w:rsidRPr="00223267">
              <w:rPr>
                <w:b/>
                <w:i w:val="0"/>
                <w:sz w:val="18"/>
                <w:szCs w:val="18"/>
                <w:lang w:eastAsia="en-GB"/>
              </w:rPr>
              <w:t xml:space="preserve">overty </w:t>
            </w:r>
            <w:r w:rsidR="00D1084F" w:rsidRPr="00223267">
              <w:rPr>
                <w:b/>
                <w:i w:val="0"/>
                <w:sz w:val="18"/>
                <w:szCs w:val="18"/>
                <w:lang w:eastAsia="en-GB"/>
              </w:rPr>
              <w:t>measures</w:t>
            </w:r>
            <w:r w:rsidR="00C53311">
              <w:rPr>
                <w:b/>
                <w:i w:val="0"/>
                <w:sz w:val="18"/>
                <w:szCs w:val="18"/>
                <w:lang w:eastAsia="en-GB"/>
              </w:rPr>
              <w:t>, by income aggregate</w:t>
            </w:r>
            <w:bookmarkEnd w:id="122"/>
          </w:p>
        </w:tc>
      </w:tr>
      <w:tr w:rsidR="00D1084F" w:rsidRPr="00ED3FAB" w14:paraId="6273CE31" w14:textId="77777777" w:rsidTr="004B37D4">
        <w:trPr>
          <w:trHeight w:val="300"/>
        </w:trPr>
        <w:tc>
          <w:tcPr>
            <w:tcW w:w="2016" w:type="dxa"/>
            <w:tcBorders>
              <w:top w:val="single" w:sz="4" w:space="0" w:color="auto"/>
              <w:left w:val="nil"/>
              <w:bottom w:val="single" w:sz="4" w:space="0" w:color="auto"/>
              <w:right w:val="nil"/>
            </w:tcBorders>
            <w:vAlign w:val="center"/>
          </w:tcPr>
          <w:p w14:paraId="6A131384" w14:textId="77777777" w:rsidR="00D1084F" w:rsidRPr="00B15722" w:rsidRDefault="00D1084F" w:rsidP="004B37D4">
            <w:pPr>
              <w:spacing w:after="0" w:line="240" w:lineRule="auto"/>
              <w:jc w:val="left"/>
              <w:rPr>
                <w:rFonts w:asciiTheme="majorHAnsi" w:eastAsia="Times New Roman" w:hAnsiTheme="majorHAnsi" w:cstheme="majorHAnsi"/>
                <w:i/>
                <w:color w:val="000000"/>
                <w:sz w:val="18"/>
                <w:szCs w:val="18"/>
                <w:lang w:eastAsia="zh-CN"/>
              </w:rPr>
            </w:pPr>
            <w:r w:rsidRPr="00B15722">
              <w:rPr>
                <w:rFonts w:asciiTheme="majorHAnsi" w:eastAsia="Times New Roman" w:hAnsiTheme="majorHAnsi" w:cstheme="majorHAnsi"/>
                <w:i/>
                <w:color w:val="000000"/>
                <w:sz w:val="18"/>
                <w:szCs w:val="18"/>
                <w:lang w:eastAsia="zh-CN"/>
              </w:rPr>
              <w:t>Indicator</w:t>
            </w:r>
          </w:p>
        </w:tc>
        <w:tc>
          <w:tcPr>
            <w:tcW w:w="1152" w:type="dxa"/>
            <w:tcBorders>
              <w:top w:val="single" w:sz="4" w:space="0" w:color="auto"/>
              <w:left w:val="nil"/>
              <w:bottom w:val="single" w:sz="4" w:space="0" w:color="auto"/>
              <w:right w:val="nil"/>
            </w:tcBorders>
            <w:shd w:val="clear" w:color="auto" w:fill="auto"/>
            <w:noWrap/>
            <w:vAlign w:val="bottom"/>
            <w:hideMark/>
          </w:tcPr>
          <w:p w14:paraId="78E0911B" w14:textId="77777777" w:rsidR="00D1084F" w:rsidRPr="00B15722" w:rsidRDefault="00D1084F" w:rsidP="004B37D4">
            <w:pPr>
              <w:spacing w:after="0" w:line="240" w:lineRule="auto"/>
              <w:jc w:val="center"/>
              <w:rPr>
                <w:rFonts w:asciiTheme="majorHAnsi" w:eastAsia="Times New Roman" w:hAnsiTheme="majorHAnsi" w:cstheme="majorHAnsi"/>
                <w:i/>
                <w:color w:val="000000"/>
                <w:sz w:val="18"/>
                <w:szCs w:val="18"/>
                <w:lang w:eastAsia="zh-CN"/>
              </w:rPr>
            </w:pPr>
            <w:r w:rsidRPr="00B15722">
              <w:rPr>
                <w:rFonts w:asciiTheme="majorHAnsi" w:eastAsia="Times New Roman" w:hAnsiTheme="majorHAnsi" w:cstheme="majorHAnsi"/>
                <w:i/>
                <w:color w:val="000000"/>
                <w:sz w:val="18"/>
                <w:szCs w:val="18"/>
                <w:lang w:eastAsia="zh-CN"/>
              </w:rPr>
              <w:t>Market Income</w:t>
            </w:r>
          </w:p>
        </w:tc>
        <w:tc>
          <w:tcPr>
            <w:tcW w:w="1152" w:type="dxa"/>
            <w:tcBorders>
              <w:top w:val="single" w:sz="4" w:space="0" w:color="auto"/>
              <w:left w:val="nil"/>
              <w:bottom w:val="single" w:sz="4" w:space="0" w:color="auto"/>
              <w:right w:val="nil"/>
            </w:tcBorders>
            <w:shd w:val="clear" w:color="auto" w:fill="auto"/>
            <w:noWrap/>
            <w:vAlign w:val="bottom"/>
            <w:hideMark/>
          </w:tcPr>
          <w:p w14:paraId="5A2BC287" w14:textId="77777777" w:rsidR="00D1084F" w:rsidRPr="00B15722" w:rsidRDefault="00D1084F" w:rsidP="004B37D4">
            <w:pPr>
              <w:spacing w:after="0" w:line="240" w:lineRule="auto"/>
              <w:jc w:val="center"/>
              <w:rPr>
                <w:rFonts w:asciiTheme="majorHAnsi" w:eastAsia="Times New Roman" w:hAnsiTheme="majorHAnsi" w:cstheme="majorHAnsi"/>
                <w:i/>
                <w:color w:val="000000"/>
                <w:sz w:val="18"/>
                <w:szCs w:val="18"/>
                <w:lang w:eastAsia="zh-CN"/>
              </w:rPr>
            </w:pPr>
            <w:r w:rsidRPr="00B15722">
              <w:rPr>
                <w:rFonts w:asciiTheme="majorHAnsi" w:eastAsia="Times New Roman" w:hAnsiTheme="majorHAnsi" w:cstheme="majorHAnsi"/>
                <w:i/>
                <w:color w:val="000000"/>
                <w:sz w:val="18"/>
                <w:szCs w:val="18"/>
                <w:lang w:eastAsia="zh-CN"/>
              </w:rPr>
              <w:t>Disposable Income</w:t>
            </w:r>
          </w:p>
        </w:tc>
        <w:tc>
          <w:tcPr>
            <w:tcW w:w="1152" w:type="dxa"/>
            <w:tcBorders>
              <w:top w:val="single" w:sz="4" w:space="0" w:color="auto"/>
              <w:left w:val="nil"/>
              <w:bottom w:val="single" w:sz="4" w:space="0" w:color="auto"/>
              <w:right w:val="nil"/>
            </w:tcBorders>
            <w:shd w:val="clear" w:color="auto" w:fill="auto"/>
            <w:noWrap/>
            <w:vAlign w:val="bottom"/>
            <w:hideMark/>
          </w:tcPr>
          <w:p w14:paraId="5BD2897C" w14:textId="77777777" w:rsidR="00D1084F" w:rsidRPr="00B15722" w:rsidRDefault="00D1084F" w:rsidP="004B37D4">
            <w:pPr>
              <w:spacing w:after="0" w:line="240" w:lineRule="auto"/>
              <w:jc w:val="center"/>
              <w:rPr>
                <w:rFonts w:asciiTheme="majorHAnsi" w:eastAsia="Times New Roman" w:hAnsiTheme="majorHAnsi" w:cstheme="majorHAnsi"/>
                <w:i/>
                <w:color w:val="000000"/>
                <w:sz w:val="18"/>
                <w:szCs w:val="18"/>
                <w:lang w:eastAsia="zh-CN"/>
              </w:rPr>
            </w:pPr>
            <w:r w:rsidRPr="00B15722">
              <w:rPr>
                <w:rFonts w:asciiTheme="majorHAnsi" w:eastAsia="Times New Roman" w:hAnsiTheme="majorHAnsi" w:cstheme="majorHAnsi"/>
                <w:i/>
                <w:color w:val="000000"/>
                <w:sz w:val="18"/>
                <w:szCs w:val="18"/>
                <w:lang w:eastAsia="zh-CN"/>
              </w:rPr>
              <w:t>Consumable Income</w:t>
            </w:r>
          </w:p>
        </w:tc>
        <w:tc>
          <w:tcPr>
            <w:tcW w:w="1152" w:type="dxa"/>
            <w:tcBorders>
              <w:top w:val="single" w:sz="4" w:space="0" w:color="auto"/>
              <w:left w:val="nil"/>
              <w:bottom w:val="single" w:sz="4" w:space="0" w:color="auto"/>
              <w:right w:val="nil"/>
            </w:tcBorders>
            <w:shd w:val="clear" w:color="auto" w:fill="auto"/>
            <w:noWrap/>
            <w:vAlign w:val="bottom"/>
            <w:hideMark/>
          </w:tcPr>
          <w:p w14:paraId="36F14F16" w14:textId="77777777" w:rsidR="00D1084F" w:rsidRPr="00B15722" w:rsidRDefault="00D1084F" w:rsidP="004B37D4">
            <w:pPr>
              <w:spacing w:after="0" w:line="240" w:lineRule="auto"/>
              <w:jc w:val="center"/>
              <w:rPr>
                <w:rFonts w:asciiTheme="majorHAnsi" w:eastAsia="Times New Roman" w:hAnsiTheme="majorHAnsi" w:cstheme="majorHAnsi"/>
                <w:i/>
                <w:color w:val="000000"/>
                <w:sz w:val="18"/>
                <w:szCs w:val="18"/>
                <w:lang w:eastAsia="zh-CN"/>
              </w:rPr>
            </w:pPr>
            <w:r w:rsidRPr="00B15722">
              <w:rPr>
                <w:rFonts w:asciiTheme="majorHAnsi" w:eastAsia="Times New Roman" w:hAnsiTheme="majorHAnsi" w:cstheme="majorHAnsi"/>
                <w:i/>
                <w:color w:val="000000"/>
                <w:sz w:val="18"/>
                <w:szCs w:val="18"/>
                <w:lang w:eastAsia="zh-CN"/>
              </w:rPr>
              <w:t>Final Income</w:t>
            </w:r>
          </w:p>
        </w:tc>
      </w:tr>
      <w:tr w:rsidR="00FB6D3C" w:rsidRPr="00ED3FAB" w14:paraId="2B1342D8" w14:textId="77777777" w:rsidTr="00FB6D3C">
        <w:trPr>
          <w:trHeight w:val="300"/>
        </w:trPr>
        <w:tc>
          <w:tcPr>
            <w:tcW w:w="2016" w:type="dxa"/>
            <w:tcBorders>
              <w:top w:val="nil"/>
              <w:left w:val="nil"/>
              <w:right w:val="nil"/>
            </w:tcBorders>
            <w:vAlign w:val="center"/>
          </w:tcPr>
          <w:p w14:paraId="71DCAF7E" w14:textId="77777777" w:rsidR="00FB6D3C" w:rsidRPr="00B15722" w:rsidRDefault="00FB6D3C" w:rsidP="004B37D4">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Gini coefficient</w:t>
            </w:r>
          </w:p>
        </w:tc>
        <w:tc>
          <w:tcPr>
            <w:tcW w:w="1152" w:type="dxa"/>
            <w:tcBorders>
              <w:top w:val="nil"/>
              <w:left w:val="nil"/>
              <w:right w:val="nil"/>
            </w:tcBorders>
            <w:shd w:val="clear" w:color="auto" w:fill="auto"/>
            <w:noWrap/>
            <w:vAlign w:val="center"/>
            <w:hideMark/>
          </w:tcPr>
          <w:p w14:paraId="3A456DA2" w14:textId="77777777" w:rsidR="00FB6D3C" w:rsidRPr="00B15722" w:rsidRDefault="00FB6D3C"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0.40</w:t>
            </w:r>
            <w:r>
              <w:rPr>
                <w:rFonts w:asciiTheme="majorHAnsi" w:eastAsia="Times New Roman" w:hAnsiTheme="majorHAnsi" w:cstheme="majorHAnsi"/>
                <w:color w:val="000000"/>
                <w:sz w:val="18"/>
                <w:szCs w:val="18"/>
                <w:lang w:eastAsia="zh-CN"/>
              </w:rPr>
              <w:t>0</w:t>
            </w:r>
          </w:p>
        </w:tc>
        <w:tc>
          <w:tcPr>
            <w:tcW w:w="1152" w:type="dxa"/>
            <w:tcBorders>
              <w:top w:val="nil"/>
              <w:left w:val="nil"/>
              <w:right w:val="nil"/>
            </w:tcBorders>
            <w:shd w:val="clear" w:color="auto" w:fill="auto"/>
            <w:noWrap/>
            <w:vAlign w:val="center"/>
            <w:hideMark/>
          </w:tcPr>
          <w:p w14:paraId="148BB93E" w14:textId="77777777" w:rsidR="00FB6D3C" w:rsidRPr="00B15722" w:rsidRDefault="00FB6D3C"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0.34</w:t>
            </w:r>
            <w:r>
              <w:rPr>
                <w:rFonts w:asciiTheme="majorHAnsi" w:eastAsia="Times New Roman" w:hAnsiTheme="majorHAnsi" w:cstheme="majorHAnsi"/>
                <w:color w:val="000000"/>
                <w:sz w:val="18"/>
                <w:szCs w:val="18"/>
                <w:lang w:eastAsia="zh-CN"/>
              </w:rPr>
              <w:t>4</w:t>
            </w:r>
          </w:p>
        </w:tc>
        <w:tc>
          <w:tcPr>
            <w:tcW w:w="1152" w:type="dxa"/>
            <w:tcBorders>
              <w:top w:val="nil"/>
              <w:left w:val="nil"/>
              <w:right w:val="nil"/>
            </w:tcBorders>
            <w:shd w:val="clear" w:color="auto" w:fill="auto"/>
            <w:noWrap/>
            <w:vAlign w:val="center"/>
            <w:hideMark/>
          </w:tcPr>
          <w:p w14:paraId="4F4E4DBF" w14:textId="7DC935E6" w:rsidR="00FB6D3C" w:rsidRPr="00B15722" w:rsidRDefault="00FB6D3C"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0.34</w:t>
            </w:r>
            <w:r w:rsidR="002B0585">
              <w:rPr>
                <w:rFonts w:asciiTheme="majorHAnsi" w:eastAsia="Times New Roman" w:hAnsiTheme="majorHAnsi" w:cstheme="majorHAnsi"/>
                <w:color w:val="000000"/>
                <w:sz w:val="18"/>
                <w:szCs w:val="18"/>
                <w:lang w:eastAsia="zh-CN"/>
              </w:rPr>
              <w:t>2</w:t>
            </w:r>
          </w:p>
        </w:tc>
        <w:tc>
          <w:tcPr>
            <w:tcW w:w="1152" w:type="dxa"/>
            <w:tcBorders>
              <w:top w:val="nil"/>
              <w:left w:val="nil"/>
              <w:right w:val="nil"/>
            </w:tcBorders>
            <w:shd w:val="clear" w:color="auto" w:fill="auto"/>
            <w:noWrap/>
            <w:vAlign w:val="center"/>
            <w:hideMark/>
          </w:tcPr>
          <w:p w14:paraId="0A098A82" w14:textId="3AAB797E" w:rsidR="00FB6D3C" w:rsidRPr="00B15722" w:rsidRDefault="00FB6D3C"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0.3</w:t>
            </w:r>
            <w:r w:rsidR="002B0585">
              <w:rPr>
                <w:rFonts w:asciiTheme="majorHAnsi" w:eastAsia="Times New Roman" w:hAnsiTheme="majorHAnsi" w:cstheme="majorHAnsi"/>
                <w:color w:val="000000"/>
                <w:sz w:val="18"/>
                <w:szCs w:val="18"/>
                <w:lang w:eastAsia="zh-CN"/>
              </w:rPr>
              <w:t>06</w:t>
            </w:r>
          </w:p>
        </w:tc>
      </w:tr>
      <w:tr w:rsidR="00D1084F" w:rsidRPr="00ED3FAB" w14:paraId="6303830B" w14:textId="77777777" w:rsidTr="00FB6D3C">
        <w:trPr>
          <w:trHeight w:val="300"/>
        </w:trPr>
        <w:tc>
          <w:tcPr>
            <w:tcW w:w="2016" w:type="dxa"/>
            <w:tcBorders>
              <w:left w:val="nil"/>
              <w:bottom w:val="nil"/>
              <w:right w:val="nil"/>
            </w:tcBorders>
            <w:vAlign w:val="center"/>
          </w:tcPr>
          <w:p w14:paraId="0FBA076B" w14:textId="77777777" w:rsidR="00D1084F" w:rsidRPr="00B15722" w:rsidRDefault="00D1084F" w:rsidP="004B37D4">
            <w:pPr>
              <w:spacing w:after="0" w:line="240" w:lineRule="auto"/>
              <w:jc w:val="left"/>
              <w:rPr>
                <w:rFonts w:asciiTheme="majorHAnsi" w:eastAsia="Times New Roman" w:hAnsiTheme="majorHAnsi" w:cstheme="majorHAnsi"/>
                <w:b/>
                <w:i/>
                <w:color w:val="000000"/>
                <w:sz w:val="18"/>
                <w:szCs w:val="18"/>
                <w:lang w:eastAsia="zh-CN"/>
              </w:rPr>
            </w:pPr>
            <w:r w:rsidRPr="00B15722">
              <w:rPr>
                <w:rFonts w:asciiTheme="majorHAnsi" w:eastAsia="Times New Roman" w:hAnsiTheme="majorHAnsi" w:cstheme="majorHAnsi"/>
                <w:b/>
                <w:i/>
                <w:color w:val="000000"/>
                <w:sz w:val="18"/>
                <w:szCs w:val="18"/>
                <w:lang w:eastAsia="zh-CN"/>
              </w:rPr>
              <w:t>National poverty line</w:t>
            </w:r>
          </w:p>
        </w:tc>
        <w:tc>
          <w:tcPr>
            <w:tcW w:w="1152" w:type="dxa"/>
            <w:tcBorders>
              <w:left w:val="nil"/>
              <w:bottom w:val="nil"/>
              <w:right w:val="nil"/>
            </w:tcBorders>
            <w:shd w:val="clear" w:color="auto" w:fill="auto"/>
            <w:noWrap/>
            <w:vAlign w:val="center"/>
            <w:hideMark/>
          </w:tcPr>
          <w:p w14:paraId="6EBB50A3"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left w:val="nil"/>
              <w:bottom w:val="nil"/>
              <w:right w:val="nil"/>
            </w:tcBorders>
            <w:shd w:val="clear" w:color="auto" w:fill="auto"/>
            <w:noWrap/>
            <w:vAlign w:val="center"/>
            <w:hideMark/>
          </w:tcPr>
          <w:p w14:paraId="231162F8"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left w:val="nil"/>
              <w:bottom w:val="nil"/>
              <w:right w:val="nil"/>
            </w:tcBorders>
            <w:shd w:val="clear" w:color="auto" w:fill="auto"/>
            <w:noWrap/>
            <w:vAlign w:val="center"/>
            <w:hideMark/>
          </w:tcPr>
          <w:p w14:paraId="6D0E9158"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left w:val="nil"/>
              <w:bottom w:val="nil"/>
              <w:right w:val="nil"/>
            </w:tcBorders>
            <w:shd w:val="clear" w:color="auto" w:fill="auto"/>
            <w:noWrap/>
            <w:vAlign w:val="center"/>
            <w:hideMark/>
          </w:tcPr>
          <w:p w14:paraId="62EAC139"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r>
      <w:tr w:rsidR="00D1084F" w:rsidRPr="00ED3FAB" w14:paraId="2BC77228" w14:textId="77777777" w:rsidTr="004B37D4">
        <w:trPr>
          <w:trHeight w:val="300"/>
        </w:trPr>
        <w:tc>
          <w:tcPr>
            <w:tcW w:w="2016" w:type="dxa"/>
            <w:tcBorders>
              <w:top w:val="nil"/>
              <w:left w:val="nil"/>
              <w:bottom w:val="nil"/>
              <w:right w:val="nil"/>
            </w:tcBorders>
            <w:vAlign w:val="center"/>
          </w:tcPr>
          <w:p w14:paraId="18C726F3" w14:textId="77777777" w:rsidR="00D1084F" w:rsidRPr="00B15722" w:rsidRDefault="00D1084F" w:rsidP="004B37D4">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incidence</w:t>
            </w:r>
          </w:p>
        </w:tc>
        <w:tc>
          <w:tcPr>
            <w:tcW w:w="1152" w:type="dxa"/>
            <w:tcBorders>
              <w:top w:val="nil"/>
              <w:left w:val="nil"/>
              <w:bottom w:val="nil"/>
              <w:right w:val="nil"/>
            </w:tcBorders>
            <w:shd w:val="clear" w:color="auto" w:fill="auto"/>
            <w:noWrap/>
            <w:vAlign w:val="center"/>
            <w:hideMark/>
          </w:tcPr>
          <w:p w14:paraId="2B2DE59C"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15.1</w:t>
            </w:r>
          </w:p>
        </w:tc>
        <w:tc>
          <w:tcPr>
            <w:tcW w:w="1152" w:type="dxa"/>
            <w:tcBorders>
              <w:top w:val="nil"/>
              <w:left w:val="nil"/>
              <w:bottom w:val="nil"/>
              <w:right w:val="nil"/>
            </w:tcBorders>
            <w:shd w:val="clear" w:color="auto" w:fill="auto"/>
            <w:noWrap/>
            <w:vAlign w:val="center"/>
            <w:hideMark/>
          </w:tcPr>
          <w:p w14:paraId="1ACE6764" w14:textId="33947D6B"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6.</w:t>
            </w:r>
            <w:r w:rsidR="00CE62C0">
              <w:rPr>
                <w:rFonts w:asciiTheme="majorHAnsi" w:eastAsia="Times New Roman" w:hAnsiTheme="majorHAnsi" w:cstheme="majorHAnsi"/>
                <w:color w:val="000000"/>
                <w:sz w:val="18"/>
                <w:szCs w:val="18"/>
                <w:lang w:eastAsia="zh-CN"/>
              </w:rPr>
              <w:t>2</w:t>
            </w:r>
          </w:p>
        </w:tc>
        <w:tc>
          <w:tcPr>
            <w:tcW w:w="1152" w:type="dxa"/>
            <w:tcBorders>
              <w:top w:val="nil"/>
              <w:left w:val="nil"/>
              <w:bottom w:val="nil"/>
              <w:right w:val="nil"/>
            </w:tcBorders>
            <w:shd w:val="clear" w:color="auto" w:fill="auto"/>
            <w:noWrap/>
            <w:vAlign w:val="center"/>
            <w:hideMark/>
          </w:tcPr>
          <w:p w14:paraId="7B61395F" w14:textId="33F75885"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9.</w:t>
            </w:r>
            <w:r w:rsidR="00A45AB6">
              <w:rPr>
                <w:rFonts w:asciiTheme="majorHAnsi" w:eastAsia="Times New Roman" w:hAnsiTheme="majorHAnsi" w:cstheme="majorHAnsi"/>
                <w:color w:val="000000"/>
                <w:sz w:val="18"/>
                <w:szCs w:val="18"/>
                <w:lang w:eastAsia="zh-CN"/>
              </w:rPr>
              <w:t>2</w:t>
            </w:r>
          </w:p>
        </w:tc>
        <w:tc>
          <w:tcPr>
            <w:tcW w:w="1152" w:type="dxa"/>
            <w:tcBorders>
              <w:top w:val="nil"/>
              <w:left w:val="nil"/>
              <w:bottom w:val="nil"/>
              <w:right w:val="nil"/>
            </w:tcBorders>
            <w:shd w:val="clear" w:color="auto" w:fill="auto"/>
            <w:noWrap/>
            <w:hideMark/>
          </w:tcPr>
          <w:p w14:paraId="5BE2EDBE" w14:textId="5AF12191" w:rsidR="00D1084F" w:rsidRPr="00B15722" w:rsidRDefault="00FD69B2" w:rsidP="004B37D4">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D1084F" w:rsidRPr="00ED3FAB" w14:paraId="02902DCE" w14:textId="77777777" w:rsidTr="004B37D4">
        <w:trPr>
          <w:trHeight w:val="300"/>
        </w:trPr>
        <w:tc>
          <w:tcPr>
            <w:tcW w:w="2016" w:type="dxa"/>
            <w:tcBorders>
              <w:top w:val="nil"/>
              <w:left w:val="nil"/>
              <w:bottom w:val="nil"/>
              <w:right w:val="nil"/>
            </w:tcBorders>
            <w:vAlign w:val="center"/>
          </w:tcPr>
          <w:p w14:paraId="1D734419" w14:textId="77777777" w:rsidR="00D1084F" w:rsidRPr="00B15722" w:rsidRDefault="00D1084F" w:rsidP="004B37D4">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gap</w:t>
            </w:r>
          </w:p>
        </w:tc>
        <w:tc>
          <w:tcPr>
            <w:tcW w:w="1152" w:type="dxa"/>
            <w:tcBorders>
              <w:top w:val="nil"/>
              <w:left w:val="nil"/>
              <w:bottom w:val="nil"/>
              <w:right w:val="nil"/>
            </w:tcBorders>
            <w:shd w:val="clear" w:color="auto" w:fill="auto"/>
            <w:noWrap/>
            <w:vAlign w:val="center"/>
            <w:hideMark/>
          </w:tcPr>
          <w:p w14:paraId="6A082535"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5.6</w:t>
            </w:r>
          </w:p>
        </w:tc>
        <w:tc>
          <w:tcPr>
            <w:tcW w:w="1152" w:type="dxa"/>
            <w:tcBorders>
              <w:top w:val="nil"/>
              <w:left w:val="nil"/>
              <w:bottom w:val="nil"/>
              <w:right w:val="nil"/>
            </w:tcBorders>
            <w:shd w:val="clear" w:color="auto" w:fill="auto"/>
            <w:noWrap/>
            <w:vAlign w:val="center"/>
            <w:hideMark/>
          </w:tcPr>
          <w:p w14:paraId="55884FF3"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1.5</w:t>
            </w:r>
          </w:p>
        </w:tc>
        <w:tc>
          <w:tcPr>
            <w:tcW w:w="1152" w:type="dxa"/>
            <w:tcBorders>
              <w:top w:val="nil"/>
              <w:left w:val="nil"/>
              <w:bottom w:val="nil"/>
              <w:right w:val="nil"/>
            </w:tcBorders>
            <w:shd w:val="clear" w:color="auto" w:fill="auto"/>
            <w:noWrap/>
            <w:vAlign w:val="center"/>
            <w:hideMark/>
          </w:tcPr>
          <w:p w14:paraId="696FF41E" w14:textId="219590D8"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2.</w:t>
            </w:r>
            <w:r w:rsidR="00CE62C0">
              <w:rPr>
                <w:rFonts w:asciiTheme="majorHAnsi" w:eastAsia="Times New Roman" w:hAnsiTheme="majorHAnsi" w:cstheme="majorHAnsi"/>
                <w:color w:val="000000"/>
                <w:sz w:val="18"/>
                <w:szCs w:val="18"/>
                <w:lang w:eastAsia="zh-CN"/>
              </w:rPr>
              <w:t>2</w:t>
            </w:r>
          </w:p>
        </w:tc>
        <w:tc>
          <w:tcPr>
            <w:tcW w:w="1152" w:type="dxa"/>
            <w:tcBorders>
              <w:top w:val="nil"/>
              <w:left w:val="nil"/>
              <w:bottom w:val="nil"/>
              <w:right w:val="nil"/>
            </w:tcBorders>
            <w:shd w:val="clear" w:color="auto" w:fill="auto"/>
            <w:noWrap/>
            <w:hideMark/>
          </w:tcPr>
          <w:p w14:paraId="06F510BF" w14:textId="237DD075" w:rsidR="00D1084F" w:rsidRPr="00B15722" w:rsidRDefault="00FD69B2" w:rsidP="004B37D4">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D1084F" w:rsidRPr="00ED3FAB" w14:paraId="55AE0E64" w14:textId="77777777" w:rsidTr="004B37D4">
        <w:trPr>
          <w:trHeight w:val="300"/>
        </w:trPr>
        <w:tc>
          <w:tcPr>
            <w:tcW w:w="2016" w:type="dxa"/>
            <w:tcBorders>
              <w:top w:val="nil"/>
              <w:left w:val="nil"/>
              <w:bottom w:val="nil"/>
              <w:right w:val="nil"/>
            </w:tcBorders>
            <w:vAlign w:val="center"/>
          </w:tcPr>
          <w:p w14:paraId="7039F713" w14:textId="77777777" w:rsidR="00D1084F" w:rsidRPr="00B15722" w:rsidRDefault="00D1084F" w:rsidP="004B37D4">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severity</w:t>
            </w:r>
          </w:p>
        </w:tc>
        <w:tc>
          <w:tcPr>
            <w:tcW w:w="1152" w:type="dxa"/>
            <w:tcBorders>
              <w:top w:val="nil"/>
              <w:left w:val="nil"/>
              <w:bottom w:val="nil"/>
              <w:right w:val="nil"/>
            </w:tcBorders>
            <w:shd w:val="clear" w:color="auto" w:fill="auto"/>
            <w:noWrap/>
            <w:vAlign w:val="center"/>
            <w:hideMark/>
          </w:tcPr>
          <w:p w14:paraId="7AC8796E"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3.1</w:t>
            </w:r>
          </w:p>
        </w:tc>
        <w:tc>
          <w:tcPr>
            <w:tcW w:w="1152" w:type="dxa"/>
            <w:tcBorders>
              <w:top w:val="nil"/>
              <w:left w:val="nil"/>
              <w:bottom w:val="nil"/>
              <w:right w:val="nil"/>
            </w:tcBorders>
            <w:shd w:val="clear" w:color="auto" w:fill="auto"/>
            <w:noWrap/>
            <w:vAlign w:val="center"/>
            <w:hideMark/>
          </w:tcPr>
          <w:p w14:paraId="77E76685"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0.6</w:t>
            </w:r>
          </w:p>
        </w:tc>
        <w:tc>
          <w:tcPr>
            <w:tcW w:w="1152" w:type="dxa"/>
            <w:tcBorders>
              <w:top w:val="nil"/>
              <w:left w:val="nil"/>
              <w:bottom w:val="nil"/>
              <w:right w:val="nil"/>
            </w:tcBorders>
            <w:shd w:val="clear" w:color="auto" w:fill="auto"/>
            <w:noWrap/>
            <w:vAlign w:val="center"/>
            <w:hideMark/>
          </w:tcPr>
          <w:p w14:paraId="0354FC5F" w14:textId="77777777" w:rsidR="00D1084F" w:rsidRPr="00B15722" w:rsidRDefault="00D1084F" w:rsidP="004B37D4">
            <w:pPr>
              <w:spacing w:after="0" w:line="240" w:lineRule="auto"/>
              <w:jc w:val="center"/>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0.9</w:t>
            </w:r>
          </w:p>
        </w:tc>
        <w:tc>
          <w:tcPr>
            <w:tcW w:w="1152" w:type="dxa"/>
            <w:tcBorders>
              <w:top w:val="nil"/>
              <w:left w:val="nil"/>
              <w:bottom w:val="nil"/>
              <w:right w:val="nil"/>
            </w:tcBorders>
            <w:shd w:val="clear" w:color="auto" w:fill="auto"/>
            <w:noWrap/>
            <w:hideMark/>
          </w:tcPr>
          <w:p w14:paraId="6E628C52" w14:textId="632E2382" w:rsidR="00D1084F" w:rsidRPr="00B15722" w:rsidRDefault="00FD69B2" w:rsidP="004B37D4">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D1084F" w:rsidRPr="00ED3FAB" w14:paraId="56292C94" w14:textId="77777777" w:rsidTr="004B37D4">
        <w:trPr>
          <w:trHeight w:val="300"/>
        </w:trPr>
        <w:tc>
          <w:tcPr>
            <w:tcW w:w="2016" w:type="dxa"/>
            <w:tcBorders>
              <w:top w:val="nil"/>
              <w:left w:val="nil"/>
              <w:bottom w:val="nil"/>
              <w:right w:val="nil"/>
            </w:tcBorders>
            <w:vAlign w:val="center"/>
          </w:tcPr>
          <w:p w14:paraId="116AF2C4" w14:textId="77777777" w:rsidR="00D1084F" w:rsidRPr="00B15722" w:rsidRDefault="00D1084F" w:rsidP="004B37D4">
            <w:pPr>
              <w:spacing w:after="0" w:line="240" w:lineRule="auto"/>
              <w:jc w:val="left"/>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vAlign w:val="center"/>
            <w:hideMark/>
          </w:tcPr>
          <w:p w14:paraId="4EEFF3E9"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vAlign w:val="center"/>
            <w:hideMark/>
          </w:tcPr>
          <w:p w14:paraId="666D2003"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vAlign w:val="center"/>
            <w:hideMark/>
          </w:tcPr>
          <w:p w14:paraId="0372024A"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tcPr>
          <w:p w14:paraId="47CE7346"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r>
      <w:tr w:rsidR="00D1084F" w:rsidRPr="00ED3FAB" w14:paraId="08C36A7D" w14:textId="77777777" w:rsidTr="004B37D4">
        <w:trPr>
          <w:trHeight w:val="300"/>
        </w:trPr>
        <w:tc>
          <w:tcPr>
            <w:tcW w:w="2016" w:type="dxa"/>
            <w:tcBorders>
              <w:top w:val="nil"/>
              <w:left w:val="nil"/>
              <w:bottom w:val="nil"/>
              <w:right w:val="nil"/>
            </w:tcBorders>
            <w:vAlign w:val="center"/>
          </w:tcPr>
          <w:p w14:paraId="04A0160A" w14:textId="12672106" w:rsidR="00D1084F" w:rsidRPr="00B15722" w:rsidRDefault="00D1084F" w:rsidP="004B37D4">
            <w:pPr>
              <w:spacing w:after="0" w:line="240" w:lineRule="auto"/>
              <w:jc w:val="left"/>
              <w:rPr>
                <w:rFonts w:asciiTheme="majorHAnsi" w:eastAsia="Times New Roman" w:hAnsiTheme="majorHAnsi" w:cstheme="majorHAnsi"/>
                <w:b/>
                <w:i/>
                <w:sz w:val="18"/>
                <w:szCs w:val="18"/>
                <w:lang w:eastAsia="zh-CN"/>
              </w:rPr>
            </w:pPr>
            <w:r w:rsidRPr="00B15722">
              <w:rPr>
                <w:rFonts w:asciiTheme="majorHAnsi" w:eastAsia="Times New Roman" w:hAnsiTheme="majorHAnsi" w:cstheme="majorHAnsi"/>
                <w:b/>
                <w:i/>
                <w:sz w:val="18"/>
                <w:szCs w:val="18"/>
                <w:lang w:eastAsia="zh-CN"/>
              </w:rPr>
              <w:t>US$</w:t>
            </w:r>
            <w:r w:rsidR="009332C1">
              <w:rPr>
                <w:rFonts w:asciiTheme="majorHAnsi" w:eastAsia="Times New Roman" w:hAnsiTheme="majorHAnsi" w:cstheme="majorHAnsi"/>
                <w:b/>
                <w:i/>
                <w:sz w:val="18"/>
                <w:szCs w:val="18"/>
                <w:lang w:eastAsia="zh-CN"/>
              </w:rPr>
              <w:t>4</w:t>
            </w:r>
            <w:r w:rsidRPr="00B15722">
              <w:rPr>
                <w:rFonts w:asciiTheme="majorHAnsi" w:eastAsia="Times New Roman" w:hAnsiTheme="majorHAnsi" w:cstheme="majorHAnsi"/>
                <w:b/>
                <w:i/>
                <w:sz w:val="18"/>
                <w:szCs w:val="18"/>
                <w:lang w:eastAsia="zh-CN"/>
              </w:rPr>
              <w:t xml:space="preserve"> a day 20</w:t>
            </w:r>
            <w:r w:rsidR="0036439A">
              <w:rPr>
                <w:rFonts w:asciiTheme="majorHAnsi" w:eastAsia="Times New Roman" w:hAnsiTheme="majorHAnsi" w:cstheme="majorHAnsi"/>
                <w:b/>
                <w:i/>
                <w:sz w:val="18"/>
                <w:szCs w:val="18"/>
                <w:lang w:eastAsia="zh-CN"/>
              </w:rPr>
              <w:t>05</w:t>
            </w:r>
            <w:r w:rsidRPr="00B15722">
              <w:rPr>
                <w:rFonts w:asciiTheme="majorHAnsi" w:eastAsia="Times New Roman" w:hAnsiTheme="majorHAnsi" w:cstheme="majorHAnsi"/>
                <w:b/>
                <w:i/>
                <w:sz w:val="18"/>
                <w:szCs w:val="18"/>
                <w:lang w:eastAsia="zh-CN"/>
              </w:rPr>
              <w:t xml:space="preserve"> </w:t>
            </w:r>
            <w:r w:rsidR="00BA0E07">
              <w:rPr>
                <w:rFonts w:asciiTheme="majorHAnsi" w:eastAsia="Times New Roman" w:hAnsiTheme="majorHAnsi" w:cstheme="majorHAnsi"/>
                <w:b/>
                <w:i/>
                <w:sz w:val="18"/>
                <w:szCs w:val="18"/>
                <w:lang w:eastAsia="zh-CN"/>
              </w:rPr>
              <w:t>P</w:t>
            </w:r>
            <w:r w:rsidRPr="00B15722">
              <w:rPr>
                <w:rFonts w:asciiTheme="majorHAnsi" w:eastAsia="Times New Roman" w:hAnsiTheme="majorHAnsi" w:cstheme="majorHAnsi"/>
                <w:b/>
                <w:i/>
                <w:sz w:val="18"/>
                <w:szCs w:val="18"/>
                <w:lang w:eastAsia="zh-CN"/>
              </w:rPr>
              <w:t>PP</w:t>
            </w:r>
          </w:p>
        </w:tc>
        <w:tc>
          <w:tcPr>
            <w:tcW w:w="1152" w:type="dxa"/>
            <w:tcBorders>
              <w:top w:val="nil"/>
              <w:left w:val="nil"/>
              <w:bottom w:val="nil"/>
              <w:right w:val="nil"/>
            </w:tcBorders>
            <w:shd w:val="clear" w:color="auto" w:fill="auto"/>
            <w:noWrap/>
            <w:vAlign w:val="center"/>
            <w:hideMark/>
          </w:tcPr>
          <w:p w14:paraId="0C7A432B"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vAlign w:val="center"/>
            <w:hideMark/>
          </w:tcPr>
          <w:p w14:paraId="496F91AD"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vAlign w:val="center"/>
            <w:hideMark/>
          </w:tcPr>
          <w:p w14:paraId="58347782"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c>
          <w:tcPr>
            <w:tcW w:w="1152" w:type="dxa"/>
            <w:tcBorders>
              <w:top w:val="nil"/>
              <w:left w:val="nil"/>
              <w:bottom w:val="nil"/>
              <w:right w:val="nil"/>
            </w:tcBorders>
            <w:shd w:val="clear" w:color="auto" w:fill="auto"/>
            <w:noWrap/>
          </w:tcPr>
          <w:p w14:paraId="6FD99203" w14:textId="77777777" w:rsidR="00D1084F" w:rsidRPr="00B15722" w:rsidRDefault="00D1084F" w:rsidP="004B37D4">
            <w:pPr>
              <w:spacing w:after="0" w:line="240" w:lineRule="auto"/>
              <w:jc w:val="center"/>
              <w:rPr>
                <w:rFonts w:asciiTheme="majorHAnsi" w:eastAsia="Times New Roman" w:hAnsiTheme="majorHAnsi" w:cstheme="majorHAnsi"/>
                <w:sz w:val="18"/>
                <w:szCs w:val="18"/>
                <w:lang w:eastAsia="zh-CN"/>
              </w:rPr>
            </w:pPr>
          </w:p>
        </w:tc>
      </w:tr>
      <w:tr w:rsidR="00932F5C" w:rsidRPr="00ED3FAB" w14:paraId="0B55CDCE" w14:textId="77777777" w:rsidTr="004B37D4">
        <w:trPr>
          <w:trHeight w:val="300"/>
        </w:trPr>
        <w:tc>
          <w:tcPr>
            <w:tcW w:w="2016" w:type="dxa"/>
            <w:tcBorders>
              <w:top w:val="nil"/>
              <w:left w:val="nil"/>
              <w:bottom w:val="nil"/>
              <w:right w:val="nil"/>
            </w:tcBorders>
            <w:vAlign w:val="center"/>
          </w:tcPr>
          <w:p w14:paraId="4BD8F861" w14:textId="77777777" w:rsidR="00932F5C" w:rsidRPr="00B15722" w:rsidRDefault="00932F5C" w:rsidP="00932F5C">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incidence</w:t>
            </w:r>
          </w:p>
        </w:tc>
        <w:tc>
          <w:tcPr>
            <w:tcW w:w="1152" w:type="dxa"/>
            <w:tcBorders>
              <w:top w:val="nil"/>
              <w:left w:val="nil"/>
              <w:bottom w:val="nil"/>
              <w:right w:val="nil"/>
            </w:tcBorders>
            <w:shd w:val="clear" w:color="auto" w:fill="auto"/>
            <w:noWrap/>
            <w:vAlign w:val="bottom"/>
            <w:hideMark/>
          </w:tcPr>
          <w:p w14:paraId="5DBD7934" w14:textId="4113EF19"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6.5</w:t>
            </w:r>
          </w:p>
        </w:tc>
        <w:tc>
          <w:tcPr>
            <w:tcW w:w="1152" w:type="dxa"/>
            <w:tcBorders>
              <w:top w:val="nil"/>
              <w:left w:val="nil"/>
              <w:bottom w:val="nil"/>
              <w:right w:val="nil"/>
            </w:tcBorders>
            <w:shd w:val="clear" w:color="auto" w:fill="auto"/>
            <w:noWrap/>
            <w:vAlign w:val="bottom"/>
            <w:hideMark/>
          </w:tcPr>
          <w:p w14:paraId="48DFA32C" w14:textId="0A39D361"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1.2</w:t>
            </w:r>
          </w:p>
        </w:tc>
        <w:tc>
          <w:tcPr>
            <w:tcW w:w="1152" w:type="dxa"/>
            <w:tcBorders>
              <w:top w:val="nil"/>
              <w:left w:val="nil"/>
              <w:bottom w:val="nil"/>
              <w:right w:val="nil"/>
            </w:tcBorders>
            <w:shd w:val="clear" w:color="auto" w:fill="auto"/>
            <w:noWrap/>
            <w:vAlign w:val="bottom"/>
            <w:hideMark/>
          </w:tcPr>
          <w:p w14:paraId="46839C4F" w14:textId="6CD353DD"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1.</w:t>
            </w:r>
            <w:r w:rsidR="009C65FE">
              <w:rPr>
                <w:rFonts w:asciiTheme="majorHAnsi" w:eastAsia="Times New Roman" w:hAnsiTheme="majorHAnsi" w:cstheme="majorHAnsi"/>
                <w:color w:val="000000"/>
                <w:sz w:val="18"/>
                <w:szCs w:val="18"/>
                <w:lang w:eastAsia="zh-CN"/>
              </w:rPr>
              <w:t>8</w:t>
            </w:r>
          </w:p>
        </w:tc>
        <w:tc>
          <w:tcPr>
            <w:tcW w:w="1152" w:type="dxa"/>
            <w:tcBorders>
              <w:top w:val="nil"/>
              <w:left w:val="nil"/>
              <w:bottom w:val="nil"/>
              <w:right w:val="nil"/>
            </w:tcBorders>
            <w:shd w:val="clear" w:color="auto" w:fill="auto"/>
            <w:noWrap/>
            <w:hideMark/>
          </w:tcPr>
          <w:p w14:paraId="42106DEC" w14:textId="50C15FB9"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932F5C" w:rsidRPr="00ED3FAB" w14:paraId="3710D0A1" w14:textId="77777777" w:rsidTr="004B37D4">
        <w:trPr>
          <w:trHeight w:val="300"/>
        </w:trPr>
        <w:tc>
          <w:tcPr>
            <w:tcW w:w="2016" w:type="dxa"/>
            <w:tcBorders>
              <w:top w:val="nil"/>
              <w:left w:val="nil"/>
              <w:bottom w:val="nil"/>
              <w:right w:val="nil"/>
            </w:tcBorders>
            <w:vAlign w:val="center"/>
          </w:tcPr>
          <w:p w14:paraId="75C50DDB" w14:textId="77777777" w:rsidR="00932F5C" w:rsidRPr="00B15722" w:rsidRDefault="00932F5C" w:rsidP="00932F5C">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gap</w:t>
            </w:r>
          </w:p>
        </w:tc>
        <w:tc>
          <w:tcPr>
            <w:tcW w:w="1152" w:type="dxa"/>
            <w:tcBorders>
              <w:top w:val="nil"/>
              <w:left w:val="nil"/>
              <w:bottom w:val="nil"/>
              <w:right w:val="nil"/>
            </w:tcBorders>
            <w:shd w:val="clear" w:color="auto" w:fill="auto"/>
            <w:noWrap/>
            <w:vAlign w:val="bottom"/>
            <w:hideMark/>
          </w:tcPr>
          <w:p w14:paraId="23B18957" w14:textId="4C0DCDEF"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2.4</w:t>
            </w:r>
          </w:p>
        </w:tc>
        <w:tc>
          <w:tcPr>
            <w:tcW w:w="1152" w:type="dxa"/>
            <w:tcBorders>
              <w:top w:val="nil"/>
              <w:left w:val="nil"/>
              <w:bottom w:val="nil"/>
              <w:right w:val="nil"/>
            </w:tcBorders>
            <w:shd w:val="clear" w:color="auto" w:fill="auto"/>
            <w:noWrap/>
            <w:vAlign w:val="bottom"/>
            <w:hideMark/>
          </w:tcPr>
          <w:p w14:paraId="6CEE8EF7" w14:textId="117B08B2"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0.3</w:t>
            </w:r>
          </w:p>
        </w:tc>
        <w:tc>
          <w:tcPr>
            <w:tcW w:w="1152" w:type="dxa"/>
            <w:tcBorders>
              <w:top w:val="nil"/>
              <w:left w:val="nil"/>
              <w:bottom w:val="nil"/>
              <w:right w:val="nil"/>
            </w:tcBorders>
            <w:shd w:val="clear" w:color="auto" w:fill="auto"/>
            <w:noWrap/>
            <w:vAlign w:val="bottom"/>
            <w:hideMark/>
          </w:tcPr>
          <w:p w14:paraId="16EF9B0F" w14:textId="5AA51645"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0.5</w:t>
            </w:r>
          </w:p>
        </w:tc>
        <w:tc>
          <w:tcPr>
            <w:tcW w:w="1152" w:type="dxa"/>
            <w:tcBorders>
              <w:top w:val="nil"/>
              <w:left w:val="nil"/>
              <w:bottom w:val="nil"/>
              <w:right w:val="nil"/>
            </w:tcBorders>
            <w:shd w:val="clear" w:color="auto" w:fill="auto"/>
            <w:noWrap/>
            <w:hideMark/>
          </w:tcPr>
          <w:p w14:paraId="011C55B6" w14:textId="0C3E08E5"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932F5C" w:rsidRPr="00ED3FAB" w14:paraId="7364C400" w14:textId="77777777" w:rsidTr="004B37D4">
        <w:trPr>
          <w:trHeight w:val="300"/>
        </w:trPr>
        <w:tc>
          <w:tcPr>
            <w:tcW w:w="2016" w:type="dxa"/>
            <w:tcBorders>
              <w:top w:val="nil"/>
              <w:left w:val="nil"/>
              <w:right w:val="nil"/>
            </w:tcBorders>
            <w:vAlign w:val="center"/>
          </w:tcPr>
          <w:p w14:paraId="1B207C18" w14:textId="77777777" w:rsidR="00932F5C" w:rsidRPr="00B15722" w:rsidRDefault="00932F5C" w:rsidP="00932F5C">
            <w:pPr>
              <w:spacing w:after="0" w:line="240" w:lineRule="auto"/>
              <w:jc w:val="left"/>
              <w:rPr>
                <w:rFonts w:asciiTheme="majorHAnsi" w:eastAsia="Times New Roman" w:hAnsiTheme="majorHAnsi" w:cstheme="majorHAnsi"/>
                <w:color w:val="000000"/>
                <w:sz w:val="18"/>
                <w:szCs w:val="18"/>
                <w:lang w:eastAsia="zh-CN"/>
              </w:rPr>
            </w:pPr>
            <w:r w:rsidRPr="00B15722">
              <w:rPr>
                <w:rFonts w:asciiTheme="majorHAnsi" w:eastAsia="Times New Roman" w:hAnsiTheme="majorHAnsi" w:cstheme="majorHAnsi"/>
                <w:color w:val="000000"/>
                <w:sz w:val="18"/>
                <w:szCs w:val="18"/>
                <w:lang w:eastAsia="zh-CN"/>
              </w:rPr>
              <w:t>Poverty severity</w:t>
            </w:r>
          </w:p>
        </w:tc>
        <w:tc>
          <w:tcPr>
            <w:tcW w:w="1152" w:type="dxa"/>
            <w:tcBorders>
              <w:top w:val="nil"/>
              <w:left w:val="nil"/>
              <w:right w:val="nil"/>
            </w:tcBorders>
            <w:shd w:val="clear" w:color="auto" w:fill="auto"/>
            <w:noWrap/>
            <w:vAlign w:val="bottom"/>
            <w:hideMark/>
          </w:tcPr>
          <w:p w14:paraId="48456E39" w14:textId="5CB1D3C5"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1.3</w:t>
            </w:r>
          </w:p>
        </w:tc>
        <w:tc>
          <w:tcPr>
            <w:tcW w:w="1152" w:type="dxa"/>
            <w:tcBorders>
              <w:top w:val="nil"/>
              <w:left w:val="nil"/>
              <w:right w:val="nil"/>
            </w:tcBorders>
            <w:shd w:val="clear" w:color="auto" w:fill="auto"/>
            <w:noWrap/>
            <w:vAlign w:val="bottom"/>
            <w:hideMark/>
          </w:tcPr>
          <w:p w14:paraId="2AA261D1" w14:textId="406DFC0D"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0.1</w:t>
            </w:r>
          </w:p>
        </w:tc>
        <w:tc>
          <w:tcPr>
            <w:tcW w:w="1152" w:type="dxa"/>
            <w:tcBorders>
              <w:top w:val="nil"/>
              <w:left w:val="nil"/>
              <w:right w:val="nil"/>
            </w:tcBorders>
            <w:shd w:val="clear" w:color="auto" w:fill="auto"/>
            <w:noWrap/>
            <w:vAlign w:val="bottom"/>
            <w:hideMark/>
          </w:tcPr>
          <w:p w14:paraId="328F51FD" w14:textId="6C20A14A"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sidRPr="00932F5C">
              <w:rPr>
                <w:rFonts w:asciiTheme="majorHAnsi" w:eastAsia="Times New Roman" w:hAnsiTheme="majorHAnsi" w:cstheme="majorHAnsi"/>
                <w:color w:val="000000"/>
                <w:sz w:val="18"/>
                <w:szCs w:val="18"/>
                <w:lang w:eastAsia="zh-CN"/>
              </w:rPr>
              <w:t>0.2</w:t>
            </w:r>
          </w:p>
        </w:tc>
        <w:tc>
          <w:tcPr>
            <w:tcW w:w="1152" w:type="dxa"/>
            <w:tcBorders>
              <w:top w:val="nil"/>
              <w:left w:val="nil"/>
              <w:right w:val="nil"/>
            </w:tcBorders>
            <w:shd w:val="clear" w:color="auto" w:fill="auto"/>
            <w:noWrap/>
            <w:hideMark/>
          </w:tcPr>
          <w:p w14:paraId="3F492031" w14:textId="56F367D8" w:rsidR="00932F5C" w:rsidRPr="00B15722" w:rsidRDefault="00932F5C" w:rsidP="00932F5C">
            <w:pPr>
              <w:spacing w:after="0" w:line="240" w:lineRule="auto"/>
              <w:jc w:val="center"/>
              <w:rPr>
                <w:rFonts w:asciiTheme="majorHAnsi" w:eastAsia="Times New Roman" w:hAnsiTheme="majorHAnsi" w:cstheme="majorHAnsi"/>
                <w:color w:val="000000"/>
                <w:sz w:val="18"/>
                <w:szCs w:val="18"/>
                <w:lang w:eastAsia="zh-CN"/>
              </w:rPr>
            </w:pPr>
            <w:r>
              <w:rPr>
                <w:rFonts w:asciiTheme="majorHAnsi" w:eastAsia="Times New Roman" w:hAnsiTheme="majorHAnsi" w:cstheme="majorHAnsi"/>
                <w:color w:val="000000"/>
                <w:sz w:val="18"/>
                <w:szCs w:val="18"/>
                <w:lang w:eastAsia="zh-CN"/>
              </w:rPr>
              <w:t>-</w:t>
            </w:r>
          </w:p>
        </w:tc>
      </w:tr>
      <w:tr w:rsidR="00D1084F" w:rsidRPr="00ED3FAB" w14:paraId="51110B30" w14:textId="77777777" w:rsidTr="004B37D4">
        <w:trPr>
          <w:trHeight w:val="300"/>
        </w:trPr>
        <w:tc>
          <w:tcPr>
            <w:tcW w:w="6624" w:type="dxa"/>
            <w:gridSpan w:val="5"/>
            <w:tcBorders>
              <w:top w:val="single" w:sz="4" w:space="0" w:color="auto"/>
              <w:left w:val="nil"/>
              <w:right w:val="nil"/>
            </w:tcBorders>
            <w:vAlign w:val="center"/>
          </w:tcPr>
          <w:p w14:paraId="0D0A2717" w14:textId="77777777" w:rsidR="00D1084F" w:rsidRDefault="00D1084F" w:rsidP="00D1084F">
            <w:pPr>
              <w:spacing w:after="0" w:line="240" w:lineRule="auto"/>
              <w:jc w:val="left"/>
              <w:rPr>
                <w:rFonts w:cs="Times New Roman"/>
                <w:sz w:val="18"/>
                <w:szCs w:val="18"/>
              </w:rPr>
            </w:pPr>
            <w:r w:rsidRPr="00D1084F">
              <w:rPr>
                <w:rFonts w:asciiTheme="majorHAnsi" w:eastAsia="Times New Roman" w:hAnsiTheme="majorHAnsi" w:cstheme="majorHAnsi"/>
                <w:i/>
                <w:color w:val="000000"/>
                <w:sz w:val="18"/>
                <w:szCs w:val="18"/>
                <w:lang w:eastAsia="zh-CN"/>
              </w:rPr>
              <w:t>Source</w:t>
            </w:r>
            <w:r>
              <w:rPr>
                <w:rFonts w:asciiTheme="majorHAnsi" w:eastAsia="Times New Roman" w:hAnsiTheme="majorHAnsi" w:cstheme="majorHAnsi"/>
                <w:color w:val="000000"/>
                <w:sz w:val="18"/>
                <w:szCs w:val="18"/>
                <w:lang w:eastAsia="zh-CN"/>
              </w:rPr>
              <w:t xml:space="preserve">: </w:t>
            </w:r>
            <w:r w:rsidR="00C53311">
              <w:rPr>
                <w:rFonts w:cs="Times New Roman"/>
                <w:sz w:val="18"/>
                <w:szCs w:val="18"/>
              </w:rPr>
              <w:t>Based on data of the 2017 Household Budget Survey, Statistics Mauritius.</w:t>
            </w:r>
          </w:p>
          <w:p w14:paraId="3ED01DB9" w14:textId="382DAD63" w:rsidR="00DD456C" w:rsidRPr="00DD456C" w:rsidRDefault="00DD456C" w:rsidP="00DD456C">
            <w:pPr>
              <w:autoSpaceDE w:val="0"/>
              <w:autoSpaceDN w:val="0"/>
              <w:adjustRightInd w:val="0"/>
              <w:spacing w:after="0" w:line="240" w:lineRule="auto"/>
              <w:rPr>
                <w:rFonts w:ascii="MyriadPro-Light" w:hAnsi="MyriadPro-Light" w:cs="MyriadPro-Light"/>
                <w:sz w:val="14"/>
                <w:szCs w:val="14"/>
              </w:rPr>
            </w:pPr>
            <w:r w:rsidRPr="00DD456C">
              <w:rPr>
                <w:rFonts w:asciiTheme="majorHAnsi" w:eastAsia="Times New Roman" w:hAnsiTheme="majorHAnsi" w:cstheme="majorHAnsi"/>
                <w:i/>
                <w:color w:val="000000"/>
                <w:sz w:val="18"/>
                <w:szCs w:val="18"/>
                <w:lang w:eastAsia="zh-CN"/>
              </w:rPr>
              <w:t>Note</w:t>
            </w:r>
            <w:r>
              <w:rPr>
                <w:rFonts w:asciiTheme="majorHAnsi" w:eastAsia="Times New Roman" w:hAnsiTheme="majorHAnsi" w:cstheme="majorHAnsi"/>
                <w:color w:val="000000"/>
                <w:sz w:val="18"/>
                <w:szCs w:val="18"/>
                <w:lang w:eastAsia="zh-CN"/>
              </w:rPr>
              <w:t xml:space="preserve">: </w:t>
            </w:r>
            <w:r w:rsidRPr="00DD456C">
              <w:rPr>
                <w:rFonts w:asciiTheme="majorHAnsi" w:eastAsia="Times New Roman" w:hAnsiTheme="majorHAnsi" w:cstheme="majorHAnsi"/>
                <w:color w:val="000000"/>
                <w:sz w:val="18"/>
                <w:szCs w:val="18"/>
                <w:lang w:eastAsia="zh-CN"/>
              </w:rPr>
              <w:t xml:space="preserve">Poverty rates are not calculated </w:t>
            </w:r>
            <w:r w:rsidR="006A7C0B">
              <w:rPr>
                <w:rFonts w:asciiTheme="majorHAnsi" w:eastAsia="Times New Roman" w:hAnsiTheme="majorHAnsi" w:cstheme="majorHAnsi"/>
                <w:color w:val="000000"/>
                <w:sz w:val="18"/>
                <w:szCs w:val="18"/>
                <w:lang w:eastAsia="zh-CN"/>
              </w:rPr>
              <w:t>based on</w:t>
            </w:r>
            <w:r w:rsidRPr="00DD456C">
              <w:rPr>
                <w:rFonts w:asciiTheme="majorHAnsi" w:eastAsia="Times New Roman" w:hAnsiTheme="majorHAnsi" w:cstheme="majorHAnsi"/>
                <w:color w:val="000000"/>
                <w:sz w:val="18"/>
                <w:szCs w:val="18"/>
                <w:lang w:eastAsia="zh-CN"/>
              </w:rPr>
              <w:t xml:space="preserve"> final income because households may not be aware of the amounts spent on their behalf and may not value this spending as much as a direct cash transfer. Hence, the analysis does not assume that this spending improves their welfare by a corresponding amount.</w:t>
            </w:r>
          </w:p>
        </w:tc>
      </w:tr>
    </w:tbl>
    <w:p w14:paraId="093001E8" w14:textId="77777777" w:rsidR="00D1084F" w:rsidRDefault="00D1084F" w:rsidP="00524B35">
      <w:pPr>
        <w:pStyle w:val="PlainText"/>
      </w:pPr>
    </w:p>
    <w:p w14:paraId="6242A608" w14:textId="3E0D0CC7" w:rsidR="006268D7" w:rsidRDefault="009929FD" w:rsidP="00C53D7E">
      <w:r w:rsidRPr="00514661">
        <w:rPr>
          <w:b/>
        </w:rPr>
        <w:t xml:space="preserve">The reduction in inequality </w:t>
      </w:r>
      <w:r w:rsidR="00DD2FD2">
        <w:rPr>
          <w:b/>
        </w:rPr>
        <w:t xml:space="preserve">associated with the net fiscal system </w:t>
      </w:r>
      <w:r w:rsidRPr="00514661">
        <w:rPr>
          <w:b/>
        </w:rPr>
        <w:t xml:space="preserve">is </w:t>
      </w:r>
      <w:r w:rsidR="003D21D5">
        <w:rPr>
          <w:b/>
        </w:rPr>
        <w:t>among the largest</w:t>
      </w:r>
      <w:r w:rsidR="0066046D">
        <w:rPr>
          <w:b/>
        </w:rPr>
        <w:t xml:space="preserve"> observed in</w:t>
      </w:r>
      <w:r w:rsidR="007877C2" w:rsidRPr="00514661">
        <w:rPr>
          <w:b/>
        </w:rPr>
        <w:t xml:space="preserve"> middle-income countries.</w:t>
      </w:r>
      <w:r w:rsidR="007877C2">
        <w:t xml:space="preserve"> The reduction of </w:t>
      </w:r>
      <w:r w:rsidR="003D21D5">
        <w:t>over 9</w:t>
      </w:r>
      <w:r w:rsidR="007877C2">
        <w:t xml:space="preserve"> Gini points </w:t>
      </w:r>
      <w:r w:rsidR="0066046D">
        <w:t>places Mauritius among the top 5 middle-income countries</w:t>
      </w:r>
      <w:r w:rsidR="00560331">
        <w:t>, compared with an</w:t>
      </w:r>
      <w:r w:rsidR="007877C2">
        <w:t xml:space="preserve"> average </w:t>
      </w:r>
      <w:r w:rsidR="00880006">
        <w:t xml:space="preserve">reduction </w:t>
      </w:r>
      <w:r w:rsidR="00560331">
        <w:t xml:space="preserve">of </w:t>
      </w:r>
      <w:r w:rsidR="00FE60D2">
        <w:t>-</w:t>
      </w:r>
      <w:r w:rsidR="00076A1D">
        <w:t>6</w:t>
      </w:r>
      <w:r w:rsidR="00CC4F3D">
        <w:t>.</w:t>
      </w:r>
      <w:r w:rsidR="00453D50">
        <w:t>9</w:t>
      </w:r>
      <w:r w:rsidR="00FE60D2">
        <w:t xml:space="preserve"> Gini points </w:t>
      </w:r>
      <w:r w:rsidR="00880006">
        <w:t>estimated in other middle-income countries (</w:t>
      </w:r>
      <w:r w:rsidR="00880006">
        <w:fldChar w:fldCharType="begin"/>
      </w:r>
      <w:r w:rsidR="00880006">
        <w:instrText xml:space="preserve"> REF _Ref8339103 \h </w:instrText>
      </w:r>
      <w:r w:rsidR="006476BA">
        <w:instrText xml:space="preserve"> \* MERGEFORMAT </w:instrText>
      </w:r>
      <w:r w:rsidR="00880006">
        <w:fldChar w:fldCharType="separate"/>
      </w:r>
      <w:r w:rsidR="00C37C80" w:rsidRPr="00C37C80">
        <w:t>Figure 4.3</w:t>
      </w:r>
      <w:r w:rsidR="00880006">
        <w:fldChar w:fldCharType="end"/>
      </w:r>
      <w:r w:rsidR="00880006">
        <w:t>).</w:t>
      </w:r>
      <w:r w:rsidR="00FE60D2">
        <w:t xml:space="preserve"> In Argentina and South Africa</w:t>
      </w:r>
      <w:r w:rsidR="00076A1D">
        <w:t xml:space="preserve">, the decline in inequality estimated </w:t>
      </w:r>
      <w:r w:rsidR="00B06A92">
        <w:t xml:space="preserve">at -17 Gini points </w:t>
      </w:r>
      <w:r w:rsidR="00076A1D">
        <w:t xml:space="preserve">when going from market income to final </w:t>
      </w:r>
      <w:r w:rsidR="00B06A92">
        <w:t>income</w:t>
      </w:r>
      <w:r w:rsidR="00076A1D">
        <w:t xml:space="preserve"> is subst</w:t>
      </w:r>
      <w:r w:rsidR="00B06A92">
        <w:t>antial.</w:t>
      </w:r>
      <w:r w:rsidR="00D83BCB">
        <w:t xml:space="preserve"> </w:t>
      </w:r>
      <w:r w:rsidR="008C26E5">
        <w:t>In v</w:t>
      </w:r>
      <w:r w:rsidR="00D83BCB">
        <w:t xml:space="preserve">irtually all </w:t>
      </w:r>
      <w:r w:rsidR="00C57DF2">
        <w:t>middle</w:t>
      </w:r>
      <w:r w:rsidR="008C26E5">
        <w:t xml:space="preserve"> and high</w:t>
      </w:r>
      <w:r w:rsidR="00DA457B">
        <w:t xml:space="preserve"> </w:t>
      </w:r>
      <w:r w:rsidR="008C26E5">
        <w:t xml:space="preserve">income </w:t>
      </w:r>
      <w:r w:rsidR="00D83BCB">
        <w:t>countries</w:t>
      </w:r>
      <w:r w:rsidR="00C57DF2">
        <w:t xml:space="preserve"> in the CEQ database</w:t>
      </w:r>
      <w:r w:rsidR="008C26E5">
        <w:t>,</w:t>
      </w:r>
      <w:r w:rsidR="00C57DF2">
        <w:t xml:space="preserve"> the largest</w:t>
      </w:r>
      <w:r w:rsidR="008C26E5">
        <w:t xml:space="preserve"> reduction in inequality</w:t>
      </w:r>
      <w:r w:rsidR="00C57DF2">
        <w:t xml:space="preserve"> </w:t>
      </w:r>
      <w:r w:rsidR="008C26E5">
        <w:t xml:space="preserve">is ascribable to the effect of in-kind </w:t>
      </w:r>
      <w:r w:rsidR="00D76CD2">
        <w:t xml:space="preserve">health and education </w:t>
      </w:r>
      <w:r w:rsidR="008C26E5">
        <w:t>transfers</w:t>
      </w:r>
      <w:r w:rsidR="00D76CD2">
        <w:t>, followed by the effect of direct taxes and cash</w:t>
      </w:r>
      <w:r w:rsidR="00CF63B8">
        <w:t xml:space="preserve"> transfers. By contrast, the effect of indirect taxes and indirect </w:t>
      </w:r>
      <w:r w:rsidR="00BD46C3">
        <w:t>subsidies</w:t>
      </w:r>
      <w:r w:rsidR="00CF63B8">
        <w:t xml:space="preserve"> is only second order. </w:t>
      </w:r>
      <w:r w:rsidR="00BD46C3">
        <w:t>With</w:t>
      </w:r>
      <w:r w:rsidR="003C54C6">
        <w:t xml:space="preserve"> a share estimated at</w:t>
      </w:r>
      <w:r w:rsidR="00BD46C3">
        <w:t xml:space="preserve"> </w:t>
      </w:r>
      <w:r w:rsidR="009060CC">
        <w:t>57</w:t>
      </w:r>
      <w:r w:rsidR="00BD46C3">
        <w:t xml:space="preserve"> percent</w:t>
      </w:r>
      <w:r w:rsidR="003C54C6">
        <w:t xml:space="preserve">, </w:t>
      </w:r>
      <w:r w:rsidR="00CF63B8">
        <w:t xml:space="preserve">Mauritius </w:t>
      </w:r>
      <w:r w:rsidR="00496614">
        <w:t xml:space="preserve">is among the top 5 countries in which about 50 percent of the </w:t>
      </w:r>
      <w:r w:rsidR="001738AD">
        <w:t>reduction in inequality is ascribable to direct taxes and transfers</w:t>
      </w:r>
      <w:r w:rsidR="00BD46C3">
        <w:t xml:space="preserve">, </w:t>
      </w:r>
      <w:r w:rsidR="00445233">
        <w:t xml:space="preserve">while the average </w:t>
      </w:r>
      <w:r w:rsidR="00DA457B">
        <w:t>is estimated</w:t>
      </w:r>
      <w:r w:rsidR="00445233">
        <w:t xml:space="preserve"> at around 3</w:t>
      </w:r>
      <w:r w:rsidR="001738AD">
        <w:t>5</w:t>
      </w:r>
      <w:r w:rsidR="00445233">
        <w:t xml:space="preserve"> percent.</w:t>
      </w:r>
      <w:r w:rsidR="00FA4C9A">
        <w:t xml:space="preserve"> By </w:t>
      </w:r>
      <w:r w:rsidR="00F95BFD">
        <w:t>contrast</w:t>
      </w:r>
      <w:r w:rsidR="00FA4C9A">
        <w:t>, the effect of in-kid health and education transfers in Mauritius is estimated at about 37</w:t>
      </w:r>
      <w:r w:rsidR="00F95BFD">
        <w:t>.5</w:t>
      </w:r>
      <w:r w:rsidR="00FA4C9A">
        <w:t xml:space="preserve"> percent of the total compared with an average of about 60 percent in middle-income countries.</w:t>
      </w:r>
    </w:p>
    <w:tbl>
      <w:tblPr>
        <w:tblW w:w="9360" w:type="dxa"/>
        <w:tblLayout w:type="fixed"/>
        <w:tblCellMar>
          <w:left w:w="0" w:type="dxa"/>
          <w:right w:w="0" w:type="dxa"/>
        </w:tblCellMar>
        <w:tblLook w:val="04A0" w:firstRow="1" w:lastRow="0" w:firstColumn="1" w:lastColumn="0" w:noHBand="0" w:noVBand="1"/>
      </w:tblPr>
      <w:tblGrid>
        <w:gridCol w:w="9360"/>
      </w:tblGrid>
      <w:tr w:rsidR="00880006" w:rsidRPr="001E6C40" w14:paraId="200271DC" w14:textId="77777777" w:rsidTr="004B37D4">
        <w:trPr>
          <w:cantSplit/>
        </w:trPr>
        <w:tc>
          <w:tcPr>
            <w:tcW w:w="9360" w:type="dxa"/>
            <w:hideMark/>
          </w:tcPr>
          <w:p w14:paraId="4C52D000" w14:textId="314B1359" w:rsidR="00880006" w:rsidRPr="001E6C40" w:rsidRDefault="00880006" w:rsidP="004B37D4">
            <w:pPr>
              <w:pStyle w:val="Caption2"/>
              <w:spacing w:line="256" w:lineRule="auto"/>
              <w:jc w:val="left"/>
              <w:rPr>
                <w:b/>
                <w:i w:val="0"/>
                <w:sz w:val="18"/>
                <w:szCs w:val="18"/>
                <w:lang w:eastAsia="en-GB"/>
              </w:rPr>
            </w:pPr>
            <w:bookmarkStart w:id="123" w:name="_Ref8339103"/>
            <w:bookmarkStart w:id="124" w:name="_Toc11255079"/>
            <w:r w:rsidRPr="001E6C40">
              <w:rPr>
                <w:b/>
                <w:i w:val="0"/>
                <w:sz w:val="18"/>
                <w:szCs w:val="18"/>
                <w:lang w:eastAsia="en-GB"/>
              </w:rPr>
              <w:t xml:space="preserve">Figure </w:t>
            </w:r>
            <w:r>
              <w:rPr>
                <w:b/>
                <w:i w:val="0"/>
                <w:sz w:val="18"/>
                <w:szCs w:val="18"/>
                <w:lang w:eastAsia="en-GB"/>
              </w:rPr>
              <w:fldChar w:fldCharType="begin"/>
            </w:r>
            <w:r>
              <w:rPr>
                <w:b/>
                <w:i w:val="0"/>
                <w:sz w:val="18"/>
                <w:szCs w:val="18"/>
                <w:lang w:eastAsia="en-GB"/>
              </w:rPr>
              <w:instrText xml:space="preserve"> STYLEREF 1 \s </w:instrText>
            </w:r>
            <w:r>
              <w:rPr>
                <w:b/>
                <w:i w:val="0"/>
                <w:sz w:val="18"/>
                <w:szCs w:val="18"/>
                <w:lang w:eastAsia="en-GB"/>
              </w:rPr>
              <w:fldChar w:fldCharType="separate"/>
            </w:r>
            <w:r w:rsidR="00C37C80">
              <w:rPr>
                <w:b/>
                <w:i w:val="0"/>
                <w:noProof/>
                <w:sz w:val="18"/>
                <w:szCs w:val="18"/>
                <w:lang w:eastAsia="en-GB"/>
              </w:rPr>
              <w:t>4</w:t>
            </w:r>
            <w:r>
              <w:rPr>
                <w:b/>
                <w:i w:val="0"/>
                <w:sz w:val="18"/>
                <w:szCs w:val="18"/>
                <w:lang w:eastAsia="en-GB"/>
              </w:rPr>
              <w:fldChar w:fldCharType="end"/>
            </w:r>
            <w:r>
              <w:rPr>
                <w:b/>
                <w:i w:val="0"/>
                <w:sz w:val="18"/>
                <w:szCs w:val="18"/>
                <w:lang w:eastAsia="en-GB"/>
              </w:rPr>
              <w:t>.</w:t>
            </w:r>
            <w:r>
              <w:rPr>
                <w:b/>
                <w:i w:val="0"/>
                <w:sz w:val="18"/>
                <w:szCs w:val="18"/>
                <w:lang w:eastAsia="en-GB"/>
              </w:rPr>
              <w:fldChar w:fldCharType="begin"/>
            </w:r>
            <w:r>
              <w:rPr>
                <w:b/>
                <w:i w:val="0"/>
                <w:sz w:val="18"/>
                <w:szCs w:val="18"/>
                <w:lang w:eastAsia="en-GB"/>
              </w:rPr>
              <w:instrText xml:space="preserve"> SEQ Figure \* ARABIC \s 1 </w:instrText>
            </w:r>
            <w:r>
              <w:rPr>
                <w:b/>
                <w:i w:val="0"/>
                <w:sz w:val="18"/>
                <w:szCs w:val="18"/>
                <w:lang w:eastAsia="en-GB"/>
              </w:rPr>
              <w:fldChar w:fldCharType="separate"/>
            </w:r>
            <w:r w:rsidR="00C37C80">
              <w:rPr>
                <w:b/>
                <w:i w:val="0"/>
                <w:noProof/>
                <w:sz w:val="18"/>
                <w:szCs w:val="18"/>
                <w:lang w:eastAsia="en-GB"/>
              </w:rPr>
              <w:t>3</w:t>
            </w:r>
            <w:r>
              <w:rPr>
                <w:b/>
                <w:i w:val="0"/>
                <w:sz w:val="18"/>
                <w:szCs w:val="18"/>
                <w:lang w:eastAsia="en-GB"/>
              </w:rPr>
              <w:fldChar w:fldCharType="end"/>
            </w:r>
            <w:bookmarkEnd w:id="123"/>
            <w:r>
              <w:rPr>
                <w:b/>
                <w:i w:val="0"/>
              </w:rPr>
              <w:t xml:space="preserve"> </w:t>
            </w:r>
            <w:r w:rsidRPr="00780D82">
              <w:rPr>
                <w:b/>
                <w:i w:val="0"/>
                <w:sz w:val="18"/>
                <w:szCs w:val="18"/>
                <w:lang w:eastAsia="en-GB"/>
              </w:rPr>
              <w:t xml:space="preserve">Change in </w:t>
            </w:r>
            <w:r>
              <w:rPr>
                <w:b/>
                <w:i w:val="0"/>
                <w:sz w:val="18"/>
                <w:szCs w:val="18"/>
                <w:lang w:eastAsia="en-GB"/>
              </w:rPr>
              <w:t>inequality (Gini</w:t>
            </w:r>
            <w:r w:rsidR="006A5FCA">
              <w:rPr>
                <w:b/>
                <w:i w:val="0"/>
                <w:sz w:val="18"/>
                <w:szCs w:val="18"/>
                <w:lang w:eastAsia="en-GB"/>
              </w:rPr>
              <w:t xml:space="preserve"> coefficient</w:t>
            </w:r>
            <w:r>
              <w:rPr>
                <w:b/>
                <w:i w:val="0"/>
                <w:sz w:val="18"/>
                <w:szCs w:val="18"/>
                <w:lang w:eastAsia="en-GB"/>
              </w:rPr>
              <w:t>) from market to final income</w:t>
            </w:r>
            <w:bookmarkEnd w:id="124"/>
          </w:p>
        </w:tc>
      </w:tr>
      <w:tr w:rsidR="00880006" w14:paraId="01B4A3FD" w14:textId="77777777" w:rsidTr="004B37D4">
        <w:trPr>
          <w:cantSplit/>
        </w:trPr>
        <w:tc>
          <w:tcPr>
            <w:tcW w:w="9360" w:type="dxa"/>
            <w:tcMar>
              <w:top w:w="0" w:type="dxa"/>
              <w:left w:w="108" w:type="dxa"/>
              <w:bottom w:w="0" w:type="dxa"/>
              <w:right w:w="108" w:type="dxa"/>
            </w:tcMar>
            <w:hideMark/>
          </w:tcPr>
          <w:p w14:paraId="18D6C0F1" w14:textId="31E78075" w:rsidR="00880006" w:rsidRDefault="00692D24" w:rsidP="004B37D4">
            <w:pPr>
              <w:spacing w:after="120"/>
              <w:rPr>
                <w:rFonts w:cs="Times New Roman"/>
                <w:sz w:val="16"/>
                <w:szCs w:val="16"/>
              </w:rPr>
            </w:pPr>
            <w:r>
              <w:rPr>
                <w:rFonts w:cs="Times New Roman"/>
                <w:noProof/>
                <w:sz w:val="16"/>
                <w:szCs w:val="16"/>
              </w:rPr>
              <w:drawing>
                <wp:inline distT="0" distB="0" distL="0" distR="0" wp14:anchorId="1937DDDA" wp14:editId="690A9992">
                  <wp:extent cx="5806440" cy="3870960"/>
                  <wp:effectExtent l="0" t="0" r="3810" b="0"/>
                  <wp:docPr id="61" name="Picture 61"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_4.3_Change_in_inequality_(Gini_coefficient)_from_market_to_final_income.png"/>
                          <pic:cNvPicPr/>
                        </pic:nvPicPr>
                        <pic:blipFill>
                          <a:blip r:embed="rId37">
                            <a:extLst>
                              <a:ext uri="{28A0092B-C50C-407E-A947-70E740481C1C}">
                                <a14:useLocalDpi xmlns:a14="http://schemas.microsoft.com/office/drawing/2010/main" val="0"/>
                              </a:ext>
                            </a:extLst>
                          </a:blip>
                          <a:stretch>
                            <a:fillRect/>
                          </a:stretch>
                        </pic:blipFill>
                        <pic:spPr>
                          <a:xfrm>
                            <a:off x="0" y="0"/>
                            <a:ext cx="5806440" cy="3870960"/>
                          </a:xfrm>
                          <a:prstGeom prst="rect">
                            <a:avLst/>
                          </a:prstGeom>
                        </pic:spPr>
                      </pic:pic>
                    </a:graphicData>
                  </a:graphic>
                </wp:inline>
              </w:drawing>
            </w:r>
          </w:p>
        </w:tc>
      </w:tr>
      <w:tr w:rsidR="00880006" w:rsidRPr="00767FF8" w14:paraId="0F31E309" w14:textId="77777777" w:rsidTr="004B37D4">
        <w:trPr>
          <w:cantSplit/>
        </w:trPr>
        <w:tc>
          <w:tcPr>
            <w:tcW w:w="9360" w:type="dxa"/>
            <w:tcMar>
              <w:top w:w="0" w:type="dxa"/>
              <w:left w:w="108" w:type="dxa"/>
              <w:bottom w:w="0" w:type="dxa"/>
              <w:right w:w="108" w:type="dxa"/>
            </w:tcMar>
            <w:hideMark/>
          </w:tcPr>
          <w:p w14:paraId="0A03CA80" w14:textId="77777777" w:rsidR="00880006" w:rsidRDefault="00880006"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 See references for other countries.</w:t>
            </w:r>
          </w:p>
          <w:p w14:paraId="4E7C3CB6" w14:textId="77777777" w:rsidR="00880006" w:rsidRPr="00767FF8" w:rsidRDefault="00880006"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Pr>
                <w:rFonts w:cs="Times New Roman"/>
                <w:sz w:val="18"/>
                <w:szCs w:val="18"/>
              </w:rPr>
              <w:t>A negative sign indicates a reduction in the Gini coefficient when moving from market to final income.</w:t>
            </w:r>
          </w:p>
        </w:tc>
      </w:tr>
    </w:tbl>
    <w:p w14:paraId="246CCDB9" w14:textId="77777777" w:rsidR="00880006" w:rsidRDefault="00880006" w:rsidP="00C53D7E"/>
    <w:p w14:paraId="7EDE6EF1" w14:textId="08E114F2" w:rsidR="00B65128" w:rsidRDefault="00B65128" w:rsidP="00B65128">
      <w:pPr>
        <w:pStyle w:val="Heading3"/>
      </w:pPr>
      <w:bookmarkStart w:id="125" w:name="_Toc8812810"/>
      <w:bookmarkStart w:id="126" w:name="_Toc10824883"/>
      <w:bookmarkStart w:id="127" w:name="_Toc10824955"/>
      <w:r>
        <w:t xml:space="preserve">Does the fiscal system </w:t>
      </w:r>
      <w:r w:rsidR="00E1718D">
        <w:t>reduce</w:t>
      </w:r>
      <w:r>
        <w:t xml:space="preserve"> poverty?</w:t>
      </w:r>
      <w:bookmarkEnd w:id="125"/>
      <w:bookmarkEnd w:id="126"/>
      <w:bookmarkEnd w:id="127"/>
    </w:p>
    <w:p w14:paraId="10AAC9BF" w14:textId="113C3D03" w:rsidR="00926D66" w:rsidRPr="00F43EE1" w:rsidRDefault="00131B23" w:rsidP="00C53D7E">
      <w:pPr>
        <w:rPr>
          <w:b/>
        </w:rPr>
      </w:pPr>
      <w:r>
        <w:rPr>
          <w:b/>
        </w:rPr>
        <w:t xml:space="preserve">The headcount poverty rate declines </w:t>
      </w:r>
      <w:r w:rsidR="00562BAE">
        <w:rPr>
          <w:b/>
        </w:rPr>
        <w:t xml:space="preserve">by 6 percentage points </w:t>
      </w:r>
      <w:r w:rsidR="00B80254">
        <w:rPr>
          <w:b/>
        </w:rPr>
        <w:t>thanks to t</w:t>
      </w:r>
      <w:r w:rsidR="00CD0774">
        <w:rPr>
          <w:b/>
        </w:rPr>
        <w:t>he net fiscal system</w:t>
      </w:r>
      <w:r w:rsidR="00A52815">
        <w:rPr>
          <w:b/>
        </w:rPr>
        <w:t>.</w:t>
      </w:r>
      <w:r w:rsidR="00690539">
        <w:rPr>
          <w:b/>
        </w:rPr>
        <w:t xml:space="preserve"> </w:t>
      </w:r>
      <w:r w:rsidR="00B70430" w:rsidRPr="00576D20">
        <w:t>Measured against the</w:t>
      </w:r>
      <w:r w:rsidR="003E3977" w:rsidRPr="00576D20">
        <w:t xml:space="preserve"> 2012 relative poverty line (</w:t>
      </w:r>
      <w:r w:rsidR="00C11058">
        <w:t>MUR</w:t>
      </w:r>
      <w:r w:rsidR="003E3977" w:rsidRPr="00576D20">
        <w:t xml:space="preserve"> 6,404</w:t>
      </w:r>
      <w:r w:rsidR="008B5EB8" w:rsidRPr="00576D20">
        <w:t xml:space="preserve">), </w:t>
      </w:r>
      <w:r w:rsidR="001D67EB" w:rsidRPr="00576D20">
        <w:t xml:space="preserve">the fiscal system reduces poverty by almost 6 percentage points. </w:t>
      </w:r>
      <w:r w:rsidR="005B0C63">
        <w:t>At $4/day (2005</w:t>
      </w:r>
      <w:r w:rsidR="005F5E3B">
        <w:t xml:space="preserve"> </w:t>
      </w:r>
      <w:r w:rsidR="005B0C63">
        <w:t>PPP), the overall poverty reducing effect is lower from 6.5 percent to 1.</w:t>
      </w:r>
      <w:r w:rsidR="00D014FB">
        <w:t>8</w:t>
      </w:r>
      <w:r w:rsidR="005B0C63">
        <w:t xml:space="preserve"> percent (-4.</w:t>
      </w:r>
      <w:r w:rsidR="003A46BD">
        <w:t>7</w:t>
      </w:r>
      <w:r w:rsidR="005B0C63">
        <w:t xml:space="preserve"> percentage points). </w:t>
      </w:r>
      <w:r w:rsidR="00576D20" w:rsidRPr="00576D20">
        <w:t>Starting</w:t>
      </w:r>
      <w:r w:rsidR="001D67EB" w:rsidRPr="00576D20">
        <w:t xml:space="preserve"> from a poverty headcount rate of 15.1 </w:t>
      </w:r>
      <w:r w:rsidR="00576D20" w:rsidRPr="00576D20">
        <w:t>percent</w:t>
      </w:r>
      <w:r w:rsidR="001D67EB" w:rsidRPr="00576D20">
        <w:t xml:space="preserve"> measure</w:t>
      </w:r>
      <w:r w:rsidR="00F5074D">
        <w:t>d</w:t>
      </w:r>
      <w:r w:rsidR="001D67EB" w:rsidRPr="00576D20">
        <w:t xml:space="preserve"> on </w:t>
      </w:r>
      <w:r w:rsidR="00C11058">
        <w:t>pre</w:t>
      </w:r>
      <w:r w:rsidR="001D67EB" w:rsidRPr="00576D20">
        <w:t>fiscal income</w:t>
      </w:r>
      <w:r w:rsidR="001D7DBE">
        <w:t xml:space="preserve"> using the </w:t>
      </w:r>
      <w:r w:rsidR="005D724C">
        <w:t>relative 2012 poverty</w:t>
      </w:r>
      <w:r w:rsidR="001D7DBE">
        <w:t xml:space="preserve"> line</w:t>
      </w:r>
      <w:r w:rsidR="001D67EB" w:rsidRPr="00576D20">
        <w:t xml:space="preserve">, direct taxes and cash transfers </w:t>
      </w:r>
      <w:r w:rsidR="00442FC8">
        <w:t>halve</w:t>
      </w:r>
      <w:r w:rsidR="001D67EB" w:rsidRPr="00576D20">
        <w:t xml:space="preserve"> the number of</w:t>
      </w:r>
      <w:r w:rsidR="00EE6391" w:rsidRPr="00576D20">
        <w:t xml:space="preserve"> poor people </w:t>
      </w:r>
      <w:r w:rsidR="00212958">
        <w:t>to</w:t>
      </w:r>
      <w:r w:rsidR="00EE6391" w:rsidRPr="00576D20">
        <w:t xml:space="preserve"> 6.</w:t>
      </w:r>
      <w:r w:rsidR="001F5FA7">
        <w:t>2</w:t>
      </w:r>
      <w:r w:rsidR="00EE6391" w:rsidRPr="00576D20">
        <w:t xml:space="preserve"> percent (based on disposable income).</w:t>
      </w:r>
      <w:r w:rsidR="000A6769">
        <w:t xml:space="preserve"> </w:t>
      </w:r>
      <w:r w:rsidR="005F0B3E">
        <w:t>The effect of indirect taxes</w:t>
      </w:r>
      <w:r w:rsidR="004D6553">
        <w:t xml:space="preserve"> </w:t>
      </w:r>
      <w:r w:rsidR="005F0B3E">
        <w:t>(VAT and excise duties)</w:t>
      </w:r>
      <w:r w:rsidR="00A72557">
        <w:t xml:space="preserve"> coupled with subsidies</w:t>
      </w:r>
      <w:r w:rsidR="005F0B3E">
        <w:t xml:space="preserve"> </w:t>
      </w:r>
      <w:r w:rsidR="004D6553">
        <w:t>is slightly poverty increasing</w:t>
      </w:r>
      <w:r w:rsidR="00F73A1D">
        <w:t>: +</w:t>
      </w:r>
      <w:r w:rsidR="00D95F7B">
        <w:t>3</w:t>
      </w:r>
      <w:r w:rsidR="001227A8">
        <w:t xml:space="preserve"> percentage points</w:t>
      </w:r>
      <w:r w:rsidR="00F73A1D">
        <w:t xml:space="preserve"> when measured against the relative poverty line and </w:t>
      </w:r>
      <w:r w:rsidR="00D95F7B">
        <w:t>+0.</w:t>
      </w:r>
      <w:r w:rsidR="001F5FA7">
        <w:t>6</w:t>
      </w:r>
      <w:r w:rsidR="00D95F7B">
        <w:t xml:space="preserve"> points</w:t>
      </w:r>
      <w:r w:rsidR="00F73A1D">
        <w:t xml:space="preserve"> at the $</w:t>
      </w:r>
      <w:r w:rsidR="00D95F7B">
        <w:t>4</w:t>
      </w:r>
      <w:r w:rsidR="00F73A1D">
        <w:t xml:space="preserve">/day line. </w:t>
      </w:r>
      <w:r w:rsidR="001D7DBE">
        <w:t>This is ascribable to the</w:t>
      </w:r>
      <w:r w:rsidR="009A62B6">
        <w:t xml:space="preserve"> small poverty reducing effect of </w:t>
      </w:r>
      <w:r w:rsidR="00C71E0F">
        <w:t>subsidies</w:t>
      </w:r>
      <w:r w:rsidR="009A62B6">
        <w:t xml:space="preserve"> that is not sufficient to reverse the poverty increases impact of indirect taxes</w:t>
      </w:r>
      <w:r w:rsidR="00C71E0F">
        <w:t xml:space="preserve"> ascribable to the large burden among the poor that consume larger shares of alcohol and tobacco products.</w:t>
      </w:r>
    </w:p>
    <w:tbl>
      <w:tblPr>
        <w:tblW w:w="9360" w:type="dxa"/>
        <w:tblLayout w:type="fixed"/>
        <w:tblCellMar>
          <w:left w:w="0" w:type="dxa"/>
          <w:right w:w="0" w:type="dxa"/>
        </w:tblCellMar>
        <w:tblLook w:val="04A0" w:firstRow="1" w:lastRow="0" w:firstColumn="1" w:lastColumn="0" w:noHBand="0" w:noVBand="1"/>
      </w:tblPr>
      <w:tblGrid>
        <w:gridCol w:w="9360"/>
      </w:tblGrid>
      <w:tr w:rsidR="000B577D" w:rsidRPr="001E6C40" w14:paraId="5E617158" w14:textId="77777777" w:rsidTr="00E11F6F">
        <w:trPr>
          <w:cantSplit/>
        </w:trPr>
        <w:tc>
          <w:tcPr>
            <w:tcW w:w="9360" w:type="dxa"/>
            <w:hideMark/>
          </w:tcPr>
          <w:p w14:paraId="25D458DA" w14:textId="0AA88849" w:rsidR="000B577D" w:rsidRPr="001E6C40" w:rsidRDefault="000B577D" w:rsidP="00E11F6F">
            <w:pPr>
              <w:pStyle w:val="Caption2"/>
              <w:spacing w:line="256" w:lineRule="auto"/>
              <w:jc w:val="left"/>
              <w:rPr>
                <w:b/>
                <w:i w:val="0"/>
                <w:sz w:val="18"/>
                <w:szCs w:val="18"/>
                <w:lang w:eastAsia="en-GB"/>
              </w:rPr>
            </w:pPr>
            <w:bookmarkStart w:id="128" w:name="_Ref8343233"/>
            <w:bookmarkStart w:id="129" w:name="_Toc11255080"/>
            <w:r w:rsidRPr="001E6C40">
              <w:rPr>
                <w:b/>
                <w:i w:val="0"/>
                <w:sz w:val="18"/>
                <w:szCs w:val="18"/>
                <w:lang w:eastAsia="en-GB"/>
              </w:rPr>
              <w:t xml:space="preserve">Figure </w:t>
            </w:r>
            <w:r w:rsidR="00275542">
              <w:rPr>
                <w:b/>
                <w:i w:val="0"/>
                <w:sz w:val="18"/>
                <w:szCs w:val="18"/>
                <w:lang w:eastAsia="en-GB"/>
              </w:rPr>
              <w:fldChar w:fldCharType="begin"/>
            </w:r>
            <w:r w:rsidR="00275542">
              <w:rPr>
                <w:b/>
                <w:i w:val="0"/>
                <w:sz w:val="18"/>
                <w:szCs w:val="18"/>
                <w:lang w:eastAsia="en-GB"/>
              </w:rPr>
              <w:instrText xml:space="preserve"> STYLEREF 1 \s </w:instrText>
            </w:r>
            <w:r w:rsidR="00275542">
              <w:rPr>
                <w:b/>
                <w:i w:val="0"/>
                <w:sz w:val="18"/>
                <w:szCs w:val="18"/>
                <w:lang w:eastAsia="en-GB"/>
              </w:rPr>
              <w:fldChar w:fldCharType="separate"/>
            </w:r>
            <w:r w:rsidR="00C37C80">
              <w:rPr>
                <w:b/>
                <w:i w:val="0"/>
                <w:noProof/>
                <w:sz w:val="18"/>
                <w:szCs w:val="18"/>
                <w:lang w:eastAsia="en-GB"/>
              </w:rPr>
              <w:t>4</w:t>
            </w:r>
            <w:r w:rsidR="00275542">
              <w:rPr>
                <w:b/>
                <w:i w:val="0"/>
                <w:sz w:val="18"/>
                <w:szCs w:val="18"/>
                <w:lang w:eastAsia="en-GB"/>
              </w:rPr>
              <w:fldChar w:fldCharType="end"/>
            </w:r>
            <w:r w:rsidR="00275542">
              <w:rPr>
                <w:b/>
                <w:i w:val="0"/>
                <w:sz w:val="18"/>
                <w:szCs w:val="18"/>
                <w:lang w:eastAsia="en-GB"/>
              </w:rPr>
              <w:t>.</w:t>
            </w:r>
            <w:r w:rsidR="00275542">
              <w:rPr>
                <w:b/>
                <w:i w:val="0"/>
                <w:sz w:val="18"/>
                <w:szCs w:val="18"/>
                <w:lang w:eastAsia="en-GB"/>
              </w:rPr>
              <w:fldChar w:fldCharType="begin"/>
            </w:r>
            <w:r w:rsidR="00275542">
              <w:rPr>
                <w:b/>
                <w:i w:val="0"/>
                <w:sz w:val="18"/>
                <w:szCs w:val="18"/>
                <w:lang w:eastAsia="en-GB"/>
              </w:rPr>
              <w:instrText xml:space="preserve"> SEQ Figure \* ARABIC \s 1 </w:instrText>
            </w:r>
            <w:r w:rsidR="00275542">
              <w:rPr>
                <w:b/>
                <w:i w:val="0"/>
                <w:sz w:val="18"/>
                <w:szCs w:val="18"/>
                <w:lang w:eastAsia="en-GB"/>
              </w:rPr>
              <w:fldChar w:fldCharType="separate"/>
            </w:r>
            <w:r w:rsidR="00C37C80">
              <w:rPr>
                <w:b/>
                <w:i w:val="0"/>
                <w:noProof/>
                <w:sz w:val="18"/>
                <w:szCs w:val="18"/>
                <w:lang w:eastAsia="en-GB"/>
              </w:rPr>
              <w:t>4</w:t>
            </w:r>
            <w:r w:rsidR="00275542">
              <w:rPr>
                <w:b/>
                <w:i w:val="0"/>
                <w:sz w:val="18"/>
                <w:szCs w:val="18"/>
                <w:lang w:eastAsia="en-GB"/>
              </w:rPr>
              <w:fldChar w:fldCharType="end"/>
            </w:r>
            <w:bookmarkEnd w:id="128"/>
            <w:r>
              <w:rPr>
                <w:b/>
                <w:i w:val="0"/>
              </w:rPr>
              <w:t xml:space="preserve"> </w:t>
            </w:r>
            <w:r w:rsidRPr="00780D82">
              <w:rPr>
                <w:b/>
                <w:i w:val="0"/>
                <w:sz w:val="18"/>
                <w:szCs w:val="18"/>
                <w:lang w:eastAsia="en-GB"/>
              </w:rPr>
              <w:t xml:space="preserve">Change in </w:t>
            </w:r>
            <w:r w:rsidR="00D956E7">
              <w:rPr>
                <w:b/>
                <w:i w:val="0"/>
                <w:sz w:val="18"/>
                <w:szCs w:val="18"/>
                <w:lang w:eastAsia="en-GB"/>
              </w:rPr>
              <w:t>p</w:t>
            </w:r>
            <w:r w:rsidRPr="00780D82">
              <w:rPr>
                <w:b/>
                <w:i w:val="0"/>
                <w:sz w:val="18"/>
                <w:szCs w:val="18"/>
                <w:lang w:eastAsia="en-GB"/>
              </w:rPr>
              <w:t xml:space="preserve">overty </w:t>
            </w:r>
            <w:r w:rsidR="00D956E7">
              <w:rPr>
                <w:b/>
                <w:i w:val="0"/>
                <w:sz w:val="18"/>
                <w:szCs w:val="18"/>
                <w:lang w:eastAsia="en-GB"/>
              </w:rPr>
              <w:t xml:space="preserve">headcount from market to consumable income </w:t>
            </w:r>
            <w:r w:rsidRPr="00780D82">
              <w:rPr>
                <w:b/>
                <w:i w:val="0"/>
                <w:sz w:val="18"/>
                <w:szCs w:val="18"/>
                <w:lang w:eastAsia="en-GB"/>
              </w:rPr>
              <w:t>(</w:t>
            </w:r>
            <w:r w:rsidR="00D956E7">
              <w:rPr>
                <w:b/>
                <w:i w:val="0"/>
                <w:sz w:val="18"/>
                <w:szCs w:val="18"/>
                <w:lang w:eastAsia="en-GB"/>
              </w:rPr>
              <w:t>PPP</w:t>
            </w:r>
            <w:r w:rsidRPr="00780D82">
              <w:rPr>
                <w:b/>
                <w:i w:val="0"/>
                <w:sz w:val="18"/>
                <w:szCs w:val="18"/>
                <w:lang w:eastAsia="en-GB"/>
              </w:rPr>
              <w:t>$</w:t>
            </w:r>
            <w:r w:rsidR="008F7700">
              <w:rPr>
                <w:b/>
                <w:i w:val="0"/>
                <w:sz w:val="18"/>
                <w:szCs w:val="18"/>
                <w:lang w:eastAsia="en-GB"/>
              </w:rPr>
              <w:t>4</w:t>
            </w:r>
            <w:r w:rsidR="00A01F56">
              <w:rPr>
                <w:b/>
                <w:i w:val="0"/>
                <w:sz w:val="18"/>
                <w:szCs w:val="18"/>
                <w:lang w:eastAsia="en-GB"/>
              </w:rPr>
              <w:t>/day</w:t>
            </w:r>
            <w:r w:rsidRPr="00780D82">
              <w:rPr>
                <w:b/>
                <w:i w:val="0"/>
                <w:sz w:val="18"/>
                <w:szCs w:val="18"/>
                <w:lang w:eastAsia="en-GB"/>
              </w:rPr>
              <w:t>)</w:t>
            </w:r>
            <w:bookmarkEnd w:id="129"/>
          </w:p>
        </w:tc>
      </w:tr>
      <w:tr w:rsidR="00275542" w14:paraId="4FADD525" w14:textId="77777777" w:rsidTr="004B37D4">
        <w:trPr>
          <w:cantSplit/>
        </w:trPr>
        <w:tc>
          <w:tcPr>
            <w:tcW w:w="9360" w:type="dxa"/>
            <w:tcMar>
              <w:top w:w="0" w:type="dxa"/>
              <w:left w:w="108" w:type="dxa"/>
              <w:bottom w:w="0" w:type="dxa"/>
              <w:right w:w="108" w:type="dxa"/>
            </w:tcMar>
            <w:hideMark/>
          </w:tcPr>
          <w:p w14:paraId="2D7DD700" w14:textId="47569703" w:rsidR="00275542" w:rsidRDefault="00692D24" w:rsidP="00E11F6F">
            <w:pPr>
              <w:spacing w:after="120"/>
              <w:rPr>
                <w:rFonts w:cs="Times New Roman"/>
                <w:sz w:val="16"/>
                <w:szCs w:val="16"/>
              </w:rPr>
            </w:pPr>
            <w:r>
              <w:rPr>
                <w:rFonts w:cs="Times New Roman"/>
                <w:noProof/>
                <w:sz w:val="16"/>
                <w:szCs w:val="16"/>
              </w:rPr>
              <w:drawing>
                <wp:inline distT="0" distB="0" distL="0" distR="0" wp14:anchorId="5FEC1CC3" wp14:editId="13F5BF94">
                  <wp:extent cx="5806440" cy="3870960"/>
                  <wp:effectExtent l="0" t="0" r="3810" b="0"/>
                  <wp:docPr id="62" name="Picture 6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_4.4_Change_in_poverty_headcount_from_market_to_consumable_income_(PPP_4_USD_day).png"/>
                          <pic:cNvPicPr/>
                        </pic:nvPicPr>
                        <pic:blipFill>
                          <a:blip r:embed="rId38">
                            <a:extLst>
                              <a:ext uri="{28A0092B-C50C-407E-A947-70E740481C1C}">
                                <a14:useLocalDpi xmlns:a14="http://schemas.microsoft.com/office/drawing/2010/main" val="0"/>
                              </a:ext>
                            </a:extLst>
                          </a:blip>
                          <a:stretch>
                            <a:fillRect/>
                          </a:stretch>
                        </pic:blipFill>
                        <pic:spPr>
                          <a:xfrm>
                            <a:off x="0" y="0"/>
                            <a:ext cx="5806440" cy="3870960"/>
                          </a:xfrm>
                          <a:prstGeom prst="rect">
                            <a:avLst/>
                          </a:prstGeom>
                        </pic:spPr>
                      </pic:pic>
                    </a:graphicData>
                  </a:graphic>
                </wp:inline>
              </w:drawing>
            </w:r>
          </w:p>
        </w:tc>
      </w:tr>
      <w:tr w:rsidR="000B577D" w:rsidRPr="00767FF8" w14:paraId="39F77608" w14:textId="77777777" w:rsidTr="00E11F6F">
        <w:trPr>
          <w:cantSplit/>
        </w:trPr>
        <w:tc>
          <w:tcPr>
            <w:tcW w:w="9360" w:type="dxa"/>
            <w:tcMar>
              <w:top w:w="0" w:type="dxa"/>
              <w:left w:w="108" w:type="dxa"/>
              <w:bottom w:w="0" w:type="dxa"/>
              <w:right w:w="108" w:type="dxa"/>
            </w:tcMar>
            <w:hideMark/>
          </w:tcPr>
          <w:p w14:paraId="5AD6C47B" w14:textId="713F5D0B" w:rsidR="000B577D" w:rsidRDefault="000B577D" w:rsidP="00E11F6F">
            <w:pPr>
              <w:widowControl w:val="0"/>
              <w:spacing w:after="0"/>
              <w:rPr>
                <w:rFonts w:cs="Times New Roman"/>
                <w:sz w:val="18"/>
                <w:szCs w:val="18"/>
              </w:rPr>
            </w:pPr>
            <w:r>
              <w:rPr>
                <w:rFonts w:cs="Times New Roman"/>
                <w:i/>
                <w:sz w:val="18"/>
                <w:szCs w:val="18"/>
              </w:rPr>
              <w:t xml:space="preserve">Source: </w:t>
            </w:r>
            <w:r w:rsidR="00631BC5">
              <w:rPr>
                <w:rFonts w:cs="Times New Roman"/>
                <w:sz w:val="18"/>
                <w:szCs w:val="18"/>
              </w:rPr>
              <w:t>Based on data of the 2017 Household Budget Survey, Statistics Mauritius.</w:t>
            </w:r>
            <w:r w:rsidR="00DE1D8F">
              <w:rPr>
                <w:rFonts w:cs="Times New Roman"/>
                <w:sz w:val="18"/>
                <w:szCs w:val="18"/>
              </w:rPr>
              <w:t xml:space="preserve"> See references for other countries.</w:t>
            </w:r>
          </w:p>
          <w:p w14:paraId="7C3C8CEE" w14:textId="2CD0C644" w:rsidR="000B577D" w:rsidRPr="00767FF8" w:rsidRDefault="000B577D" w:rsidP="00E11F6F">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w:t>
            </w:r>
            <w:r w:rsidR="00DE1D8F">
              <w:rPr>
                <w:rFonts w:cs="Times New Roman"/>
                <w:sz w:val="18"/>
                <w:szCs w:val="18"/>
              </w:rPr>
              <w:t>A positive sign indicates a reduction in poverty headcount when moving from market to consumable income.</w:t>
            </w:r>
          </w:p>
        </w:tc>
      </w:tr>
    </w:tbl>
    <w:p w14:paraId="6577D637" w14:textId="77777777" w:rsidR="000B577D" w:rsidRDefault="000B577D" w:rsidP="000B577D"/>
    <w:p w14:paraId="68D40EE8" w14:textId="1A691419" w:rsidR="00F43EE1" w:rsidRDefault="00F43EE1" w:rsidP="00F43EE1">
      <w:bookmarkStart w:id="130" w:name="_Toc8812811"/>
      <w:r w:rsidRPr="00F50A5C">
        <w:rPr>
          <w:b/>
        </w:rPr>
        <w:t>The substantial poverty reducing effect of the net fiscal system places Mauritius solidly among the best perform</w:t>
      </w:r>
      <w:r>
        <w:rPr>
          <w:b/>
        </w:rPr>
        <w:t>ing countries</w:t>
      </w:r>
      <w:r w:rsidRPr="00F50A5C">
        <w:rPr>
          <w:b/>
        </w:rPr>
        <w:t>.</w:t>
      </w:r>
      <w:r>
        <w:t xml:space="preserve"> In middle and high income countries in the CEQ database, the poverty effect of the fiscal system is in general mixed (</w:t>
      </w:r>
      <w:r>
        <w:fldChar w:fldCharType="begin"/>
      </w:r>
      <w:r>
        <w:instrText xml:space="preserve"> REF _Ref8343233 \h  \* MERGEFORMAT </w:instrText>
      </w:r>
      <w:r>
        <w:fldChar w:fldCharType="separate"/>
      </w:r>
      <w:r w:rsidR="00C37C80" w:rsidRPr="00C37C80">
        <w:t>Figure 4.4</w:t>
      </w:r>
      <w:r>
        <w:fldChar w:fldCharType="end"/>
      </w:r>
      <w:r>
        <w:t xml:space="preserve">). In some countries like Ecuador, Iran, Panama, and South Africa, the fiscal system leads to a reduction in income-based poverty headcount. In other countries including Albania and Armenia, the estimated poverty headcount measured on an income aggregate that accounts for the effect of the fiscal system is higher than on </w:t>
      </w:r>
      <w:r w:rsidR="00C11058">
        <w:t>pre</w:t>
      </w:r>
      <w:r>
        <w:t>fiscal income. For example, measured against the $4 per day international line (2005</w:t>
      </w:r>
      <w:r w:rsidR="005F5E3B">
        <w:t xml:space="preserve"> </w:t>
      </w:r>
      <w:r>
        <w:t xml:space="preserve">PPP), Armenia and Albania are clear examples of a poverty increasing fiscal system: the estimated poverty headcount increases by about 7 percentage points when moving from </w:t>
      </w:r>
      <w:r w:rsidR="00C11058">
        <w:t>pre</w:t>
      </w:r>
      <w:r>
        <w:t>fiscal to consumable income. Mauritius achieves a s</w:t>
      </w:r>
      <w:r w:rsidR="005F5E3B">
        <w:t>iza</w:t>
      </w:r>
      <w:r>
        <w:t>ble reduction in poverty estimated at about 4.</w:t>
      </w:r>
      <w:r w:rsidR="00C00199">
        <w:t>7</w:t>
      </w:r>
      <w:r>
        <w:t xml:space="preserve"> percentage points (at $4/day 2005</w:t>
      </w:r>
      <w:r w:rsidR="005F5E3B">
        <w:t xml:space="preserve"> </w:t>
      </w:r>
      <w:r>
        <w:t>PPP), which places the fiscal system of the country among the most poverty reducing systems. Typically, the overall reduction in the poverty rate associated with the fiscal system is ascribable to the positive and s</w:t>
      </w:r>
      <w:r w:rsidR="005F5E3B">
        <w:t>iza</w:t>
      </w:r>
      <w:r>
        <w:t>ble effect of direct taxes and cash transfer programs which the poverty increasing impact of indirect taxes and subsides. Mauritius is no exception. It is worth mentioning that such changes in poverty do not imply that when the fiscal system as a whole reduces poverty, there are not poor that become poorer or no n</w:t>
      </w:r>
      <w:r w:rsidR="004C6E0D">
        <w:t>on</w:t>
      </w:r>
      <w:r>
        <w:t xml:space="preserve">poor that fall below the poverty line as a consequence of the fiscal system. It means that the number of poor based on post-fiscal income is lower than that based on </w:t>
      </w:r>
      <w:r w:rsidR="00C11058">
        <w:t>pre</w:t>
      </w:r>
      <w:r>
        <w:t>fiscal income. In other words, the fiscal system is able to move out of poverty a larger number of people compared to those that fall in poverty because of it. In the case of Mauritius, despite the overall poverty reducing effect, be</w:t>
      </w:r>
      <w:r w:rsidRPr="005975B8">
        <w:t>cause of indirect taxes about 9 percent of individuals are poor(er) than without them.</w:t>
      </w:r>
      <w:r w:rsidRPr="005975B8">
        <w:rPr>
          <w:rStyle w:val="FootnoteReference"/>
        </w:rPr>
        <w:footnoteReference w:id="18"/>
      </w:r>
      <w:r w:rsidRPr="005975B8">
        <w:t xml:space="preserve"> At the same time, about </w:t>
      </w:r>
      <w:r w:rsidR="00B3375A" w:rsidRPr="005975B8">
        <w:t>12</w:t>
      </w:r>
      <w:r w:rsidRPr="005975B8">
        <w:t xml:space="preserve"> percent of poor become n</w:t>
      </w:r>
      <w:r w:rsidR="004C6E0D">
        <w:t>on</w:t>
      </w:r>
      <w:r w:rsidRPr="005975B8">
        <w:t xml:space="preserve">poor thanks to the effect of cash transfers and an additional </w:t>
      </w:r>
      <w:r w:rsidR="0038382B" w:rsidRPr="005975B8">
        <w:t>9</w:t>
      </w:r>
      <w:r w:rsidRPr="005975B8">
        <w:t xml:space="preserve"> percent thanks to the effect of in-kind transfers.</w:t>
      </w:r>
    </w:p>
    <w:p w14:paraId="23F741DC" w14:textId="4C34BC54" w:rsidR="009A0EF0" w:rsidRDefault="009A0EF0" w:rsidP="009A0EF0">
      <w:pPr>
        <w:pStyle w:val="Heading3"/>
      </w:pPr>
      <w:bookmarkStart w:id="131" w:name="_Toc10824884"/>
      <w:bookmarkStart w:id="132" w:name="_Toc10824956"/>
      <w:r>
        <w:t xml:space="preserve">What is the spending effectiveness of </w:t>
      </w:r>
      <w:r w:rsidR="00DE47A1">
        <w:t>n</w:t>
      </w:r>
      <w:r w:rsidR="004C6E0D">
        <w:t>on</w:t>
      </w:r>
      <w:r w:rsidR="00DE47A1">
        <w:t xml:space="preserve">contributory </w:t>
      </w:r>
      <w:r w:rsidR="00055D86">
        <w:t>pensions</w:t>
      </w:r>
      <w:r>
        <w:t>?</w:t>
      </w:r>
      <w:bookmarkEnd w:id="131"/>
      <w:bookmarkEnd w:id="132"/>
      <w:r>
        <w:t xml:space="preserve"> </w:t>
      </w:r>
    </w:p>
    <w:p w14:paraId="66302DBF" w14:textId="13C1E11C" w:rsidR="0048403E" w:rsidRPr="0048403E" w:rsidRDefault="005307D7" w:rsidP="0048403E">
      <w:r>
        <w:rPr>
          <w:b/>
        </w:rPr>
        <w:t>T</w:t>
      </w:r>
      <w:r w:rsidR="002D7527" w:rsidRPr="002D7527">
        <w:rPr>
          <w:b/>
        </w:rPr>
        <w:t xml:space="preserve">he </w:t>
      </w:r>
      <w:r w:rsidR="00D71B46">
        <w:rPr>
          <w:b/>
        </w:rPr>
        <w:t>inequality and poverty reducing effect</w:t>
      </w:r>
      <w:r w:rsidR="002D7527" w:rsidRPr="002D7527">
        <w:rPr>
          <w:b/>
        </w:rPr>
        <w:t xml:space="preserve"> </w:t>
      </w:r>
      <w:r w:rsidR="00D71B46">
        <w:rPr>
          <w:b/>
        </w:rPr>
        <w:t>obtained with the current system of n</w:t>
      </w:r>
      <w:r w:rsidR="004C6E0D">
        <w:rPr>
          <w:b/>
        </w:rPr>
        <w:t>on</w:t>
      </w:r>
      <w:r w:rsidR="00D71B46" w:rsidRPr="002D7527">
        <w:rPr>
          <w:b/>
        </w:rPr>
        <w:t>contributory pension</w:t>
      </w:r>
      <w:r w:rsidR="00D71B46">
        <w:rPr>
          <w:b/>
        </w:rPr>
        <w:t xml:space="preserve"> </w:t>
      </w:r>
      <w:r w:rsidR="002D7527" w:rsidRPr="002D7527">
        <w:rPr>
          <w:b/>
        </w:rPr>
        <w:t>could be achieved with considerably less resources.</w:t>
      </w:r>
      <w:r w:rsidR="002D7527">
        <w:t xml:space="preserve"> </w:t>
      </w:r>
      <w:r w:rsidR="001163D5">
        <w:t>As explained in E</w:t>
      </w:r>
      <w:r w:rsidR="00F62F59">
        <w:t>n</w:t>
      </w:r>
      <w:r w:rsidR="001163D5">
        <w:t>ami (2018</w:t>
      </w:r>
      <w:r w:rsidR="00F62F59">
        <w:t>b</w:t>
      </w:r>
      <w:r w:rsidR="001163D5">
        <w:t>), t</w:t>
      </w:r>
      <w:r w:rsidR="00753FB2" w:rsidRPr="0048403E">
        <w:t xml:space="preserve">he spending effectiveness indicator </w:t>
      </w:r>
      <w:r w:rsidR="00F62F59">
        <w:t>can be</w:t>
      </w:r>
      <w:r w:rsidR="00753FB2" w:rsidRPr="0048403E">
        <w:t xml:space="preserve"> defined as the ratio of the minimum amount</w:t>
      </w:r>
      <w:r w:rsidR="0010001E">
        <w:t xml:space="preserve"> </w:t>
      </w:r>
      <w:r w:rsidR="00753FB2" w:rsidRPr="0048403E">
        <w:t xml:space="preserve">of a tax (transfer) required to be collected (spent) </w:t>
      </w:r>
      <w:r w:rsidR="00944E58">
        <w:t>to</w:t>
      </w:r>
      <w:r w:rsidR="00753FB2" w:rsidRPr="0048403E">
        <w:t xml:space="preserve"> create the </w:t>
      </w:r>
      <w:r w:rsidR="00F62F59">
        <w:t>same</w:t>
      </w:r>
      <w:r w:rsidR="00B21B9A">
        <w:t xml:space="preserve"> inequality (or poverty) effect</w:t>
      </w:r>
      <w:r w:rsidR="00753FB2" w:rsidRPr="0048403E">
        <w:t xml:space="preserve">, if the tax (transfer) is instead redistributed optimally. </w:t>
      </w:r>
      <w:r w:rsidR="00D673F2">
        <w:t>In the case of a transfer, the</w:t>
      </w:r>
      <w:r w:rsidR="00223742" w:rsidRPr="0048403E">
        <w:t xml:space="preserve"> indicator shows how much less transfer is required to achieve the same</w:t>
      </w:r>
      <w:r w:rsidR="0010001E">
        <w:t xml:space="preserve"> </w:t>
      </w:r>
      <w:r w:rsidR="00330641">
        <w:t xml:space="preserve">degree of </w:t>
      </w:r>
      <w:r w:rsidR="00223742" w:rsidRPr="0048403E">
        <w:t>inequality</w:t>
      </w:r>
      <w:r w:rsidR="0010001E">
        <w:t xml:space="preserve"> </w:t>
      </w:r>
      <w:r w:rsidR="00223742" w:rsidRPr="0048403E">
        <w:t>reduction if the transfer is spent in a way that maximizes the reduction in inequality.</w:t>
      </w:r>
      <w:r w:rsidR="0010001E">
        <w:t xml:space="preserve"> </w:t>
      </w:r>
      <w:r w:rsidR="0048403E" w:rsidRPr="0048403E">
        <w:t>A higher value of the indicator implies that a program is more effective</w:t>
      </w:r>
      <w:r w:rsidR="000F5C10">
        <w:t xml:space="preserve"> in reducing inequality</w:t>
      </w:r>
      <w:r w:rsidR="0048403E" w:rsidRPr="0048403E">
        <w:t>.</w:t>
      </w:r>
      <w:r w:rsidR="007E2B66">
        <w:rPr>
          <w:rStyle w:val="FootnoteReference"/>
        </w:rPr>
        <w:footnoteReference w:id="19"/>
      </w:r>
      <w:r w:rsidR="0048403E" w:rsidRPr="0048403E">
        <w:t xml:space="preserve"> </w:t>
      </w:r>
      <w:r w:rsidR="00423FAD">
        <w:t>I</w:t>
      </w:r>
      <w:r w:rsidR="000F5C10">
        <w:t>n the case of n</w:t>
      </w:r>
      <w:r w:rsidR="004C6E0D">
        <w:t>on</w:t>
      </w:r>
      <w:r w:rsidR="000F5C10">
        <w:t xml:space="preserve">contributory </w:t>
      </w:r>
      <w:r w:rsidR="00423FAD">
        <w:t xml:space="preserve">pensions, the same reduction in inequality could be achieved with </w:t>
      </w:r>
      <w:r w:rsidR="00097F8F">
        <w:t xml:space="preserve">considerably less resources. Precisely, the </w:t>
      </w:r>
      <w:r w:rsidR="00F55CB3">
        <w:t xml:space="preserve">BRP </w:t>
      </w:r>
      <w:r w:rsidR="00097F8F">
        <w:t>achieves a reduction in inequality of about</w:t>
      </w:r>
      <w:r w:rsidR="00BD719E">
        <w:t xml:space="preserve"> </w:t>
      </w:r>
      <w:r w:rsidR="00EA1A23">
        <w:t>3</w:t>
      </w:r>
      <w:r w:rsidR="00097F8F">
        <w:t xml:space="preserve"> Gini points</w:t>
      </w:r>
      <w:r w:rsidR="00995C6D">
        <w:t xml:space="preserve"> and in the </w:t>
      </w:r>
      <w:r w:rsidR="00C625BE">
        <w:t xml:space="preserve">poverty gap, </w:t>
      </w:r>
      <w:r w:rsidR="005F5E3B">
        <w:t>that is,</w:t>
      </w:r>
      <w:r w:rsidR="00C625BE">
        <w:t xml:space="preserve"> the </w:t>
      </w:r>
      <w:r w:rsidR="00995C6D">
        <w:t>distance between</w:t>
      </w:r>
      <w:r w:rsidR="00D05C54">
        <w:t xml:space="preserve"> income and poverty line of poor households</w:t>
      </w:r>
      <w:r w:rsidR="00C625BE">
        <w:t xml:space="preserve">, </w:t>
      </w:r>
      <w:r w:rsidR="00D05C54">
        <w:t>of 2.8 percentage points</w:t>
      </w:r>
      <w:r w:rsidR="00097F8F">
        <w:t xml:space="preserve">. The same decline in the </w:t>
      </w:r>
      <w:r w:rsidR="00B540B2">
        <w:t>Gini</w:t>
      </w:r>
      <w:r w:rsidR="00097F8F">
        <w:t xml:space="preserve"> index could be obtained by spending </w:t>
      </w:r>
      <w:r w:rsidR="00C27295">
        <w:t>only 29 percent of the amount currently spent and the same reduction in the</w:t>
      </w:r>
      <w:r w:rsidR="00C625BE">
        <w:t xml:space="preserve"> poverty gap</w:t>
      </w:r>
      <w:r w:rsidR="00C27295">
        <w:t xml:space="preserve"> could be </w:t>
      </w:r>
      <w:r w:rsidR="00B540B2">
        <w:t>achieved</w:t>
      </w:r>
      <w:r w:rsidR="00C27295">
        <w:t xml:space="preserve"> with only 1</w:t>
      </w:r>
      <w:r w:rsidR="00B540B2">
        <w:t>2</w:t>
      </w:r>
      <w:r w:rsidR="00C27295">
        <w:t xml:space="preserve"> </w:t>
      </w:r>
      <w:r w:rsidR="00B540B2">
        <w:t>percent</w:t>
      </w:r>
      <w:r w:rsidR="00C27295">
        <w:t xml:space="preserve"> of the </w:t>
      </w:r>
      <w:r w:rsidR="00B540B2">
        <w:t xml:space="preserve">current BRP </w:t>
      </w:r>
      <w:r w:rsidR="00C27295">
        <w:t>expenditure</w:t>
      </w:r>
      <w:r w:rsidR="00B540B2">
        <w:t xml:space="preserve">. </w:t>
      </w:r>
      <w:r w:rsidR="007E2B66">
        <w:t>Similarly</w:t>
      </w:r>
      <w:r w:rsidR="00B540B2">
        <w:t xml:space="preserve">, in the case of the Basic </w:t>
      </w:r>
      <w:r w:rsidR="007645CC">
        <w:t>W</w:t>
      </w:r>
      <w:r w:rsidR="00B540B2">
        <w:t xml:space="preserve">idow Pension </w:t>
      </w:r>
      <w:r w:rsidR="007645CC">
        <w:t xml:space="preserve">(plus Child Allowance) </w:t>
      </w:r>
      <w:r w:rsidR="00B540B2">
        <w:t>and the Basic Invalid Pension</w:t>
      </w:r>
      <w:r w:rsidR="007645CC">
        <w:t xml:space="preserve"> (plus </w:t>
      </w:r>
      <w:r w:rsidR="00225990">
        <w:t>the c</w:t>
      </w:r>
      <w:r w:rsidR="007645CC">
        <w:t>are</w:t>
      </w:r>
      <w:r w:rsidR="00225990">
        <w:t xml:space="preserve">giver </w:t>
      </w:r>
      <w:r w:rsidR="007645CC">
        <w:t>Allowance)</w:t>
      </w:r>
      <w:r w:rsidR="00B540B2">
        <w:t xml:space="preserve">, the same </w:t>
      </w:r>
      <w:r w:rsidR="007C686D">
        <w:t xml:space="preserve">inequality reduction and decline in the poverty gap could be obtained </w:t>
      </w:r>
      <w:r w:rsidR="00F83C0D">
        <w:t xml:space="preserve">with 42 and </w:t>
      </w:r>
      <w:r w:rsidR="004C0B40">
        <w:t xml:space="preserve">25 </w:t>
      </w:r>
      <w:r w:rsidR="00F83C0D">
        <w:t xml:space="preserve">percent and </w:t>
      </w:r>
      <w:r w:rsidR="004C0B40">
        <w:t>52</w:t>
      </w:r>
      <w:r w:rsidR="00F83C0D">
        <w:t xml:space="preserve"> and 30 percent of the resources that every year are directed to such </w:t>
      </w:r>
      <w:r w:rsidR="007E2B66">
        <w:t>programs</w:t>
      </w:r>
      <w:r w:rsidR="004C0B40">
        <w:t xml:space="preserve">, </w:t>
      </w:r>
      <w:r w:rsidR="00EB0B13">
        <w:t>respectively</w:t>
      </w:r>
      <w:r w:rsidR="007E2B66">
        <w:t>.</w:t>
      </w:r>
    </w:p>
    <w:p w14:paraId="515491D2" w14:textId="0FE5AE0A" w:rsidR="00B65128" w:rsidRDefault="00B65128" w:rsidP="00B65128">
      <w:pPr>
        <w:pStyle w:val="Heading3"/>
      </w:pPr>
      <w:bookmarkStart w:id="133" w:name="_Toc10824885"/>
      <w:bookmarkStart w:id="134" w:name="_Toc10824957"/>
      <w:r>
        <w:t xml:space="preserve">What is the </w:t>
      </w:r>
      <w:r w:rsidR="00AC5DFF">
        <w:t>incidence of</w:t>
      </w:r>
      <w:r>
        <w:t xml:space="preserve"> tax</w:t>
      </w:r>
      <w:r w:rsidR="00AC5DFF">
        <w:t>es</w:t>
      </w:r>
      <w:r>
        <w:t xml:space="preserve"> </w:t>
      </w:r>
      <w:r w:rsidR="00AC5DFF">
        <w:t xml:space="preserve">and </w:t>
      </w:r>
      <w:r>
        <w:t>transfer</w:t>
      </w:r>
      <w:r w:rsidR="00AC5DFF">
        <w:t>s</w:t>
      </w:r>
      <w:r>
        <w:t xml:space="preserve"> </w:t>
      </w:r>
      <w:r w:rsidR="00AC5DFF">
        <w:t xml:space="preserve">on </w:t>
      </w:r>
      <w:r w:rsidR="005A0596">
        <w:t>pre</w:t>
      </w:r>
      <w:r w:rsidR="00AC5DFF">
        <w:t xml:space="preserve">fiscal income along the </w:t>
      </w:r>
      <w:r w:rsidR="00C13FC5">
        <w:t>distribution</w:t>
      </w:r>
      <w:r>
        <w:t>?</w:t>
      </w:r>
      <w:bookmarkEnd w:id="130"/>
      <w:bookmarkEnd w:id="133"/>
      <w:bookmarkEnd w:id="134"/>
    </w:p>
    <w:p w14:paraId="1395A229" w14:textId="1491776A" w:rsidR="0072123D" w:rsidRDefault="006048E2" w:rsidP="00C53D7E">
      <w:r w:rsidRPr="0095034D">
        <w:rPr>
          <w:b/>
        </w:rPr>
        <w:t>The poorest</w:t>
      </w:r>
      <w:r w:rsidR="00D76F9D" w:rsidRPr="0095034D">
        <w:rPr>
          <w:b/>
        </w:rPr>
        <w:t xml:space="preserve"> derive a net benefit from the fiscal system</w:t>
      </w:r>
      <w:r w:rsidR="0095034D" w:rsidRPr="0095034D">
        <w:rPr>
          <w:b/>
        </w:rPr>
        <w:t xml:space="preserve"> driven by the </w:t>
      </w:r>
      <w:r w:rsidR="00675BE7">
        <w:rPr>
          <w:b/>
        </w:rPr>
        <w:t xml:space="preserve">progressive and </w:t>
      </w:r>
      <w:r w:rsidR="0095034D" w:rsidRPr="0095034D">
        <w:rPr>
          <w:b/>
        </w:rPr>
        <w:t>pr</w:t>
      </w:r>
      <w:r w:rsidR="004E51C1">
        <w:rPr>
          <w:b/>
        </w:rPr>
        <w:t>o</w:t>
      </w:r>
      <w:r w:rsidR="0095034D" w:rsidRPr="0095034D">
        <w:rPr>
          <w:b/>
        </w:rPr>
        <w:t>-poor effect of cash transfer programs.</w:t>
      </w:r>
      <w:r w:rsidR="00D76F9D">
        <w:t xml:space="preserve"> </w:t>
      </w:r>
      <w:r w:rsidR="000D1AC8">
        <w:t>D</w:t>
      </w:r>
      <w:r w:rsidR="00FE3CA2" w:rsidRPr="007847A2">
        <w:t xml:space="preserve">irect taxes </w:t>
      </w:r>
      <w:r w:rsidR="007B478A">
        <w:t xml:space="preserve">have a </w:t>
      </w:r>
      <w:r w:rsidR="008B3671">
        <w:t>small</w:t>
      </w:r>
      <w:r w:rsidR="007B478A">
        <w:t xml:space="preserve"> </w:t>
      </w:r>
      <w:r w:rsidR="00FE3CA2" w:rsidRPr="007847A2">
        <w:t xml:space="preserve">impact </w:t>
      </w:r>
      <w:r w:rsidR="008B3671">
        <w:t xml:space="preserve">in general on </w:t>
      </w:r>
      <w:r w:rsidR="00354793">
        <w:t xml:space="preserve">households’ </w:t>
      </w:r>
      <w:r w:rsidR="005A0596">
        <w:t>pre</w:t>
      </w:r>
      <w:r w:rsidR="00354793">
        <w:t>fiscal income</w:t>
      </w:r>
      <w:r w:rsidR="0043175D">
        <w:t>: the incidence ranges from</w:t>
      </w:r>
      <w:r w:rsidR="00354793">
        <w:t xml:space="preserve"> less than 3 percent among the </w:t>
      </w:r>
      <w:r w:rsidR="008B123A">
        <w:t>poorest to 11 percent among the most affluent households,</w:t>
      </w:r>
      <w:r w:rsidR="00FE3CA2" w:rsidRPr="007847A2">
        <w:t xml:space="preserve"> reflecting the progressive tax rate structure</w:t>
      </w:r>
      <w:r w:rsidR="00826390">
        <w:t xml:space="preserve"> (</w:t>
      </w:r>
      <w:r w:rsidR="00826390">
        <w:fldChar w:fldCharType="begin"/>
      </w:r>
      <w:r w:rsidR="00826390">
        <w:instrText xml:space="preserve"> REF _Ref8349026 \h  \* MERGEFORMAT </w:instrText>
      </w:r>
      <w:r w:rsidR="00826390">
        <w:fldChar w:fldCharType="separate"/>
      </w:r>
      <w:r w:rsidR="00C37C80" w:rsidRPr="00C37C80">
        <w:t>Figure 4.5</w:t>
      </w:r>
      <w:r w:rsidR="00826390">
        <w:fldChar w:fldCharType="end"/>
      </w:r>
      <w:r w:rsidR="00826390">
        <w:t>)</w:t>
      </w:r>
      <w:r w:rsidR="00FE3CA2" w:rsidRPr="007847A2">
        <w:t>. The effect</w:t>
      </w:r>
      <w:r w:rsidR="00C32C16" w:rsidRPr="007847A2">
        <w:t xml:space="preserve"> </w:t>
      </w:r>
      <w:r w:rsidR="00FE3CA2" w:rsidRPr="007847A2">
        <w:t xml:space="preserve">of direct transfers </w:t>
      </w:r>
      <w:r w:rsidR="00D10B85">
        <w:t>is</w:t>
      </w:r>
      <w:r w:rsidR="007847A2" w:rsidRPr="007847A2">
        <w:t xml:space="preserve"> highly concentrated among the poor</w:t>
      </w:r>
      <w:r w:rsidR="00E70FF4">
        <w:t xml:space="preserve">. The poorest households in Mauritius depend </w:t>
      </w:r>
      <w:r w:rsidR="0020178F">
        <w:t>almost entirely on government transfers through basic n</w:t>
      </w:r>
      <w:r w:rsidR="004C6E0D">
        <w:t>on</w:t>
      </w:r>
      <w:r w:rsidR="0020178F">
        <w:t xml:space="preserve">contributory pensions and </w:t>
      </w:r>
      <w:r w:rsidR="00EB5B29">
        <w:t>S</w:t>
      </w:r>
      <w:r w:rsidR="0020178F">
        <w:t>ocia</w:t>
      </w:r>
      <w:r w:rsidR="00D10B85">
        <w:t>l</w:t>
      </w:r>
      <w:r w:rsidR="0020178F">
        <w:t xml:space="preserve"> </w:t>
      </w:r>
      <w:r w:rsidR="00EB5B29">
        <w:t>A</w:t>
      </w:r>
      <w:r w:rsidR="0020178F">
        <w:t>id</w:t>
      </w:r>
      <w:r w:rsidR="00D10B85">
        <w:t>.</w:t>
      </w:r>
      <w:r w:rsidR="00FE3CA2" w:rsidRPr="007847A2">
        <w:t xml:space="preserve"> Direct transfers change the first decile income by 1</w:t>
      </w:r>
      <w:r w:rsidR="00D10B85">
        <w:t>80</w:t>
      </w:r>
      <w:r w:rsidR="00FE3CA2" w:rsidRPr="007847A2">
        <w:t xml:space="preserve"> percent,</w:t>
      </w:r>
      <w:r w:rsidR="006C06D6" w:rsidRPr="007847A2">
        <w:t xml:space="preserve"> </w:t>
      </w:r>
      <w:r w:rsidR="00FE3CA2" w:rsidRPr="007847A2">
        <w:t>while their effects on the second and third decile are considerably</w:t>
      </w:r>
      <w:r w:rsidR="007847A2" w:rsidRPr="007847A2">
        <w:t xml:space="preserve"> </w:t>
      </w:r>
      <w:r w:rsidR="00FE3CA2" w:rsidRPr="007847A2">
        <w:t>lower</w:t>
      </w:r>
      <w:r w:rsidR="009601F2">
        <w:t xml:space="preserve"> at 38 and 21 percent, respectively</w:t>
      </w:r>
      <w:r w:rsidR="00FE3CA2" w:rsidRPr="007847A2">
        <w:t>.</w:t>
      </w:r>
      <w:r w:rsidR="009601F2">
        <w:t xml:space="preserve"> Given lack of targeting of</w:t>
      </w:r>
      <w:r w:rsidR="007C705E">
        <w:t xml:space="preserve"> basic pensions, </w:t>
      </w:r>
      <w:r w:rsidR="00076745">
        <w:t xml:space="preserve">the middle class and </w:t>
      </w:r>
      <w:r w:rsidR="007C705E">
        <w:t>even the richest benefit</w:t>
      </w:r>
      <w:r w:rsidR="00E17920">
        <w:t xml:space="preserve"> to some extent</w:t>
      </w:r>
      <w:r w:rsidR="00826390">
        <w:t xml:space="preserve"> from </w:t>
      </w:r>
      <w:r w:rsidR="00AA7CD7">
        <w:t>such transfers</w:t>
      </w:r>
      <w:r w:rsidR="00B32FA9">
        <w:t xml:space="preserve">: the most affluent households receive on average 3.7 percent of their </w:t>
      </w:r>
      <w:r w:rsidR="005A0596">
        <w:t>pre</w:t>
      </w:r>
      <w:r w:rsidR="00B32FA9">
        <w:t>fiscal inc</w:t>
      </w:r>
      <w:r w:rsidR="00CE7EED">
        <w:t>ome in the forms of transfers</w:t>
      </w:r>
      <w:r w:rsidR="007C705E">
        <w:t xml:space="preserve">. </w:t>
      </w:r>
      <w:r w:rsidR="00FE3CA2" w:rsidRPr="007847A2">
        <w:t xml:space="preserve">Indirect taxes have a </w:t>
      </w:r>
      <w:r w:rsidR="00EC5298">
        <w:t>s</w:t>
      </w:r>
      <w:r w:rsidR="005F5E3B">
        <w:t>iza</w:t>
      </w:r>
      <w:r w:rsidR="00EC5298">
        <w:t>ble impact</w:t>
      </w:r>
      <w:r w:rsidR="00FE3CA2" w:rsidRPr="007847A2">
        <w:t xml:space="preserve"> on incomes across the distribution</w:t>
      </w:r>
      <w:r w:rsidR="00EC5298">
        <w:t xml:space="preserve"> and particularly at the bottom.</w:t>
      </w:r>
      <w:r w:rsidR="007847A2" w:rsidRPr="007847A2">
        <w:t xml:space="preserve"> </w:t>
      </w:r>
      <w:r w:rsidR="00CE7EED">
        <w:t>The poorest households pay on average some</w:t>
      </w:r>
      <w:r w:rsidR="002248C3">
        <w:t xml:space="preserve"> </w:t>
      </w:r>
      <w:r w:rsidR="00CE7EED">
        <w:t>28</w:t>
      </w:r>
      <w:r w:rsidR="002248C3">
        <w:t xml:space="preserve"> </w:t>
      </w:r>
      <w:r w:rsidR="00CE7EED">
        <w:t xml:space="preserve">percent of their </w:t>
      </w:r>
      <w:r w:rsidR="005A0596">
        <w:t>pre</w:t>
      </w:r>
      <w:r w:rsidR="00CE7EED">
        <w:t>fiscal income in indirect taxes</w:t>
      </w:r>
      <w:r w:rsidR="002248C3">
        <w:t xml:space="preserve"> as opposed to about 1</w:t>
      </w:r>
      <w:r w:rsidR="00DE1F44">
        <w:t>3</w:t>
      </w:r>
      <w:r w:rsidR="002248C3">
        <w:t>-1</w:t>
      </w:r>
      <w:r w:rsidR="00DE1F44">
        <w:t>4</w:t>
      </w:r>
      <w:r w:rsidR="002248C3">
        <w:t xml:space="preserve"> percent </w:t>
      </w:r>
      <w:r w:rsidR="00DE1F44">
        <w:t>paid on average by</w:t>
      </w:r>
      <w:r w:rsidR="002248C3">
        <w:t xml:space="preserve"> the middle class and the richest households. </w:t>
      </w:r>
      <w:r w:rsidR="00A326BB">
        <w:t xml:space="preserve">Indirect subsidies represent a very small share of households’ </w:t>
      </w:r>
      <w:r w:rsidR="005A0596">
        <w:t>pre</w:t>
      </w:r>
      <w:r w:rsidR="00A326BB">
        <w:t xml:space="preserve">fiscal income, ranging from </w:t>
      </w:r>
      <w:r w:rsidR="005B5AC0">
        <w:t>6</w:t>
      </w:r>
      <w:r w:rsidR="00A326BB">
        <w:t xml:space="preserve"> </w:t>
      </w:r>
      <w:r w:rsidR="005B5AC0">
        <w:t xml:space="preserve">at the bottom </w:t>
      </w:r>
      <w:r w:rsidR="00A326BB">
        <w:t>to</w:t>
      </w:r>
      <w:r w:rsidR="00690EF9">
        <w:t xml:space="preserve"> </w:t>
      </w:r>
      <w:r w:rsidR="005B5AC0">
        <w:t>about</w:t>
      </w:r>
      <w:r w:rsidR="00690EF9">
        <w:t xml:space="preserve"> 0.</w:t>
      </w:r>
      <w:r w:rsidR="005B5AC0">
        <w:t>2</w:t>
      </w:r>
      <w:r w:rsidR="00690EF9">
        <w:t xml:space="preserve"> percent at the top</w:t>
      </w:r>
      <w:r w:rsidR="00765442">
        <w:t>. Although they</w:t>
      </w:r>
      <w:r w:rsidR="002C61E0">
        <w:t xml:space="preserve"> </w:t>
      </w:r>
      <w:r w:rsidR="00690EF9">
        <w:t xml:space="preserve">appear to be reaching the </w:t>
      </w:r>
      <w:r w:rsidR="002C61E0">
        <w:t>poorest</w:t>
      </w:r>
      <w:r w:rsidR="00765442">
        <w:t>, also the middle class and the richest receive some of these subsidies</w:t>
      </w:r>
      <w:r w:rsidR="002C61E0">
        <w:t xml:space="preserve">. </w:t>
      </w:r>
      <w:r w:rsidR="009664D0">
        <w:t>A</w:t>
      </w:r>
      <w:r w:rsidR="00FE3CA2" w:rsidRPr="007847A2">
        <w:t>fter direct taxes, direct transfers and indirect taxes, households</w:t>
      </w:r>
      <w:r w:rsidR="007847A2" w:rsidRPr="007847A2">
        <w:t xml:space="preserve"> </w:t>
      </w:r>
      <w:r w:rsidR="00FE3CA2" w:rsidRPr="007847A2">
        <w:t>in the first</w:t>
      </w:r>
      <w:r w:rsidR="00BE5591">
        <w:t xml:space="preserve">, second, and third </w:t>
      </w:r>
      <w:r w:rsidR="00FE3CA2" w:rsidRPr="007847A2">
        <w:t xml:space="preserve">decile are net transfer receivers, while households from the </w:t>
      </w:r>
      <w:r w:rsidR="00BE5591">
        <w:t>fourth</w:t>
      </w:r>
      <w:r w:rsidR="007847A2" w:rsidRPr="007847A2">
        <w:t xml:space="preserve"> </w:t>
      </w:r>
      <w:r w:rsidR="00FE3CA2" w:rsidRPr="007847A2">
        <w:t xml:space="preserve">decile </w:t>
      </w:r>
      <w:r w:rsidR="00FB6067">
        <w:t>to the top</w:t>
      </w:r>
      <w:r w:rsidR="00FE3CA2" w:rsidRPr="007847A2">
        <w:t xml:space="preserve"> are net tax payers. The </w:t>
      </w:r>
      <w:r w:rsidR="000E4E6C">
        <w:t xml:space="preserve">overall net </w:t>
      </w:r>
      <w:r w:rsidR="00B021FB">
        <w:t xml:space="preserve">benefit, including cash </w:t>
      </w:r>
      <w:r w:rsidR="001438EE">
        <w:t xml:space="preserve">and </w:t>
      </w:r>
      <w:r w:rsidR="001438EE" w:rsidRPr="007847A2">
        <w:t>in</w:t>
      </w:r>
      <w:r w:rsidR="00BE5591">
        <w:t xml:space="preserve">-kind </w:t>
      </w:r>
      <w:r w:rsidR="00FE3CA2" w:rsidRPr="007847A2">
        <w:t>health and education transfers</w:t>
      </w:r>
      <w:r w:rsidR="00B021FB">
        <w:t>, is different</w:t>
      </w:r>
      <w:r w:rsidR="00AE27E0">
        <w:t>.</w:t>
      </w:r>
      <w:r w:rsidR="00B021FB">
        <w:t xml:space="preserve"> </w:t>
      </w:r>
      <w:r w:rsidR="00AE27E0">
        <w:t>H</w:t>
      </w:r>
      <w:r w:rsidR="000E7201">
        <w:t xml:space="preserve">ouseholds at the bottom </w:t>
      </w:r>
      <w:r w:rsidR="00C21613">
        <w:t>6</w:t>
      </w:r>
      <w:r w:rsidR="000E7201">
        <w:t>0 percent</w:t>
      </w:r>
      <w:r w:rsidR="00C21613">
        <w:t xml:space="preserve"> are net receivers</w:t>
      </w:r>
      <w:r w:rsidR="00C633BA">
        <w:t>,</w:t>
      </w:r>
      <w:r w:rsidR="00AE27E0">
        <w:t xml:space="preserve"> </w:t>
      </w:r>
      <w:r w:rsidR="001438EE">
        <w:t>and</w:t>
      </w:r>
      <w:r w:rsidR="00C633BA">
        <w:t xml:space="preserve"> the poorest</w:t>
      </w:r>
      <w:r w:rsidR="00AE27E0">
        <w:t xml:space="preserve"> still </w:t>
      </w:r>
      <w:r w:rsidR="001438EE">
        <w:t xml:space="preserve">receive the largest share in terms of their </w:t>
      </w:r>
      <w:r w:rsidR="005A0596">
        <w:t>pre</w:t>
      </w:r>
      <w:r w:rsidR="001438EE">
        <w:t>fiscal income.</w:t>
      </w:r>
    </w:p>
    <w:tbl>
      <w:tblPr>
        <w:tblW w:w="9360" w:type="dxa"/>
        <w:tblLayout w:type="fixed"/>
        <w:tblCellMar>
          <w:left w:w="0" w:type="dxa"/>
          <w:right w:w="0" w:type="dxa"/>
        </w:tblCellMar>
        <w:tblLook w:val="04A0" w:firstRow="1" w:lastRow="0" w:firstColumn="1" w:lastColumn="0" w:noHBand="0" w:noVBand="1"/>
      </w:tblPr>
      <w:tblGrid>
        <w:gridCol w:w="9360"/>
      </w:tblGrid>
      <w:tr w:rsidR="00A807CA" w:rsidRPr="001E6C40" w14:paraId="4FE23606" w14:textId="77777777" w:rsidTr="004B37D4">
        <w:trPr>
          <w:cantSplit/>
        </w:trPr>
        <w:tc>
          <w:tcPr>
            <w:tcW w:w="9360" w:type="dxa"/>
            <w:hideMark/>
          </w:tcPr>
          <w:p w14:paraId="3E1BE9B9" w14:textId="26A9E112" w:rsidR="00A807CA" w:rsidRPr="009B2F93" w:rsidRDefault="00A807CA" w:rsidP="009B2F93">
            <w:pPr>
              <w:autoSpaceDE w:val="0"/>
              <w:autoSpaceDN w:val="0"/>
              <w:adjustRightInd w:val="0"/>
              <w:spacing w:after="0" w:line="240" w:lineRule="auto"/>
              <w:jc w:val="left"/>
              <w:rPr>
                <w:b/>
                <w:sz w:val="18"/>
                <w:szCs w:val="18"/>
                <w:lang w:eastAsia="en-GB"/>
              </w:rPr>
            </w:pPr>
            <w:bookmarkStart w:id="135" w:name="_Ref8349026"/>
            <w:bookmarkStart w:id="136" w:name="_Toc11255081"/>
            <w:r w:rsidRPr="001E6C40">
              <w:rPr>
                <w:b/>
                <w:sz w:val="18"/>
                <w:szCs w:val="18"/>
                <w:lang w:eastAsia="en-GB"/>
              </w:rPr>
              <w:t xml:space="preserve">Figure </w:t>
            </w:r>
            <w:r w:rsidR="00275542">
              <w:rPr>
                <w:b/>
                <w:sz w:val="18"/>
                <w:szCs w:val="18"/>
                <w:lang w:eastAsia="en-GB"/>
              </w:rPr>
              <w:fldChar w:fldCharType="begin"/>
            </w:r>
            <w:r w:rsidR="00275542">
              <w:rPr>
                <w:b/>
                <w:sz w:val="18"/>
                <w:szCs w:val="18"/>
                <w:lang w:eastAsia="en-GB"/>
              </w:rPr>
              <w:instrText xml:space="preserve"> STYLEREF 1 \s </w:instrText>
            </w:r>
            <w:r w:rsidR="00275542">
              <w:rPr>
                <w:b/>
                <w:sz w:val="18"/>
                <w:szCs w:val="18"/>
                <w:lang w:eastAsia="en-GB"/>
              </w:rPr>
              <w:fldChar w:fldCharType="separate"/>
            </w:r>
            <w:r w:rsidR="00C37C80">
              <w:rPr>
                <w:b/>
                <w:noProof/>
                <w:sz w:val="18"/>
                <w:szCs w:val="18"/>
                <w:lang w:eastAsia="en-GB"/>
              </w:rPr>
              <w:t>4</w:t>
            </w:r>
            <w:r w:rsidR="00275542">
              <w:rPr>
                <w:b/>
                <w:sz w:val="18"/>
                <w:szCs w:val="18"/>
                <w:lang w:eastAsia="en-GB"/>
              </w:rPr>
              <w:fldChar w:fldCharType="end"/>
            </w:r>
            <w:r w:rsidR="00275542">
              <w:rPr>
                <w:b/>
                <w:sz w:val="18"/>
                <w:szCs w:val="18"/>
                <w:lang w:eastAsia="en-GB"/>
              </w:rPr>
              <w:t>.</w:t>
            </w:r>
            <w:r w:rsidR="00275542">
              <w:rPr>
                <w:b/>
                <w:sz w:val="18"/>
                <w:szCs w:val="18"/>
                <w:lang w:eastAsia="en-GB"/>
              </w:rPr>
              <w:fldChar w:fldCharType="begin"/>
            </w:r>
            <w:r w:rsidR="00275542">
              <w:rPr>
                <w:b/>
                <w:sz w:val="18"/>
                <w:szCs w:val="18"/>
                <w:lang w:eastAsia="en-GB"/>
              </w:rPr>
              <w:instrText xml:space="preserve"> SEQ Figure \* ARABIC \s 1 </w:instrText>
            </w:r>
            <w:r w:rsidR="00275542">
              <w:rPr>
                <w:b/>
                <w:sz w:val="18"/>
                <w:szCs w:val="18"/>
                <w:lang w:eastAsia="en-GB"/>
              </w:rPr>
              <w:fldChar w:fldCharType="separate"/>
            </w:r>
            <w:r w:rsidR="00C37C80">
              <w:rPr>
                <w:b/>
                <w:noProof/>
                <w:sz w:val="18"/>
                <w:szCs w:val="18"/>
                <w:lang w:eastAsia="en-GB"/>
              </w:rPr>
              <w:t>5</w:t>
            </w:r>
            <w:r w:rsidR="00275542">
              <w:rPr>
                <w:b/>
                <w:sz w:val="18"/>
                <w:szCs w:val="18"/>
                <w:lang w:eastAsia="en-GB"/>
              </w:rPr>
              <w:fldChar w:fldCharType="end"/>
            </w:r>
            <w:bookmarkEnd w:id="135"/>
            <w:r w:rsidRPr="001E6C40">
              <w:rPr>
                <w:b/>
                <w:sz w:val="18"/>
                <w:szCs w:val="18"/>
                <w:lang w:eastAsia="en-GB"/>
              </w:rPr>
              <w:t xml:space="preserve">. </w:t>
            </w:r>
            <w:r w:rsidR="009B2F93" w:rsidRPr="009B2F93">
              <w:rPr>
                <w:b/>
                <w:sz w:val="18"/>
                <w:szCs w:val="18"/>
                <w:lang w:eastAsia="en-GB"/>
              </w:rPr>
              <w:t xml:space="preserve">Incidence of Taxes and Transfers and Net Fiscal Benefit, by </w:t>
            </w:r>
            <w:r w:rsidR="00B01BA4">
              <w:rPr>
                <w:b/>
                <w:sz w:val="18"/>
                <w:szCs w:val="18"/>
                <w:lang w:eastAsia="en-GB"/>
              </w:rPr>
              <w:t xml:space="preserve">Decile of </w:t>
            </w:r>
            <w:r w:rsidR="00381313">
              <w:rPr>
                <w:b/>
                <w:sz w:val="18"/>
                <w:szCs w:val="18"/>
                <w:lang w:eastAsia="en-GB"/>
              </w:rPr>
              <w:t xml:space="preserve">Per </w:t>
            </w:r>
            <w:r w:rsidR="00B01BA4">
              <w:rPr>
                <w:b/>
                <w:sz w:val="18"/>
                <w:szCs w:val="18"/>
                <w:lang w:eastAsia="en-GB"/>
              </w:rPr>
              <w:t>A</w:t>
            </w:r>
            <w:r w:rsidR="00381313">
              <w:rPr>
                <w:b/>
                <w:sz w:val="18"/>
                <w:szCs w:val="18"/>
                <w:lang w:eastAsia="en-GB"/>
              </w:rPr>
              <w:t xml:space="preserve">dult </w:t>
            </w:r>
            <w:r w:rsidR="00B01BA4">
              <w:rPr>
                <w:b/>
                <w:sz w:val="18"/>
                <w:szCs w:val="18"/>
                <w:lang w:eastAsia="en-GB"/>
              </w:rPr>
              <w:t>E</w:t>
            </w:r>
            <w:r w:rsidR="00381313">
              <w:rPr>
                <w:b/>
                <w:sz w:val="18"/>
                <w:szCs w:val="18"/>
                <w:lang w:eastAsia="en-GB"/>
              </w:rPr>
              <w:t xml:space="preserve">quivalent </w:t>
            </w:r>
            <w:r w:rsidR="009B2F93" w:rsidRPr="009B2F93">
              <w:rPr>
                <w:b/>
                <w:sz w:val="18"/>
                <w:szCs w:val="18"/>
                <w:lang w:eastAsia="en-GB"/>
              </w:rPr>
              <w:t>Market Income</w:t>
            </w:r>
            <w:bookmarkEnd w:id="136"/>
            <w:r w:rsidR="009B2F93" w:rsidRPr="009B2F93">
              <w:rPr>
                <w:b/>
                <w:sz w:val="18"/>
                <w:szCs w:val="18"/>
                <w:lang w:eastAsia="en-GB"/>
              </w:rPr>
              <w:t xml:space="preserve"> </w:t>
            </w:r>
          </w:p>
        </w:tc>
      </w:tr>
      <w:tr w:rsidR="00642AB4" w14:paraId="67C66723" w14:textId="77777777" w:rsidTr="003502D1">
        <w:tblPrEx>
          <w:tblCellMar>
            <w:left w:w="108" w:type="dxa"/>
            <w:right w:w="108" w:type="dxa"/>
          </w:tblCellMar>
        </w:tblPrEx>
        <w:trPr>
          <w:cantSplit/>
        </w:trPr>
        <w:tc>
          <w:tcPr>
            <w:tcW w:w="9360" w:type="dxa"/>
            <w:hideMark/>
          </w:tcPr>
          <w:p w14:paraId="74547982" w14:textId="32DC2D28" w:rsidR="00642AB4" w:rsidRDefault="003502D1" w:rsidP="004B37D4">
            <w:pPr>
              <w:spacing w:after="120"/>
              <w:rPr>
                <w:rFonts w:cs="Times New Roman"/>
                <w:sz w:val="16"/>
                <w:szCs w:val="16"/>
              </w:rPr>
            </w:pPr>
            <w:r>
              <w:rPr>
                <w:noProof/>
              </w:rPr>
              <w:drawing>
                <wp:inline distT="0" distB="0" distL="0" distR="0" wp14:anchorId="43BD18DE" wp14:editId="1C47FC5E">
                  <wp:extent cx="5430741" cy="3307743"/>
                  <wp:effectExtent l="0" t="0" r="17780" b="6350"/>
                  <wp:docPr id="26" name="Chart 26">
                    <a:extLst xmlns:a="http://schemas.openxmlformats.org/drawingml/2006/main">
                      <a:ext uri="{FF2B5EF4-FFF2-40B4-BE49-F238E27FC236}">
                        <a16:creationId xmlns:a16="http://schemas.microsoft.com/office/drawing/2014/main" id="{40D24180-300D-4768-91D1-90EEDC73B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A807CA" w14:paraId="0CDCEE80" w14:textId="77777777" w:rsidTr="004B37D4">
        <w:trPr>
          <w:cantSplit/>
        </w:trPr>
        <w:tc>
          <w:tcPr>
            <w:tcW w:w="9360" w:type="dxa"/>
            <w:tcMar>
              <w:top w:w="0" w:type="dxa"/>
              <w:left w:w="108" w:type="dxa"/>
              <w:bottom w:w="0" w:type="dxa"/>
              <w:right w:w="108" w:type="dxa"/>
            </w:tcMar>
            <w:hideMark/>
          </w:tcPr>
          <w:p w14:paraId="416F8DBF" w14:textId="77777777" w:rsidR="00A807CA" w:rsidRDefault="00A807CA" w:rsidP="004B37D4">
            <w:pPr>
              <w:widowControl w:val="0"/>
              <w:spacing w:after="0"/>
              <w:rPr>
                <w:rFonts w:cs="Times New Roman"/>
                <w:sz w:val="18"/>
                <w:szCs w:val="18"/>
              </w:rPr>
            </w:pPr>
            <w:r>
              <w:rPr>
                <w:rFonts w:cs="Times New Roman"/>
                <w:i/>
                <w:sz w:val="18"/>
                <w:szCs w:val="18"/>
              </w:rPr>
              <w:t xml:space="preserve">Source: </w:t>
            </w:r>
            <w:r>
              <w:rPr>
                <w:rFonts w:cs="Times New Roman"/>
                <w:sz w:val="18"/>
                <w:szCs w:val="18"/>
              </w:rPr>
              <w:t>Based on data of the 2017 Household Budget Survey, Statistics Mauritius.</w:t>
            </w:r>
          </w:p>
          <w:p w14:paraId="6F9D9EAB" w14:textId="77777777" w:rsidR="00A807CA" w:rsidRPr="00767FF8" w:rsidRDefault="00A807CA" w:rsidP="004B37D4">
            <w:pPr>
              <w:widowControl w:val="0"/>
              <w:spacing w:after="0"/>
              <w:rPr>
                <w:rFonts w:cs="Times New Roman"/>
                <w:sz w:val="18"/>
                <w:szCs w:val="18"/>
              </w:rPr>
            </w:pPr>
            <w:r>
              <w:rPr>
                <w:rFonts w:cs="Times New Roman"/>
                <w:i/>
                <w:sz w:val="18"/>
                <w:szCs w:val="18"/>
              </w:rPr>
              <w:t>Note:</w:t>
            </w:r>
            <w:r w:rsidRPr="00767FF8">
              <w:rPr>
                <w:rFonts w:cs="Times New Roman"/>
                <w:sz w:val="18"/>
                <w:szCs w:val="18"/>
              </w:rPr>
              <w:t xml:space="preserve"> Market inco</w:t>
            </w:r>
            <w:r w:rsidRPr="00793B42">
              <w:rPr>
                <w:rFonts w:cs="Times New Roman"/>
                <w:sz w:val="18"/>
                <w:szCs w:val="18"/>
              </w:rPr>
              <w:t>me plus pensions comprises pretax wages, salaries, income earned from capital assets (rent, interest, or dividends), contributory pensions, and private transfers.</w:t>
            </w:r>
          </w:p>
        </w:tc>
      </w:tr>
    </w:tbl>
    <w:p w14:paraId="2FE60074" w14:textId="7046041C" w:rsidR="002E6831" w:rsidRDefault="002E6831" w:rsidP="002E6831">
      <w:r>
        <w:br w:type="page"/>
      </w:r>
    </w:p>
    <w:p w14:paraId="06CC4874" w14:textId="227A86D9" w:rsidR="00E32F37" w:rsidRPr="00520C2C" w:rsidRDefault="00F20AE0" w:rsidP="00E32F37">
      <w:pPr>
        <w:pStyle w:val="Heading1"/>
        <w:numPr>
          <w:ilvl w:val="0"/>
          <w:numId w:val="2"/>
        </w:numPr>
        <w:rPr>
          <w:rFonts w:ascii="Times New Roman" w:hAnsi="Times New Roman" w:cs="Times New Roman"/>
        </w:rPr>
      </w:pPr>
      <w:bookmarkStart w:id="137" w:name="_Toc8812812"/>
      <w:bookmarkStart w:id="138" w:name="_Toc10824886"/>
      <w:bookmarkStart w:id="139" w:name="_Toc10824958"/>
      <w:r>
        <w:rPr>
          <w:rFonts w:ascii="Times New Roman" w:hAnsi="Times New Roman" w:cs="Times New Roman"/>
        </w:rPr>
        <w:t>A Microsimulation Tool for Policy Making</w:t>
      </w:r>
      <w:bookmarkEnd w:id="137"/>
      <w:bookmarkEnd w:id="138"/>
      <w:bookmarkEnd w:id="139"/>
    </w:p>
    <w:p w14:paraId="2D1B2F64" w14:textId="0A089F97" w:rsidR="00B91B58" w:rsidRPr="0030412A" w:rsidRDefault="003A3EC2" w:rsidP="0030412A">
      <w:r w:rsidRPr="00580658">
        <w:rPr>
          <w:b/>
        </w:rPr>
        <w:t xml:space="preserve">The analysis of the distributional impact of taxes and social spending </w:t>
      </w:r>
      <w:r w:rsidR="007B7D1D" w:rsidRPr="00580658">
        <w:rPr>
          <w:b/>
        </w:rPr>
        <w:t xml:space="preserve">provides a static view of the </w:t>
      </w:r>
      <w:r w:rsidR="00837BF1" w:rsidRPr="00580658">
        <w:rPr>
          <w:b/>
        </w:rPr>
        <w:t>system as captured at the time of collection of household survey data.</w:t>
      </w:r>
      <w:r w:rsidR="00837BF1">
        <w:t xml:space="preserve"> </w:t>
      </w:r>
      <w:r w:rsidR="00F3793C">
        <w:t>I</w:t>
      </w:r>
      <w:r w:rsidR="00837BF1">
        <w:t xml:space="preserve">n the case of </w:t>
      </w:r>
      <w:r w:rsidR="00F3793C">
        <w:t>Mauritius</w:t>
      </w:r>
      <w:r w:rsidR="00837BF1">
        <w:t xml:space="preserve">, this means taking a </w:t>
      </w:r>
      <w:r w:rsidR="00F3793C">
        <w:t>snapshot</w:t>
      </w:r>
      <w:r w:rsidR="00837BF1">
        <w:t xml:space="preserve"> of the fiscal </w:t>
      </w:r>
      <w:r w:rsidR="00F3793C">
        <w:t xml:space="preserve">system </w:t>
      </w:r>
      <w:r w:rsidR="00837BF1">
        <w:t>as of</w:t>
      </w:r>
      <w:r w:rsidR="00AD3702">
        <w:t xml:space="preserve"> 2017. However, it is possible to build </w:t>
      </w:r>
      <w:r w:rsidR="00F3793C">
        <w:t>a microsimulation</w:t>
      </w:r>
      <w:r w:rsidR="00AD3702">
        <w:t xml:space="preserve"> model </w:t>
      </w:r>
      <w:r w:rsidR="00F3793C">
        <w:t xml:space="preserve">that allows to assess ex-ante the </w:t>
      </w:r>
      <w:r w:rsidR="00DA3279">
        <w:t xml:space="preserve">distributional effect of changes in some of the parameters that characterize the net fiscal system. This section </w:t>
      </w:r>
      <w:r w:rsidR="00580658">
        <w:t>discusses</w:t>
      </w:r>
      <w:r w:rsidR="00DA3279">
        <w:t xml:space="preserve"> two </w:t>
      </w:r>
      <w:r w:rsidR="00786F05">
        <w:t>fiscal instruments</w:t>
      </w:r>
      <w:r w:rsidR="00F71DEE">
        <w:t xml:space="preserve"> that were </w:t>
      </w:r>
      <w:r w:rsidR="00580658">
        <w:t>phased</w:t>
      </w:r>
      <w:r w:rsidR="00F71DEE">
        <w:t xml:space="preserve"> in </w:t>
      </w:r>
      <w:r w:rsidR="00490D08">
        <w:t xml:space="preserve">over the course of </w:t>
      </w:r>
      <w:r w:rsidR="00F71DEE">
        <w:t xml:space="preserve">2017 and </w:t>
      </w:r>
      <w:r w:rsidR="00490D08">
        <w:t>therefore</w:t>
      </w:r>
      <w:r w:rsidR="00F71DEE">
        <w:t xml:space="preserve"> were not fully captured in the H</w:t>
      </w:r>
      <w:r w:rsidR="007A70F3">
        <w:t>BS</w:t>
      </w:r>
      <w:r w:rsidR="00F71DEE">
        <w:t xml:space="preserve">. </w:t>
      </w:r>
      <w:r w:rsidR="009752C3">
        <w:t>T</w:t>
      </w:r>
      <w:r w:rsidR="00F71DEE">
        <w:t xml:space="preserve">he first is </w:t>
      </w:r>
      <w:r w:rsidR="009752C3">
        <w:t xml:space="preserve">known as </w:t>
      </w:r>
      <w:r w:rsidR="00F71DEE">
        <w:t xml:space="preserve">the </w:t>
      </w:r>
      <w:r w:rsidR="00540299">
        <w:t xml:space="preserve">negative income tax allowance </w:t>
      </w:r>
      <w:r w:rsidR="00580658">
        <w:t xml:space="preserve">(NIT) </w:t>
      </w:r>
      <w:r w:rsidR="00F71DEE">
        <w:t xml:space="preserve">and the second is the </w:t>
      </w:r>
      <w:r w:rsidR="00BA120E">
        <w:t xml:space="preserve">empowerment scheme under the </w:t>
      </w:r>
      <w:r w:rsidR="00266D6D">
        <w:t xml:space="preserve">Marshall Plan </w:t>
      </w:r>
      <w:r w:rsidR="004C78C4">
        <w:t>Social Contract</w:t>
      </w:r>
      <w:r w:rsidR="00580658">
        <w:t>, which is</w:t>
      </w:r>
      <w:r w:rsidR="000065D6">
        <w:t xml:space="preserve"> </w:t>
      </w:r>
      <w:r w:rsidR="007334B2">
        <w:t>the main</w:t>
      </w:r>
      <w:r w:rsidR="00580658">
        <w:t xml:space="preserve"> targeted anti-poverty program.</w:t>
      </w:r>
    </w:p>
    <w:tbl>
      <w:tblPr>
        <w:tblStyle w:val="PlainTable2"/>
        <w:tblW w:w="7740" w:type="dxa"/>
        <w:tblLook w:val="04A0" w:firstRow="1" w:lastRow="0" w:firstColumn="1" w:lastColumn="0" w:noHBand="0" w:noVBand="1"/>
      </w:tblPr>
      <w:tblGrid>
        <w:gridCol w:w="4410"/>
        <w:gridCol w:w="3330"/>
      </w:tblGrid>
      <w:tr w:rsidR="00584F07" w:rsidRPr="00DA7D10" w14:paraId="7D949950" w14:textId="77777777" w:rsidTr="00AE7E4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40" w:type="dxa"/>
            <w:gridSpan w:val="2"/>
            <w:tcBorders>
              <w:top w:val="nil"/>
              <w:bottom w:val="single" w:sz="4" w:space="0" w:color="auto"/>
            </w:tcBorders>
            <w:noWrap/>
            <w:hideMark/>
          </w:tcPr>
          <w:p w14:paraId="628AB026" w14:textId="07DF0CEC" w:rsidR="00584F07" w:rsidRPr="00DA7D10" w:rsidRDefault="00584F07" w:rsidP="00AE7E4B">
            <w:bookmarkStart w:id="140" w:name="_Ref10716384"/>
            <w:bookmarkStart w:id="141" w:name="_Toc11255090"/>
            <w:r w:rsidRPr="00223267">
              <w:rPr>
                <w:sz w:val="18"/>
                <w:szCs w:val="18"/>
                <w:lang w:eastAsia="en-GB"/>
              </w:rPr>
              <w:t xml:space="preserve">Table </w:t>
            </w:r>
            <w:r w:rsidRPr="00223267">
              <w:rPr>
                <w:i/>
                <w:sz w:val="18"/>
                <w:szCs w:val="18"/>
                <w:lang w:eastAsia="en-GB"/>
              </w:rPr>
              <w:fldChar w:fldCharType="begin"/>
            </w:r>
            <w:r w:rsidRPr="00223267">
              <w:rPr>
                <w:sz w:val="18"/>
                <w:szCs w:val="18"/>
                <w:lang w:eastAsia="en-GB"/>
              </w:rPr>
              <w:instrText xml:space="preserve"> STYLEREF 1 \s </w:instrText>
            </w:r>
            <w:r w:rsidRPr="00223267">
              <w:rPr>
                <w:i/>
                <w:sz w:val="18"/>
                <w:szCs w:val="18"/>
                <w:lang w:eastAsia="en-GB"/>
              </w:rPr>
              <w:fldChar w:fldCharType="separate"/>
            </w:r>
            <w:r w:rsidR="00C37C80">
              <w:rPr>
                <w:noProof/>
                <w:sz w:val="18"/>
                <w:szCs w:val="18"/>
                <w:lang w:eastAsia="en-GB"/>
              </w:rPr>
              <w:t>5</w:t>
            </w:r>
            <w:r w:rsidRPr="00223267">
              <w:rPr>
                <w:i/>
                <w:sz w:val="18"/>
                <w:szCs w:val="18"/>
                <w:lang w:eastAsia="en-GB"/>
              </w:rPr>
              <w:fldChar w:fldCharType="end"/>
            </w:r>
            <w:r w:rsidRPr="00223267">
              <w:rPr>
                <w:sz w:val="18"/>
                <w:szCs w:val="18"/>
                <w:lang w:eastAsia="en-GB"/>
              </w:rPr>
              <w:t>.</w:t>
            </w:r>
            <w:r w:rsidRPr="00223267">
              <w:rPr>
                <w:i/>
                <w:sz w:val="18"/>
                <w:szCs w:val="18"/>
                <w:lang w:eastAsia="en-GB"/>
              </w:rPr>
              <w:fldChar w:fldCharType="begin"/>
            </w:r>
            <w:r w:rsidRPr="00223267">
              <w:rPr>
                <w:sz w:val="18"/>
                <w:szCs w:val="18"/>
                <w:lang w:eastAsia="en-GB"/>
              </w:rPr>
              <w:instrText xml:space="preserve"> SEQ Table \* ARABIC \s 1 </w:instrText>
            </w:r>
            <w:r w:rsidRPr="00223267">
              <w:rPr>
                <w:i/>
                <w:sz w:val="18"/>
                <w:szCs w:val="18"/>
                <w:lang w:eastAsia="en-GB"/>
              </w:rPr>
              <w:fldChar w:fldCharType="separate"/>
            </w:r>
            <w:r w:rsidR="00C37C80">
              <w:rPr>
                <w:noProof/>
                <w:sz w:val="18"/>
                <w:szCs w:val="18"/>
                <w:lang w:eastAsia="en-GB"/>
              </w:rPr>
              <w:t>1</w:t>
            </w:r>
            <w:r w:rsidRPr="00223267">
              <w:rPr>
                <w:i/>
                <w:sz w:val="18"/>
                <w:szCs w:val="18"/>
                <w:lang w:eastAsia="en-GB"/>
              </w:rPr>
              <w:fldChar w:fldCharType="end"/>
            </w:r>
            <w:bookmarkEnd w:id="140"/>
            <w:r w:rsidRPr="00223267">
              <w:rPr>
                <w:sz w:val="18"/>
                <w:szCs w:val="18"/>
                <w:lang w:eastAsia="en-GB"/>
              </w:rPr>
              <w:t xml:space="preserve"> </w:t>
            </w:r>
            <w:r>
              <w:rPr>
                <w:sz w:val="18"/>
                <w:szCs w:val="18"/>
                <w:lang w:eastAsia="en-GB"/>
              </w:rPr>
              <w:t xml:space="preserve">Negative Income Tax Allowance and </w:t>
            </w:r>
            <w:r w:rsidR="008338E4">
              <w:rPr>
                <w:sz w:val="18"/>
                <w:szCs w:val="18"/>
                <w:lang w:eastAsia="en-GB"/>
              </w:rPr>
              <w:t>Monthly Salary Thresholds</w:t>
            </w:r>
            <w:bookmarkEnd w:id="141"/>
          </w:p>
        </w:tc>
      </w:tr>
      <w:tr w:rsidR="00584F07" w:rsidRPr="00DA7D10" w14:paraId="09BD5DDD" w14:textId="77777777" w:rsidTr="00AE7E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tcBorders>
            <w:noWrap/>
            <w:hideMark/>
          </w:tcPr>
          <w:p w14:paraId="48CA8766" w14:textId="42B87E5A" w:rsidR="00584F07" w:rsidRPr="00DA7D10" w:rsidRDefault="00584F07" w:rsidP="00AE7E4B">
            <w:pPr>
              <w:jc w:val="left"/>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Basic salary</w:t>
            </w:r>
            <w:r w:rsidR="00DE5B9E">
              <w:rPr>
                <w:rFonts w:asciiTheme="majorHAnsi" w:eastAsia="Times New Roman" w:hAnsiTheme="majorHAnsi" w:cstheme="majorHAnsi"/>
                <w:color w:val="000000"/>
                <w:sz w:val="18"/>
                <w:szCs w:val="18"/>
              </w:rPr>
              <w:t xml:space="preserve"> thresholds</w:t>
            </w:r>
            <w:r>
              <w:rPr>
                <w:rFonts w:asciiTheme="majorHAnsi" w:eastAsia="Times New Roman" w:hAnsiTheme="majorHAnsi" w:cstheme="majorHAnsi"/>
                <w:color w:val="000000"/>
                <w:sz w:val="18"/>
                <w:szCs w:val="18"/>
              </w:rPr>
              <w:t xml:space="preserve"> (</w:t>
            </w:r>
            <w:r w:rsidR="00C11058">
              <w:rPr>
                <w:rFonts w:asciiTheme="majorHAnsi" w:eastAsia="Times New Roman" w:hAnsiTheme="majorHAnsi" w:cstheme="majorHAnsi"/>
                <w:color w:val="000000"/>
                <w:sz w:val="18"/>
                <w:szCs w:val="18"/>
              </w:rPr>
              <w:t>MUR</w:t>
            </w:r>
            <w:r>
              <w:rPr>
                <w:rFonts w:asciiTheme="majorHAnsi" w:eastAsia="Times New Roman" w:hAnsiTheme="majorHAnsi" w:cstheme="majorHAnsi"/>
                <w:color w:val="000000"/>
                <w:sz w:val="18"/>
                <w:szCs w:val="18"/>
              </w:rPr>
              <w:t>)</w:t>
            </w:r>
          </w:p>
        </w:tc>
        <w:tc>
          <w:tcPr>
            <w:tcW w:w="3330" w:type="dxa"/>
            <w:tcBorders>
              <w:top w:val="single" w:sz="4" w:space="0" w:color="auto"/>
            </w:tcBorders>
            <w:noWrap/>
            <w:hideMark/>
          </w:tcPr>
          <w:p w14:paraId="1CB93F48" w14:textId="77777777" w:rsidR="00584F07" w:rsidRPr="00DA7D10" w:rsidRDefault="00584F07" w:rsidP="00AE7E4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rPr>
            </w:pPr>
            <w:r w:rsidRPr="00DA7D10">
              <w:rPr>
                <w:rFonts w:asciiTheme="majorHAnsi" w:eastAsia="Times New Roman" w:hAnsiTheme="majorHAnsi" w:cstheme="majorHAnsi"/>
                <w:b/>
                <w:bCs/>
                <w:color w:val="000000"/>
                <w:sz w:val="18"/>
                <w:szCs w:val="18"/>
              </w:rPr>
              <w:t>Monthly Allowance</w:t>
            </w:r>
          </w:p>
        </w:tc>
      </w:tr>
      <w:tr w:rsidR="00584F07" w:rsidRPr="00DA7D10" w14:paraId="3DDD1743" w14:textId="77777777" w:rsidTr="00AE7E4B">
        <w:trPr>
          <w:trHeight w:val="315"/>
        </w:trPr>
        <w:tc>
          <w:tcPr>
            <w:cnfStyle w:val="001000000000" w:firstRow="0" w:lastRow="0" w:firstColumn="1" w:lastColumn="0" w:oddVBand="0" w:evenVBand="0" w:oddHBand="0" w:evenHBand="0" w:firstRowFirstColumn="0" w:firstRowLastColumn="0" w:lastRowFirstColumn="0" w:lastRowLastColumn="0"/>
            <w:tcW w:w="4410" w:type="dxa"/>
            <w:tcBorders>
              <w:bottom w:val="nil"/>
            </w:tcBorders>
            <w:noWrap/>
            <w:hideMark/>
          </w:tcPr>
          <w:p w14:paraId="40C69D4F" w14:textId="77777777" w:rsidR="00584F07" w:rsidRPr="00DA7D10" w:rsidRDefault="00584F07" w:rsidP="00AE7E4B">
            <w:pPr>
              <w:jc w:val="left"/>
              <w:rPr>
                <w:rFonts w:asciiTheme="majorHAnsi" w:eastAsia="Times New Roman" w:hAnsiTheme="majorHAnsi" w:cstheme="majorHAnsi"/>
                <w:b w:val="0"/>
                <w:color w:val="000000"/>
                <w:sz w:val="18"/>
                <w:szCs w:val="18"/>
              </w:rPr>
            </w:pPr>
            <w:r w:rsidRPr="00DA7D10">
              <w:rPr>
                <w:rFonts w:asciiTheme="majorHAnsi" w:eastAsia="Times New Roman" w:hAnsiTheme="majorHAnsi" w:cstheme="majorHAnsi"/>
                <w:b w:val="0"/>
                <w:color w:val="000000"/>
                <w:sz w:val="18"/>
                <w:szCs w:val="18"/>
              </w:rPr>
              <w:t>Less than or equal to 5000</w:t>
            </w:r>
          </w:p>
        </w:tc>
        <w:tc>
          <w:tcPr>
            <w:tcW w:w="3330" w:type="dxa"/>
            <w:tcBorders>
              <w:bottom w:val="nil"/>
            </w:tcBorders>
            <w:noWrap/>
            <w:hideMark/>
          </w:tcPr>
          <w:p w14:paraId="1E8DB81E" w14:textId="77777777" w:rsidR="00584F07" w:rsidRPr="00DA7D10" w:rsidRDefault="00584F07"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1,000</w:t>
            </w:r>
          </w:p>
        </w:tc>
      </w:tr>
      <w:tr w:rsidR="00584F07" w:rsidRPr="00DA7D10" w14:paraId="7FFF5259" w14:textId="77777777" w:rsidTr="00AE7E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il"/>
              <w:bottom w:val="nil"/>
            </w:tcBorders>
            <w:noWrap/>
            <w:hideMark/>
          </w:tcPr>
          <w:p w14:paraId="65D2404D" w14:textId="77777777" w:rsidR="00584F07" w:rsidRPr="00DA7D10" w:rsidRDefault="00584F07" w:rsidP="00AE7E4B">
            <w:pPr>
              <w:jc w:val="left"/>
              <w:rPr>
                <w:rFonts w:asciiTheme="majorHAnsi" w:eastAsia="Times New Roman" w:hAnsiTheme="majorHAnsi" w:cstheme="majorHAnsi"/>
                <w:b w:val="0"/>
                <w:color w:val="000000"/>
                <w:sz w:val="18"/>
                <w:szCs w:val="18"/>
              </w:rPr>
            </w:pPr>
            <w:r w:rsidRPr="00DA7D10">
              <w:rPr>
                <w:rFonts w:asciiTheme="majorHAnsi" w:eastAsia="Times New Roman" w:hAnsiTheme="majorHAnsi" w:cstheme="majorHAnsi"/>
                <w:b w:val="0"/>
                <w:color w:val="000000"/>
                <w:sz w:val="18"/>
                <w:szCs w:val="18"/>
              </w:rPr>
              <w:t>Between 5001 and 7000</w:t>
            </w:r>
          </w:p>
        </w:tc>
        <w:tc>
          <w:tcPr>
            <w:tcW w:w="3330" w:type="dxa"/>
            <w:tcBorders>
              <w:top w:val="nil"/>
              <w:bottom w:val="nil"/>
            </w:tcBorders>
            <w:noWrap/>
            <w:hideMark/>
          </w:tcPr>
          <w:p w14:paraId="4DF9B771" w14:textId="77777777" w:rsidR="00584F07" w:rsidRPr="00DA7D10" w:rsidRDefault="00584F07" w:rsidP="00AE7E4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800</w:t>
            </w:r>
          </w:p>
        </w:tc>
      </w:tr>
      <w:tr w:rsidR="00584F07" w:rsidRPr="00DA7D10" w14:paraId="64AB060F" w14:textId="77777777" w:rsidTr="00AE7E4B">
        <w:trPr>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il"/>
              <w:bottom w:val="nil"/>
            </w:tcBorders>
            <w:noWrap/>
            <w:hideMark/>
          </w:tcPr>
          <w:p w14:paraId="01071A8B" w14:textId="77777777" w:rsidR="00584F07" w:rsidRPr="00DA7D10" w:rsidRDefault="00584F07" w:rsidP="00AE7E4B">
            <w:pPr>
              <w:jc w:val="left"/>
              <w:rPr>
                <w:rFonts w:asciiTheme="majorHAnsi" w:eastAsia="Times New Roman" w:hAnsiTheme="majorHAnsi" w:cstheme="majorHAnsi"/>
                <w:b w:val="0"/>
                <w:color w:val="000000"/>
                <w:sz w:val="18"/>
                <w:szCs w:val="18"/>
              </w:rPr>
            </w:pPr>
            <w:r w:rsidRPr="00DA7D10">
              <w:rPr>
                <w:rFonts w:asciiTheme="majorHAnsi" w:eastAsia="Times New Roman" w:hAnsiTheme="majorHAnsi" w:cstheme="majorHAnsi"/>
                <w:b w:val="0"/>
                <w:color w:val="000000"/>
                <w:sz w:val="18"/>
                <w:szCs w:val="18"/>
              </w:rPr>
              <w:t>Between 7001 and 9000</w:t>
            </w:r>
          </w:p>
        </w:tc>
        <w:tc>
          <w:tcPr>
            <w:tcW w:w="3330" w:type="dxa"/>
            <w:tcBorders>
              <w:top w:val="nil"/>
              <w:bottom w:val="nil"/>
            </w:tcBorders>
            <w:noWrap/>
            <w:hideMark/>
          </w:tcPr>
          <w:p w14:paraId="089203DE" w14:textId="77777777" w:rsidR="00584F07" w:rsidRPr="00DA7D10" w:rsidRDefault="00584F07"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500</w:t>
            </w:r>
          </w:p>
        </w:tc>
      </w:tr>
      <w:tr w:rsidR="00584F07" w:rsidRPr="00DA7D10" w14:paraId="78DD8CD7" w14:textId="77777777" w:rsidTr="00AE7E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il"/>
              <w:bottom w:val="nil"/>
            </w:tcBorders>
            <w:noWrap/>
            <w:hideMark/>
          </w:tcPr>
          <w:p w14:paraId="10144B73" w14:textId="77777777" w:rsidR="00584F07" w:rsidRPr="00DA7D10" w:rsidRDefault="00584F07" w:rsidP="00AE7E4B">
            <w:pPr>
              <w:jc w:val="left"/>
              <w:rPr>
                <w:rFonts w:asciiTheme="majorHAnsi" w:eastAsia="Times New Roman" w:hAnsiTheme="majorHAnsi" w:cstheme="majorHAnsi"/>
                <w:b w:val="0"/>
                <w:color w:val="000000"/>
                <w:sz w:val="18"/>
                <w:szCs w:val="18"/>
              </w:rPr>
            </w:pPr>
            <w:r w:rsidRPr="00DA7D10">
              <w:rPr>
                <w:rFonts w:asciiTheme="majorHAnsi" w:eastAsia="Times New Roman" w:hAnsiTheme="majorHAnsi" w:cstheme="majorHAnsi"/>
                <w:b w:val="0"/>
                <w:color w:val="000000"/>
                <w:sz w:val="18"/>
                <w:szCs w:val="18"/>
              </w:rPr>
              <w:t>Between 9001 and 9750</w:t>
            </w:r>
          </w:p>
        </w:tc>
        <w:tc>
          <w:tcPr>
            <w:tcW w:w="3330" w:type="dxa"/>
            <w:tcBorders>
              <w:top w:val="nil"/>
              <w:bottom w:val="nil"/>
            </w:tcBorders>
            <w:noWrap/>
            <w:hideMark/>
          </w:tcPr>
          <w:p w14:paraId="759F3C69" w14:textId="77777777" w:rsidR="00584F07" w:rsidRPr="00DA7D10" w:rsidRDefault="00584F07" w:rsidP="00AE7E4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250</w:t>
            </w:r>
          </w:p>
        </w:tc>
      </w:tr>
      <w:tr w:rsidR="00584F07" w:rsidRPr="00DA7D10" w14:paraId="068D8345" w14:textId="77777777" w:rsidTr="00AE7E4B">
        <w:trPr>
          <w:trHeight w:val="315"/>
        </w:trPr>
        <w:tc>
          <w:tcPr>
            <w:cnfStyle w:val="001000000000" w:firstRow="0" w:lastRow="0" w:firstColumn="1" w:lastColumn="0" w:oddVBand="0" w:evenVBand="0" w:oddHBand="0" w:evenHBand="0" w:firstRowFirstColumn="0" w:firstRowLastColumn="0" w:lastRowFirstColumn="0" w:lastRowLastColumn="0"/>
            <w:tcW w:w="4410" w:type="dxa"/>
            <w:tcBorders>
              <w:top w:val="nil"/>
              <w:bottom w:val="single" w:sz="4" w:space="0" w:color="auto"/>
            </w:tcBorders>
            <w:noWrap/>
            <w:hideMark/>
          </w:tcPr>
          <w:p w14:paraId="66710851" w14:textId="77777777" w:rsidR="00584F07" w:rsidRPr="00DA7D10" w:rsidRDefault="00584F07" w:rsidP="00AE7E4B">
            <w:pPr>
              <w:jc w:val="left"/>
              <w:rPr>
                <w:rFonts w:asciiTheme="majorHAnsi" w:eastAsia="Times New Roman" w:hAnsiTheme="majorHAnsi" w:cstheme="majorHAnsi"/>
                <w:b w:val="0"/>
                <w:color w:val="000000"/>
                <w:sz w:val="18"/>
                <w:szCs w:val="18"/>
              </w:rPr>
            </w:pPr>
            <w:r w:rsidRPr="00DA7D10">
              <w:rPr>
                <w:rFonts w:asciiTheme="majorHAnsi" w:eastAsia="Times New Roman" w:hAnsiTheme="majorHAnsi" w:cstheme="majorHAnsi"/>
                <w:b w:val="0"/>
                <w:color w:val="000000"/>
                <w:sz w:val="18"/>
                <w:szCs w:val="18"/>
              </w:rPr>
              <w:t>Between 9741 and 9900</w:t>
            </w:r>
          </w:p>
        </w:tc>
        <w:tc>
          <w:tcPr>
            <w:tcW w:w="3330" w:type="dxa"/>
            <w:tcBorders>
              <w:top w:val="nil"/>
              <w:bottom w:val="single" w:sz="4" w:space="0" w:color="auto"/>
            </w:tcBorders>
            <w:noWrap/>
            <w:hideMark/>
          </w:tcPr>
          <w:p w14:paraId="19590124" w14:textId="77777777" w:rsidR="00584F07" w:rsidRPr="00DA7D10" w:rsidRDefault="00584F07"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DA7D10">
              <w:rPr>
                <w:rFonts w:asciiTheme="majorHAnsi" w:eastAsia="Times New Roman" w:hAnsiTheme="majorHAnsi" w:cstheme="majorHAnsi"/>
                <w:color w:val="000000"/>
                <w:sz w:val="18"/>
                <w:szCs w:val="18"/>
              </w:rPr>
              <w:t>100</w:t>
            </w:r>
          </w:p>
        </w:tc>
      </w:tr>
      <w:tr w:rsidR="00584F07" w:rsidRPr="00DA7D10" w14:paraId="625ECC7A" w14:textId="77777777" w:rsidTr="00AE7E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40" w:type="dxa"/>
            <w:gridSpan w:val="2"/>
            <w:tcBorders>
              <w:top w:val="single" w:sz="4" w:space="0" w:color="auto"/>
              <w:bottom w:val="nil"/>
            </w:tcBorders>
            <w:noWrap/>
            <w:hideMark/>
          </w:tcPr>
          <w:p w14:paraId="7DF1A296" w14:textId="375B98E5" w:rsidR="00584F07" w:rsidRPr="005F37D8" w:rsidRDefault="00584F07" w:rsidP="00AE7E4B">
            <w:pPr>
              <w:rPr>
                <w:b w:val="0"/>
                <w:sz w:val="18"/>
                <w:szCs w:val="18"/>
              </w:rPr>
            </w:pPr>
            <w:r w:rsidRPr="005F37D8">
              <w:rPr>
                <w:b w:val="0"/>
                <w:i/>
                <w:sz w:val="18"/>
                <w:szCs w:val="18"/>
              </w:rPr>
              <w:t>Note</w:t>
            </w:r>
            <w:r w:rsidRPr="005F37D8">
              <w:rPr>
                <w:b w:val="0"/>
                <w:sz w:val="18"/>
                <w:szCs w:val="18"/>
              </w:rPr>
              <w:t xml:space="preserve">: Eligibility Conditions: (i) Mauritian citizen; (ii) employee with basic salary is less than or equal to </w:t>
            </w:r>
            <w:r w:rsidR="00C11058">
              <w:rPr>
                <w:b w:val="0"/>
                <w:sz w:val="18"/>
                <w:szCs w:val="18"/>
              </w:rPr>
              <w:t>MUR</w:t>
            </w:r>
            <w:r w:rsidRPr="005F37D8">
              <w:rPr>
                <w:b w:val="0"/>
                <w:sz w:val="18"/>
                <w:szCs w:val="18"/>
              </w:rPr>
              <w:t xml:space="preserve"> 9,900 per month, conditional on having total monthly earnings (excluding travelling) below </w:t>
            </w:r>
            <w:r w:rsidR="00C11058">
              <w:rPr>
                <w:b w:val="0"/>
                <w:sz w:val="18"/>
                <w:szCs w:val="18"/>
              </w:rPr>
              <w:t>MUR</w:t>
            </w:r>
            <w:r w:rsidRPr="005F37D8">
              <w:rPr>
                <w:b w:val="0"/>
                <w:sz w:val="18"/>
                <w:szCs w:val="18"/>
              </w:rPr>
              <w:t xml:space="preserve"> 20,000; (iii) if married, the net income of the employee’s spouse should not exceed </w:t>
            </w:r>
            <w:r w:rsidR="00C11058">
              <w:rPr>
                <w:b w:val="0"/>
                <w:sz w:val="18"/>
                <w:szCs w:val="18"/>
              </w:rPr>
              <w:t>MUR</w:t>
            </w:r>
            <w:r w:rsidRPr="005F37D8">
              <w:rPr>
                <w:b w:val="0"/>
                <w:sz w:val="18"/>
                <w:szCs w:val="18"/>
              </w:rPr>
              <w:t xml:space="preserve"> 390,000 in the year; (iv) employee working for a minimum of 24 hours in a week over at least 3 days; (v) employee whose employer has paid contributions on his behalf to the </w:t>
            </w:r>
            <w:r w:rsidR="008536B2">
              <w:rPr>
                <w:b w:val="0"/>
                <w:sz w:val="18"/>
                <w:szCs w:val="18"/>
              </w:rPr>
              <w:t>National Pensions Fund</w:t>
            </w:r>
            <w:r w:rsidRPr="005F37D8">
              <w:rPr>
                <w:b w:val="0"/>
                <w:sz w:val="18"/>
                <w:szCs w:val="18"/>
              </w:rPr>
              <w:t xml:space="preserve"> and the </w:t>
            </w:r>
            <w:r w:rsidR="00D256CF" w:rsidRPr="00D256CF">
              <w:rPr>
                <w:b w:val="0"/>
                <w:sz w:val="18"/>
                <w:szCs w:val="18"/>
              </w:rPr>
              <w:t>National Savings Fund</w:t>
            </w:r>
            <w:r w:rsidRPr="005F37D8">
              <w:rPr>
                <w:b w:val="0"/>
                <w:sz w:val="18"/>
                <w:szCs w:val="18"/>
              </w:rPr>
              <w:t xml:space="preserve"> in respect of the month for which NIT is being claimed.</w:t>
            </w:r>
          </w:p>
          <w:p w14:paraId="39F7615C" w14:textId="77777777" w:rsidR="00584F07" w:rsidRPr="00DA7D10" w:rsidRDefault="00584F07" w:rsidP="00AE7E4B">
            <w:pPr>
              <w:jc w:val="left"/>
              <w:rPr>
                <w:rFonts w:asciiTheme="majorHAnsi" w:eastAsia="Times New Roman" w:hAnsiTheme="majorHAnsi" w:cstheme="majorHAnsi"/>
                <w:sz w:val="18"/>
                <w:szCs w:val="18"/>
              </w:rPr>
            </w:pPr>
          </w:p>
        </w:tc>
      </w:tr>
    </w:tbl>
    <w:p w14:paraId="2EEC15A9" w14:textId="77777777" w:rsidR="005F37D8" w:rsidRDefault="005F37D8" w:rsidP="0028139B"/>
    <w:tbl>
      <w:tblPr>
        <w:tblW w:w="9360" w:type="dxa"/>
        <w:tblLayout w:type="fixed"/>
        <w:tblCellMar>
          <w:left w:w="0" w:type="dxa"/>
          <w:right w:w="0" w:type="dxa"/>
        </w:tblCellMar>
        <w:tblLook w:val="04A0" w:firstRow="1" w:lastRow="0" w:firstColumn="1" w:lastColumn="0" w:noHBand="0" w:noVBand="1"/>
      </w:tblPr>
      <w:tblGrid>
        <w:gridCol w:w="9360"/>
      </w:tblGrid>
      <w:tr w:rsidR="00652918" w:rsidRPr="001E6C40" w14:paraId="32E98488" w14:textId="77777777" w:rsidTr="004B37D4">
        <w:trPr>
          <w:cantSplit/>
        </w:trPr>
        <w:tc>
          <w:tcPr>
            <w:tcW w:w="9360" w:type="dxa"/>
            <w:hideMark/>
          </w:tcPr>
          <w:p w14:paraId="24E2FBFB" w14:textId="7A3AD4A5" w:rsidR="00652918" w:rsidRPr="009B2F93" w:rsidRDefault="00652918" w:rsidP="004B37D4">
            <w:pPr>
              <w:autoSpaceDE w:val="0"/>
              <w:autoSpaceDN w:val="0"/>
              <w:adjustRightInd w:val="0"/>
              <w:spacing w:after="0" w:line="240" w:lineRule="auto"/>
              <w:jc w:val="left"/>
              <w:rPr>
                <w:b/>
                <w:sz w:val="18"/>
                <w:szCs w:val="18"/>
                <w:lang w:eastAsia="en-GB"/>
              </w:rPr>
            </w:pPr>
            <w:bookmarkStart w:id="142" w:name="_Ref8668720"/>
            <w:bookmarkStart w:id="143" w:name="_Toc11255082"/>
            <w:r w:rsidRPr="001E6C40">
              <w:rPr>
                <w:b/>
                <w:sz w:val="18"/>
                <w:szCs w:val="18"/>
                <w:lang w:eastAsia="en-GB"/>
              </w:rPr>
              <w:t xml:space="preserve">Figure </w:t>
            </w:r>
            <w:r>
              <w:rPr>
                <w:b/>
                <w:sz w:val="18"/>
                <w:szCs w:val="18"/>
                <w:lang w:eastAsia="en-GB"/>
              </w:rPr>
              <w:fldChar w:fldCharType="begin"/>
            </w:r>
            <w:r>
              <w:rPr>
                <w:b/>
                <w:sz w:val="18"/>
                <w:szCs w:val="18"/>
                <w:lang w:eastAsia="en-GB"/>
              </w:rPr>
              <w:instrText xml:space="preserve"> STYLEREF 1 \s </w:instrText>
            </w:r>
            <w:r>
              <w:rPr>
                <w:b/>
                <w:sz w:val="18"/>
                <w:szCs w:val="18"/>
                <w:lang w:eastAsia="en-GB"/>
              </w:rPr>
              <w:fldChar w:fldCharType="separate"/>
            </w:r>
            <w:r w:rsidR="00C37C80">
              <w:rPr>
                <w:b/>
                <w:noProof/>
                <w:sz w:val="18"/>
                <w:szCs w:val="18"/>
                <w:lang w:eastAsia="en-GB"/>
              </w:rPr>
              <w:t>5</w:t>
            </w:r>
            <w:r>
              <w:rPr>
                <w:b/>
                <w:sz w:val="18"/>
                <w:szCs w:val="18"/>
                <w:lang w:eastAsia="en-GB"/>
              </w:rPr>
              <w:fldChar w:fldCharType="end"/>
            </w:r>
            <w:r>
              <w:rPr>
                <w:b/>
                <w:sz w:val="18"/>
                <w:szCs w:val="18"/>
                <w:lang w:eastAsia="en-GB"/>
              </w:rPr>
              <w:t>.</w:t>
            </w:r>
            <w:r>
              <w:rPr>
                <w:b/>
                <w:sz w:val="18"/>
                <w:szCs w:val="18"/>
                <w:lang w:eastAsia="en-GB"/>
              </w:rPr>
              <w:fldChar w:fldCharType="begin"/>
            </w:r>
            <w:r>
              <w:rPr>
                <w:b/>
                <w:sz w:val="18"/>
                <w:szCs w:val="18"/>
                <w:lang w:eastAsia="en-GB"/>
              </w:rPr>
              <w:instrText xml:space="preserve"> SEQ Figure \* ARABIC \s 1 </w:instrText>
            </w:r>
            <w:r>
              <w:rPr>
                <w:b/>
                <w:sz w:val="18"/>
                <w:szCs w:val="18"/>
                <w:lang w:eastAsia="en-GB"/>
              </w:rPr>
              <w:fldChar w:fldCharType="separate"/>
            </w:r>
            <w:r w:rsidR="00C37C80">
              <w:rPr>
                <w:b/>
                <w:noProof/>
                <w:sz w:val="18"/>
                <w:szCs w:val="18"/>
                <w:lang w:eastAsia="en-GB"/>
              </w:rPr>
              <w:t>1</w:t>
            </w:r>
            <w:r>
              <w:rPr>
                <w:b/>
                <w:sz w:val="18"/>
                <w:szCs w:val="18"/>
                <w:lang w:eastAsia="en-GB"/>
              </w:rPr>
              <w:fldChar w:fldCharType="end"/>
            </w:r>
            <w:bookmarkEnd w:id="142"/>
            <w:r w:rsidRPr="001E6C40">
              <w:rPr>
                <w:b/>
                <w:sz w:val="18"/>
                <w:szCs w:val="18"/>
                <w:lang w:eastAsia="en-GB"/>
              </w:rPr>
              <w:t xml:space="preserve">. </w:t>
            </w:r>
            <w:r w:rsidRPr="009B2F93">
              <w:rPr>
                <w:b/>
                <w:sz w:val="18"/>
                <w:szCs w:val="18"/>
                <w:lang w:eastAsia="en-GB"/>
              </w:rPr>
              <w:t>I</w:t>
            </w:r>
            <w:r w:rsidR="006C6308">
              <w:rPr>
                <w:b/>
                <w:sz w:val="18"/>
                <w:szCs w:val="18"/>
                <w:lang w:eastAsia="en-GB"/>
              </w:rPr>
              <w:t>mplementation of the Marshall Plan Social Contract</w:t>
            </w:r>
            <w:bookmarkEnd w:id="143"/>
          </w:p>
        </w:tc>
      </w:tr>
      <w:tr w:rsidR="00652918" w14:paraId="3E617075" w14:textId="77777777" w:rsidTr="004B37D4">
        <w:tblPrEx>
          <w:tblCellMar>
            <w:left w:w="108" w:type="dxa"/>
            <w:right w:w="108" w:type="dxa"/>
          </w:tblCellMar>
        </w:tblPrEx>
        <w:trPr>
          <w:cantSplit/>
        </w:trPr>
        <w:tc>
          <w:tcPr>
            <w:tcW w:w="9360" w:type="dxa"/>
            <w:hideMark/>
          </w:tcPr>
          <w:p w14:paraId="438E1FA9" w14:textId="77777777" w:rsidR="00652918" w:rsidRDefault="00652918" w:rsidP="004B37D4">
            <w:pPr>
              <w:spacing w:after="120"/>
              <w:rPr>
                <w:rFonts w:cs="Times New Roman"/>
                <w:sz w:val="16"/>
                <w:szCs w:val="16"/>
              </w:rPr>
            </w:pPr>
            <w:r>
              <w:rPr>
                <w:rFonts w:cs="Times New Roman"/>
                <w:noProof/>
                <w:sz w:val="16"/>
                <w:szCs w:val="16"/>
              </w:rPr>
              <w:drawing>
                <wp:inline distT="0" distB="0" distL="0" distR="0" wp14:anchorId="091C3D62" wp14:editId="38D644C7">
                  <wp:extent cx="3264408" cy="2350008"/>
                  <wp:effectExtent l="0" t="0" r="0" b="0"/>
                  <wp:docPr id="10" name="Picture 1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S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64408" cy="2350008"/>
                          </a:xfrm>
                          <a:prstGeom prst="rect">
                            <a:avLst/>
                          </a:prstGeom>
                        </pic:spPr>
                      </pic:pic>
                    </a:graphicData>
                  </a:graphic>
                </wp:inline>
              </w:drawing>
            </w:r>
          </w:p>
        </w:tc>
      </w:tr>
      <w:tr w:rsidR="00652918" w14:paraId="73C935A7" w14:textId="77777777" w:rsidTr="004B37D4">
        <w:trPr>
          <w:cantSplit/>
        </w:trPr>
        <w:tc>
          <w:tcPr>
            <w:tcW w:w="9360" w:type="dxa"/>
            <w:tcMar>
              <w:top w:w="0" w:type="dxa"/>
              <w:left w:w="108" w:type="dxa"/>
              <w:bottom w:w="0" w:type="dxa"/>
              <w:right w:w="108" w:type="dxa"/>
            </w:tcMar>
            <w:hideMark/>
          </w:tcPr>
          <w:p w14:paraId="3B241F15" w14:textId="77777777" w:rsidR="00652918" w:rsidRPr="00767FF8" w:rsidRDefault="00652918" w:rsidP="004B37D4">
            <w:pPr>
              <w:autoSpaceDE w:val="0"/>
              <w:autoSpaceDN w:val="0"/>
              <w:adjustRightInd w:val="0"/>
              <w:spacing w:after="0" w:line="240" w:lineRule="auto"/>
              <w:jc w:val="left"/>
              <w:rPr>
                <w:rFonts w:cs="Times New Roman"/>
                <w:sz w:val="18"/>
                <w:szCs w:val="18"/>
              </w:rPr>
            </w:pPr>
            <w:r>
              <w:rPr>
                <w:rFonts w:cs="Times New Roman"/>
                <w:i/>
                <w:sz w:val="18"/>
                <w:szCs w:val="18"/>
              </w:rPr>
              <w:t xml:space="preserve">Source: </w:t>
            </w:r>
            <w:r>
              <w:rPr>
                <w:rFonts w:cs="Times New Roman"/>
                <w:sz w:val="18"/>
                <w:szCs w:val="18"/>
              </w:rPr>
              <w:t>“</w:t>
            </w:r>
            <w:r w:rsidRPr="00405BF6">
              <w:rPr>
                <w:rFonts w:cs="Times New Roman"/>
                <w:sz w:val="18"/>
                <w:szCs w:val="18"/>
              </w:rPr>
              <w:t>An overview of UNDP-supported anti-poverty</w:t>
            </w:r>
            <w:r>
              <w:rPr>
                <w:rFonts w:cs="Times New Roman"/>
                <w:sz w:val="18"/>
                <w:szCs w:val="18"/>
              </w:rPr>
              <w:t xml:space="preserve"> </w:t>
            </w:r>
            <w:r w:rsidRPr="00405BF6">
              <w:rPr>
                <w:rFonts w:cs="Times New Roman"/>
                <w:sz w:val="18"/>
                <w:szCs w:val="18"/>
              </w:rPr>
              <w:t>reforms in Mauritius</w:t>
            </w:r>
            <w:r>
              <w:rPr>
                <w:rFonts w:cs="Times New Roman"/>
                <w:sz w:val="18"/>
                <w:szCs w:val="18"/>
              </w:rPr>
              <w:t>”, UNDP.</w:t>
            </w:r>
          </w:p>
        </w:tc>
      </w:tr>
    </w:tbl>
    <w:p w14:paraId="63277F28" w14:textId="77777777" w:rsidR="00652918" w:rsidRDefault="00652918" w:rsidP="0028139B"/>
    <w:p w14:paraId="158F5DC9" w14:textId="6E705FE4" w:rsidR="002300EE" w:rsidRDefault="0030412A" w:rsidP="0030412A">
      <w:pPr>
        <w:autoSpaceDE w:val="0"/>
        <w:autoSpaceDN w:val="0"/>
        <w:adjustRightInd w:val="0"/>
      </w:pPr>
      <w:r w:rsidRPr="005E406E">
        <w:rPr>
          <w:b/>
        </w:rPr>
        <w:t xml:space="preserve">Two fiscal instruments have been recently introduced: the </w:t>
      </w:r>
      <w:r w:rsidR="008338E4">
        <w:rPr>
          <w:b/>
        </w:rPr>
        <w:t xml:space="preserve">NIT </w:t>
      </w:r>
      <w:r w:rsidRPr="005E406E">
        <w:rPr>
          <w:b/>
        </w:rPr>
        <w:t xml:space="preserve">and the </w:t>
      </w:r>
      <w:r w:rsidRPr="004C78C4">
        <w:rPr>
          <w:b/>
        </w:rPr>
        <w:t xml:space="preserve">Marshall Plan Social </w:t>
      </w:r>
      <w:r>
        <w:rPr>
          <w:b/>
        </w:rPr>
        <w:t>C</w:t>
      </w:r>
      <w:r w:rsidRPr="004C78C4">
        <w:rPr>
          <w:b/>
        </w:rPr>
        <w:t>ontract</w:t>
      </w:r>
      <w:r w:rsidRPr="005E406E">
        <w:rPr>
          <w:b/>
        </w:rPr>
        <w:t>.</w:t>
      </w:r>
      <w:r>
        <w:t xml:space="preserve"> The NIT became effective on July 1, 2017 and consists of a tax credit for every </w:t>
      </w:r>
      <w:r w:rsidRPr="000D76FB">
        <w:t xml:space="preserve">employee whose basic salary is less than or equal to </w:t>
      </w:r>
      <w:r w:rsidR="00C11058">
        <w:t>MUR</w:t>
      </w:r>
      <w:r w:rsidRPr="000D76FB">
        <w:t xml:space="preserve"> 9,900 per month</w:t>
      </w:r>
      <w:r>
        <w:t xml:space="preserve"> (details are provided in </w:t>
      </w:r>
      <w:r>
        <w:fldChar w:fldCharType="begin"/>
      </w:r>
      <w:r>
        <w:instrText xml:space="preserve"> REF _Ref10716384 \h  \* MERGEFORMAT </w:instrText>
      </w:r>
      <w:r>
        <w:fldChar w:fldCharType="separate"/>
      </w:r>
      <w:r w:rsidR="00C37C80" w:rsidRPr="00C37C80">
        <w:t>Table 5.1</w:t>
      </w:r>
      <w:r>
        <w:fldChar w:fldCharType="end"/>
      </w:r>
      <w:r>
        <w:t xml:space="preserve">). The Marshall Plan Social Contract </w:t>
      </w:r>
      <w:r w:rsidRPr="00652918">
        <w:t>is a conditional cash transfer (CCT) type of contract</w:t>
      </w:r>
      <w:r>
        <w:t xml:space="preserve"> designed to provide a</w:t>
      </w:r>
      <w:r w:rsidRPr="00652918">
        <w:t xml:space="preserve"> cash allowance to households </w:t>
      </w:r>
      <w:r>
        <w:t>identified as</w:t>
      </w:r>
      <w:r w:rsidRPr="00652918">
        <w:t xml:space="preserve"> eligible under the S</w:t>
      </w:r>
      <w:r>
        <w:t xml:space="preserve">ocial </w:t>
      </w:r>
      <w:r w:rsidRPr="00652918">
        <w:t>R</w:t>
      </w:r>
      <w:r>
        <w:t xml:space="preserve">egister of </w:t>
      </w:r>
      <w:r w:rsidRPr="00652918">
        <w:t>M</w:t>
      </w:r>
      <w:r>
        <w:t>auritius (SRM)</w:t>
      </w:r>
      <w:r w:rsidRPr="00652918">
        <w:t>,</w:t>
      </w:r>
      <w:r>
        <w:t xml:space="preserve"> </w:t>
      </w:r>
      <w:r w:rsidRPr="00652918">
        <w:t xml:space="preserve">conditional to: (i) </w:t>
      </w:r>
      <w:r>
        <w:t>e</w:t>
      </w:r>
      <w:r w:rsidRPr="00652918">
        <w:t xml:space="preserve">ducation of children, (ii) </w:t>
      </w:r>
      <w:r>
        <w:t>e</w:t>
      </w:r>
      <w:r w:rsidRPr="00652918">
        <w:t xml:space="preserve">conomic </w:t>
      </w:r>
      <w:r>
        <w:t>e</w:t>
      </w:r>
      <w:r w:rsidRPr="00652918">
        <w:t>mpowerment of</w:t>
      </w:r>
      <w:r>
        <w:t xml:space="preserve"> </w:t>
      </w:r>
      <w:r w:rsidRPr="00652918">
        <w:t xml:space="preserve">adults, (iii) </w:t>
      </w:r>
      <w:r>
        <w:t>f</w:t>
      </w:r>
      <w:r w:rsidRPr="00652918">
        <w:t xml:space="preserve">amily </w:t>
      </w:r>
      <w:r>
        <w:t>e</w:t>
      </w:r>
      <w:r w:rsidRPr="00652918">
        <w:t xml:space="preserve">mpowerment, and (iv) </w:t>
      </w:r>
      <w:r>
        <w:t>family h</w:t>
      </w:r>
      <w:r w:rsidRPr="00652918">
        <w:t>ealth</w:t>
      </w:r>
      <w:r>
        <w:t xml:space="preserve">care. </w:t>
      </w:r>
      <w:r w:rsidRPr="00842BA9">
        <w:t xml:space="preserve">Every adult on the Mauritius Social Register who has signed a Marshall Plan Social Contract is entitled to a monthly subsistence allowance if household income falls below the poverty thresholds identified in the 2016 </w:t>
      </w:r>
      <w:r w:rsidRPr="00652918">
        <w:t>Social Integration and Economic Empowerment Act</w:t>
      </w:r>
      <w:r>
        <w:t xml:space="preserve"> (</w:t>
      </w:r>
      <w:r>
        <w:fldChar w:fldCharType="begin"/>
      </w:r>
      <w:r>
        <w:instrText xml:space="preserve"> REF _Ref8668720 \h  \* MERGEFORMAT </w:instrText>
      </w:r>
      <w:r>
        <w:fldChar w:fldCharType="separate"/>
      </w:r>
      <w:r w:rsidR="00C37C80" w:rsidRPr="00C37C80">
        <w:t>Figure 5.1</w:t>
      </w:r>
      <w:r>
        <w:fldChar w:fldCharType="end"/>
      </w:r>
      <w:r>
        <w:t xml:space="preserve"> illustrates the implementation mechanism)</w:t>
      </w:r>
      <w:r w:rsidRPr="00842BA9">
        <w:t xml:space="preserve">. The absolute poverty thresholds are established at a minimum of </w:t>
      </w:r>
      <w:r w:rsidR="00C11058">
        <w:t>MUR</w:t>
      </w:r>
      <w:r w:rsidRPr="00842BA9">
        <w:t xml:space="preserve"> 2,720 for one adult up to a maximum threshold of </w:t>
      </w:r>
      <w:r w:rsidR="00C11058">
        <w:t>MUR</w:t>
      </w:r>
      <w:r w:rsidRPr="00842BA9">
        <w:t xml:space="preserve"> 9,520 for households with three adults and three children (or more). The allowance is the difference between the poverty threshold</w:t>
      </w:r>
      <w:r>
        <w:t xml:space="preserve">s </w:t>
      </w:r>
      <w:r w:rsidRPr="00842BA9">
        <w:t xml:space="preserve">and </w:t>
      </w:r>
      <w:r>
        <w:t>household’s</w:t>
      </w:r>
      <w:r w:rsidRPr="00842BA9">
        <w:t xml:space="preserve"> </w:t>
      </w:r>
      <w:r>
        <w:t>verifiable</w:t>
      </w:r>
      <w:r w:rsidRPr="00842BA9">
        <w:t xml:space="preserve"> income. Beneficiaries of the Marshall Plan Social Contract are also entitled to benefit from other income support, namely the monthly child allowance, school materials, school premium, re-sit exam fees and crèche voucher. </w:t>
      </w:r>
      <w:r w:rsidRPr="00F209D1">
        <w:t xml:space="preserve">The </w:t>
      </w:r>
      <w:r>
        <w:t>SRM</w:t>
      </w:r>
      <w:r w:rsidRPr="00F209D1">
        <w:t xml:space="preserve"> is designed as a large database of potential and actual</w:t>
      </w:r>
      <w:r>
        <w:t xml:space="preserve"> </w:t>
      </w:r>
      <w:r w:rsidRPr="00F209D1">
        <w:t>social welfare program beneficiaries</w:t>
      </w:r>
      <w:r>
        <w:t xml:space="preserve">. It is the first effort to have a centralized </w:t>
      </w:r>
      <w:r w:rsidR="00051497">
        <w:t xml:space="preserve">database </w:t>
      </w:r>
      <w:r>
        <w:t xml:space="preserve">that can help manage Mauritius’ </w:t>
      </w:r>
      <w:r w:rsidRPr="003B6FBA">
        <w:t>complex social welfare system that is composed of a number of programs spread across several ministries and institutions</w:t>
      </w:r>
      <w:r>
        <w:t xml:space="preserve">, featuring different </w:t>
      </w:r>
      <w:r w:rsidRPr="00652918">
        <w:t>eligibility</w:t>
      </w:r>
      <w:r w:rsidRPr="001D03D6">
        <w:t xml:space="preserve"> thresholds based on ad hoc welfare assessments</w:t>
      </w:r>
      <w:r>
        <w:t>. Currently, s</w:t>
      </w:r>
      <w:r w:rsidRPr="00652918">
        <w:t>ome 11,000 households (</w:t>
      </w:r>
      <w:r>
        <w:t>and</w:t>
      </w:r>
      <w:r w:rsidRPr="00652918">
        <w:t xml:space="preserve"> 40,000 </w:t>
      </w:r>
      <w:r>
        <w:t>individuals</w:t>
      </w:r>
      <w:r w:rsidRPr="00652918">
        <w:t>) are benefiting a subsistence</w:t>
      </w:r>
      <w:r>
        <w:t xml:space="preserve"> </w:t>
      </w:r>
      <w:r w:rsidRPr="00652918">
        <w:t>allowance under the Marshall Plan Social Contract</w:t>
      </w:r>
      <w:r>
        <w:t xml:space="preserve">; and </w:t>
      </w:r>
      <w:r w:rsidRPr="00652918">
        <w:t>15,000 children</w:t>
      </w:r>
      <w:r>
        <w:t xml:space="preserve"> attending school </w:t>
      </w:r>
      <w:r w:rsidRPr="00652918">
        <w:t>are benefiting from a monthly allowance for educational purposes.</w:t>
      </w:r>
    </w:p>
    <w:tbl>
      <w:tblPr>
        <w:tblW w:w="9360" w:type="dxa"/>
        <w:tblLayout w:type="fixed"/>
        <w:tblCellMar>
          <w:left w:w="0" w:type="dxa"/>
          <w:right w:w="0" w:type="dxa"/>
        </w:tblCellMar>
        <w:tblLook w:val="04A0" w:firstRow="1" w:lastRow="0" w:firstColumn="1" w:lastColumn="0" w:noHBand="0" w:noVBand="1"/>
      </w:tblPr>
      <w:tblGrid>
        <w:gridCol w:w="9360"/>
      </w:tblGrid>
      <w:tr w:rsidR="00377C34" w:rsidRPr="001E6C40" w14:paraId="6BB11754" w14:textId="77777777" w:rsidTr="004B37D4">
        <w:trPr>
          <w:cantSplit/>
        </w:trPr>
        <w:tc>
          <w:tcPr>
            <w:tcW w:w="9360" w:type="dxa"/>
            <w:hideMark/>
          </w:tcPr>
          <w:p w14:paraId="19D71799" w14:textId="68F50C8E" w:rsidR="00377C34" w:rsidRPr="009B2F93" w:rsidRDefault="00377C34" w:rsidP="004B37D4">
            <w:pPr>
              <w:autoSpaceDE w:val="0"/>
              <w:autoSpaceDN w:val="0"/>
              <w:adjustRightInd w:val="0"/>
              <w:spacing w:after="0" w:line="240" w:lineRule="auto"/>
              <w:jc w:val="left"/>
              <w:rPr>
                <w:b/>
                <w:sz w:val="18"/>
                <w:szCs w:val="18"/>
                <w:lang w:eastAsia="en-GB"/>
              </w:rPr>
            </w:pPr>
            <w:bookmarkStart w:id="144" w:name="_Ref8670424"/>
            <w:bookmarkStart w:id="145" w:name="_Toc11255083"/>
            <w:r w:rsidRPr="001E6C40">
              <w:rPr>
                <w:b/>
                <w:sz w:val="18"/>
                <w:szCs w:val="18"/>
                <w:lang w:eastAsia="en-GB"/>
              </w:rPr>
              <w:t xml:space="preserve">Figure </w:t>
            </w:r>
            <w:r>
              <w:rPr>
                <w:b/>
                <w:sz w:val="18"/>
                <w:szCs w:val="18"/>
                <w:lang w:eastAsia="en-GB"/>
              </w:rPr>
              <w:fldChar w:fldCharType="begin"/>
            </w:r>
            <w:r>
              <w:rPr>
                <w:b/>
                <w:sz w:val="18"/>
                <w:szCs w:val="18"/>
                <w:lang w:eastAsia="en-GB"/>
              </w:rPr>
              <w:instrText xml:space="preserve"> STYLEREF 1 \s </w:instrText>
            </w:r>
            <w:r>
              <w:rPr>
                <w:b/>
                <w:sz w:val="18"/>
                <w:szCs w:val="18"/>
                <w:lang w:eastAsia="en-GB"/>
              </w:rPr>
              <w:fldChar w:fldCharType="separate"/>
            </w:r>
            <w:r w:rsidR="00C37C80">
              <w:rPr>
                <w:b/>
                <w:noProof/>
                <w:sz w:val="18"/>
                <w:szCs w:val="18"/>
                <w:lang w:eastAsia="en-GB"/>
              </w:rPr>
              <w:t>5</w:t>
            </w:r>
            <w:r>
              <w:rPr>
                <w:b/>
                <w:sz w:val="18"/>
                <w:szCs w:val="18"/>
                <w:lang w:eastAsia="en-GB"/>
              </w:rPr>
              <w:fldChar w:fldCharType="end"/>
            </w:r>
            <w:r>
              <w:rPr>
                <w:b/>
                <w:sz w:val="18"/>
                <w:szCs w:val="18"/>
                <w:lang w:eastAsia="en-GB"/>
              </w:rPr>
              <w:t>.</w:t>
            </w:r>
            <w:r>
              <w:rPr>
                <w:b/>
                <w:sz w:val="18"/>
                <w:szCs w:val="18"/>
                <w:lang w:eastAsia="en-GB"/>
              </w:rPr>
              <w:fldChar w:fldCharType="begin"/>
            </w:r>
            <w:r>
              <w:rPr>
                <w:b/>
                <w:sz w:val="18"/>
                <w:szCs w:val="18"/>
                <w:lang w:eastAsia="en-GB"/>
              </w:rPr>
              <w:instrText xml:space="preserve"> SEQ Figure \* ARABIC \s 1 </w:instrText>
            </w:r>
            <w:r>
              <w:rPr>
                <w:b/>
                <w:sz w:val="18"/>
                <w:szCs w:val="18"/>
                <w:lang w:eastAsia="en-GB"/>
              </w:rPr>
              <w:fldChar w:fldCharType="separate"/>
            </w:r>
            <w:r w:rsidR="00C37C80">
              <w:rPr>
                <w:b/>
                <w:noProof/>
                <w:sz w:val="18"/>
                <w:szCs w:val="18"/>
                <w:lang w:eastAsia="en-GB"/>
              </w:rPr>
              <w:t>2</w:t>
            </w:r>
            <w:r>
              <w:rPr>
                <w:b/>
                <w:sz w:val="18"/>
                <w:szCs w:val="18"/>
                <w:lang w:eastAsia="en-GB"/>
              </w:rPr>
              <w:fldChar w:fldCharType="end"/>
            </w:r>
            <w:bookmarkEnd w:id="144"/>
            <w:r w:rsidRPr="001E6C40">
              <w:rPr>
                <w:b/>
                <w:sz w:val="18"/>
                <w:szCs w:val="18"/>
                <w:lang w:eastAsia="en-GB"/>
              </w:rPr>
              <w:t xml:space="preserve">. </w:t>
            </w:r>
            <w:r w:rsidR="00AD7E04" w:rsidRPr="0070773C">
              <w:rPr>
                <w:b/>
                <w:sz w:val="18"/>
                <w:szCs w:val="18"/>
                <w:lang w:eastAsia="en-GB"/>
              </w:rPr>
              <w:t xml:space="preserve">Lorenz and </w:t>
            </w:r>
            <w:r w:rsidR="008338E4" w:rsidRPr="0070773C">
              <w:rPr>
                <w:b/>
                <w:sz w:val="18"/>
                <w:szCs w:val="18"/>
                <w:lang w:eastAsia="en-GB"/>
              </w:rPr>
              <w:t xml:space="preserve">Concentration Curves </w:t>
            </w:r>
            <w:r w:rsidR="00AD7E04">
              <w:rPr>
                <w:b/>
                <w:sz w:val="18"/>
                <w:szCs w:val="18"/>
                <w:lang w:eastAsia="en-GB"/>
              </w:rPr>
              <w:t>for</w:t>
            </w:r>
            <w:r w:rsidR="00AD7E04" w:rsidRPr="0070773C">
              <w:rPr>
                <w:b/>
                <w:sz w:val="18"/>
                <w:szCs w:val="18"/>
                <w:lang w:eastAsia="en-GB"/>
              </w:rPr>
              <w:t xml:space="preserve"> </w:t>
            </w:r>
            <w:r w:rsidR="008338E4" w:rsidRPr="0070773C">
              <w:rPr>
                <w:b/>
                <w:sz w:val="18"/>
                <w:szCs w:val="18"/>
                <w:lang w:eastAsia="en-GB"/>
              </w:rPr>
              <w:t xml:space="preserve">Per </w:t>
            </w:r>
            <w:r w:rsidR="008338E4">
              <w:rPr>
                <w:b/>
                <w:sz w:val="18"/>
                <w:szCs w:val="18"/>
                <w:lang w:eastAsia="en-GB"/>
              </w:rPr>
              <w:t>Adult Equivalent</w:t>
            </w:r>
            <w:r w:rsidR="008338E4" w:rsidRPr="0070773C">
              <w:rPr>
                <w:b/>
                <w:sz w:val="18"/>
                <w:szCs w:val="18"/>
                <w:lang w:eastAsia="en-GB"/>
              </w:rPr>
              <w:t xml:space="preserve"> </w:t>
            </w:r>
            <w:r w:rsidR="008338E4">
              <w:rPr>
                <w:b/>
                <w:sz w:val="18"/>
                <w:szCs w:val="18"/>
                <w:lang w:eastAsia="en-GB"/>
              </w:rPr>
              <w:t xml:space="preserve">Prefiscal </w:t>
            </w:r>
            <w:r w:rsidR="008338E4" w:rsidRPr="0070773C">
              <w:rPr>
                <w:b/>
                <w:sz w:val="18"/>
                <w:szCs w:val="18"/>
                <w:lang w:eastAsia="en-GB"/>
              </w:rPr>
              <w:t>Market Income</w:t>
            </w:r>
            <w:r w:rsidR="008338E4">
              <w:rPr>
                <w:b/>
                <w:sz w:val="18"/>
                <w:szCs w:val="18"/>
                <w:lang w:eastAsia="en-GB"/>
              </w:rPr>
              <w:t>,</w:t>
            </w:r>
            <w:r w:rsidR="008338E4" w:rsidRPr="0070773C">
              <w:rPr>
                <w:b/>
                <w:sz w:val="18"/>
                <w:szCs w:val="18"/>
                <w:lang w:eastAsia="en-GB"/>
              </w:rPr>
              <w:t xml:space="preserve"> </w:t>
            </w:r>
            <w:r w:rsidR="008338E4">
              <w:rPr>
                <w:b/>
                <w:sz w:val="18"/>
                <w:szCs w:val="18"/>
                <w:lang w:eastAsia="en-GB"/>
              </w:rPr>
              <w:t xml:space="preserve">Negative Income Tax Allowance </w:t>
            </w:r>
            <w:r w:rsidR="001370B6">
              <w:rPr>
                <w:b/>
                <w:sz w:val="18"/>
                <w:szCs w:val="18"/>
                <w:lang w:eastAsia="en-GB"/>
              </w:rPr>
              <w:t xml:space="preserve">and Marshall Plan Social Contract </w:t>
            </w:r>
            <w:r w:rsidR="008338E4">
              <w:rPr>
                <w:b/>
                <w:sz w:val="18"/>
                <w:szCs w:val="18"/>
                <w:lang w:eastAsia="en-GB"/>
              </w:rPr>
              <w:t>Scheme</w:t>
            </w:r>
            <w:bookmarkEnd w:id="145"/>
          </w:p>
        </w:tc>
      </w:tr>
      <w:tr w:rsidR="00377C34" w:rsidRPr="001E6C40" w14:paraId="33AE179A" w14:textId="77777777" w:rsidTr="00530F07">
        <w:tblPrEx>
          <w:tblCellMar>
            <w:left w:w="108" w:type="dxa"/>
            <w:right w:w="108" w:type="dxa"/>
          </w:tblCellMar>
        </w:tblPrEx>
        <w:trPr>
          <w:cantSplit/>
        </w:trPr>
        <w:tc>
          <w:tcPr>
            <w:tcW w:w="9360" w:type="dxa"/>
          </w:tcPr>
          <w:p w14:paraId="22C326A4" w14:textId="3FFDA64F" w:rsidR="00377C34" w:rsidRPr="001E6C40" w:rsidRDefault="00530F07" w:rsidP="004B37D4">
            <w:pPr>
              <w:autoSpaceDE w:val="0"/>
              <w:autoSpaceDN w:val="0"/>
              <w:adjustRightInd w:val="0"/>
              <w:spacing w:after="0" w:line="240" w:lineRule="auto"/>
              <w:jc w:val="left"/>
              <w:rPr>
                <w:b/>
                <w:sz w:val="18"/>
                <w:szCs w:val="18"/>
                <w:lang w:eastAsia="en-GB"/>
              </w:rPr>
            </w:pPr>
            <w:r>
              <w:rPr>
                <w:noProof/>
              </w:rPr>
              <w:drawing>
                <wp:inline distT="0" distB="0" distL="0" distR="0" wp14:anchorId="00E209DB" wp14:editId="1124A9B3">
                  <wp:extent cx="3554730" cy="2589581"/>
                  <wp:effectExtent l="0" t="0" r="7620" b="1270"/>
                  <wp:docPr id="7" name="Chart 7">
                    <a:extLst xmlns:a="http://schemas.openxmlformats.org/drawingml/2006/main">
                      <a:ext uri="{FF2B5EF4-FFF2-40B4-BE49-F238E27FC236}">
                        <a16:creationId xmlns:a16="http://schemas.microsoft.com/office/drawing/2014/main" id="{EF9DA49B-B6FF-4920-858D-97D0D87C3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377C34" w14:paraId="34311801" w14:textId="77777777" w:rsidTr="004B37D4">
        <w:tblPrEx>
          <w:tblCellMar>
            <w:left w:w="108" w:type="dxa"/>
            <w:right w:w="108" w:type="dxa"/>
          </w:tblCellMar>
        </w:tblPrEx>
        <w:trPr>
          <w:cantSplit/>
        </w:trPr>
        <w:tc>
          <w:tcPr>
            <w:tcW w:w="9360" w:type="dxa"/>
            <w:hideMark/>
          </w:tcPr>
          <w:p w14:paraId="03D8EE0D" w14:textId="06D3E176" w:rsidR="00377C34" w:rsidRDefault="00377C34" w:rsidP="004B37D4">
            <w:pPr>
              <w:spacing w:after="120"/>
              <w:rPr>
                <w:rFonts w:cs="Times New Roman"/>
                <w:sz w:val="16"/>
                <w:szCs w:val="16"/>
              </w:rPr>
            </w:pPr>
          </w:p>
        </w:tc>
      </w:tr>
      <w:tr w:rsidR="00377C34" w14:paraId="7BDB2E09" w14:textId="77777777" w:rsidTr="004B37D4">
        <w:trPr>
          <w:cantSplit/>
        </w:trPr>
        <w:tc>
          <w:tcPr>
            <w:tcW w:w="9360" w:type="dxa"/>
            <w:tcMar>
              <w:top w:w="0" w:type="dxa"/>
              <w:left w:w="108" w:type="dxa"/>
              <w:bottom w:w="0" w:type="dxa"/>
              <w:right w:w="108" w:type="dxa"/>
            </w:tcMar>
            <w:hideMark/>
          </w:tcPr>
          <w:p w14:paraId="5A72A971" w14:textId="0DA071D3" w:rsidR="00377C34" w:rsidRPr="00767FF8" w:rsidRDefault="00377C34" w:rsidP="004B37D4">
            <w:pPr>
              <w:autoSpaceDE w:val="0"/>
              <w:autoSpaceDN w:val="0"/>
              <w:adjustRightInd w:val="0"/>
              <w:spacing w:after="0" w:line="240" w:lineRule="auto"/>
              <w:jc w:val="left"/>
              <w:rPr>
                <w:rFonts w:cs="Times New Roman"/>
                <w:sz w:val="18"/>
                <w:szCs w:val="18"/>
              </w:rPr>
            </w:pPr>
            <w:r>
              <w:rPr>
                <w:rFonts w:cs="Times New Roman"/>
                <w:i/>
                <w:sz w:val="18"/>
                <w:szCs w:val="18"/>
              </w:rPr>
              <w:t xml:space="preserve">Source: </w:t>
            </w:r>
            <w:r w:rsidR="007E7318">
              <w:rPr>
                <w:rFonts w:cs="Times New Roman"/>
                <w:sz w:val="18"/>
                <w:szCs w:val="18"/>
              </w:rPr>
              <w:t>Based on data of the 2017 Household Budget Survey, Statistics Mauritius</w:t>
            </w:r>
            <w:r>
              <w:rPr>
                <w:rFonts w:cs="Times New Roman"/>
                <w:sz w:val="18"/>
                <w:szCs w:val="18"/>
              </w:rPr>
              <w:t>.</w:t>
            </w:r>
          </w:p>
        </w:tc>
      </w:tr>
    </w:tbl>
    <w:p w14:paraId="230CCAFD" w14:textId="44A5C5F5" w:rsidR="002300EE" w:rsidRDefault="002300EE" w:rsidP="00736850">
      <w:pPr>
        <w:jc w:val="left"/>
      </w:pPr>
    </w:p>
    <w:p w14:paraId="4FFFBDE6" w14:textId="7777292A" w:rsidR="0030412A" w:rsidRDefault="0030412A" w:rsidP="0030412A">
      <w:r w:rsidRPr="002E64FC">
        <w:rPr>
          <w:b/>
        </w:rPr>
        <w:t xml:space="preserve">The simulated impact of the NIT and </w:t>
      </w:r>
      <w:r>
        <w:rPr>
          <w:b/>
        </w:rPr>
        <w:t>the subsistence allowance</w:t>
      </w:r>
      <w:r w:rsidRPr="002E64FC">
        <w:rPr>
          <w:b/>
        </w:rPr>
        <w:t xml:space="preserve"> provided under the Marshall Plan Social Contract is poverty and inequality reducing.</w:t>
      </w:r>
      <w:r>
        <w:t xml:space="preserve"> The concentration curve of the NIT indicates the bottom 40 receives 47 percent of the allowance as opposed to less than 1 percent among households in the top decile (</w:t>
      </w:r>
      <w:r>
        <w:fldChar w:fldCharType="begin"/>
      </w:r>
      <w:r>
        <w:instrText xml:space="preserve"> REF _Ref8670424 \h  \* MERGEFORMAT </w:instrText>
      </w:r>
      <w:r>
        <w:fldChar w:fldCharType="separate"/>
      </w:r>
      <w:r w:rsidR="00C37C80" w:rsidRPr="00C37C80">
        <w:t>Figure 5.2</w:t>
      </w:r>
      <w:r>
        <w:fldChar w:fldCharType="end"/>
      </w:r>
      <w:r>
        <w:t xml:space="preserve">). The concentration curve </w:t>
      </w:r>
      <w:r w:rsidR="002C061B">
        <w:t>crosses the 45</w:t>
      </w:r>
      <w:r w:rsidR="00200930">
        <w:t>-</w:t>
      </w:r>
      <w:r w:rsidR="002C061B">
        <w:t>degree</w:t>
      </w:r>
      <w:r w:rsidR="00641679">
        <w:t xml:space="preserve"> </w:t>
      </w:r>
      <w:r w:rsidR="002C061B">
        <w:t>line from below</w:t>
      </w:r>
      <w:r w:rsidR="00641679">
        <w:t xml:space="preserve"> because</w:t>
      </w:r>
      <w:r>
        <w:t xml:space="preserve"> the poorest households in Mauritius rarely have any working member and as such they cannot benefit from the allowance. The Marshall Plan Social Contract provides a monthly allowance to low-income households that appears to be well-targeted: about 94 percent of the cash transfers provided under this scheme is absorbed by households in the bottom 20 percent of the </w:t>
      </w:r>
      <w:r w:rsidR="005A0596">
        <w:t>pre</w:t>
      </w:r>
      <w:r>
        <w:t xml:space="preserve">fiscal income distribution, and no allowance is received by households in the top 60 percent. Both measures combined generate a more equal distribution of income as illustrated by the yellow line in </w:t>
      </w:r>
      <w:r>
        <w:fldChar w:fldCharType="begin"/>
      </w:r>
      <w:r>
        <w:instrText xml:space="preserve"> REF _Ref8670424 \h  \* MERGEFORMAT </w:instrText>
      </w:r>
      <w:r>
        <w:fldChar w:fldCharType="separate"/>
      </w:r>
      <w:r w:rsidR="00C37C80" w:rsidRPr="00C37C80">
        <w:t>Figure 5.2</w:t>
      </w:r>
      <w:r>
        <w:fldChar w:fldCharType="end"/>
      </w:r>
      <w:r>
        <w:t xml:space="preserve"> that is slightly shifted towards the 45-degree line indicating perfect equality. </w:t>
      </w:r>
    </w:p>
    <w:p w14:paraId="2124FC45" w14:textId="41158E5E" w:rsidR="0030412A" w:rsidRDefault="0030412A" w:rsidP="0030412A">
      <w:r w:rsidRPr="001E2286">
        <w:rPr>
          <w:b/>
        </w:rPr>
        <w:t xml:space="preserve">The microsimulation tool developed by the World Bank is a useful instrument that allows any future policy change </w:t>
      </w:r>
      <w:r w:rsidR="00A82CB3" w:rsidRPr="001E2286">
        <w:rPr>
          <w:b/>
        </w:rPr>
        <w:t xml:space="preserve">to </w:t>
      </w:r>
      <w:r w:rsidR="00A82CB3">
        <w:rPr>
          <w:b/>
        </w:rPr>
        <w:t xml:space="preserve">be </w:t>
      </w:r>
      <w:r w:rsidR="00A82CB3" w:rsidRPr="001E2286">
        <w:rPr>
          <w:b/>
        </w:rPr>
        <w:t>simulate</w:t>
      </w:r>
      <w:r w:rsidR="00A82CB3">
        <w:rPr>
          <w:b/>
        </w:rPr>
        <w:t>d</w:t>
      </w:r>
      <w:r w:rsidR="00A82CB3" w:rsidRPr="001E2286">
        <w:rPr>
          <w:b/>
        </w:rPr>
        <w:t xml:space="preserve"> </w:t>
      </w:r>
      <w:r w:rsidRPr="001E2286">
        <w:rPr>
          <w:b/>
        </w:rPr>
        <w:t>by simply changing a few parameters of the fiscal system.</w:t>
      </w:r>
      <w:r>
        <w:t xml:space="preserve"> For example, change in the tax rates, additional income tax brackets as well as shifts in the basic salary thresholds for the NIT or in the cash transfer amount provided under the Marshall Plan Social Contract can be easily simulated within the model.</w:t>
      </w:r>
    </w:p>
    <w:p w14:paraId="058B1B5F" w14:textId="5A0B4390" w:rsidR="005E7A98" w:rsidRDefault="002300EE" w:rsidP="00736850">
      <w:pPr>
        <w:jc w:val="left"/>
      </w:pPr>
      <w:r>
        <w:br w:type="page"/>
      </w:r>
    </w:p>
    <w:p w14:paraId="303D997F" w14:textId="0958597B" w:rsidR="005E7A98" w:rsidRPr="0035618C" w:rsidRDefault="005E7A98" w:rsidP="005E7A98">
      <w:pPr>
        <w:pStyle w:val="Heading1"/>
        <w:numPr>
          <w:ilvl w:val="0"/>
          <w:numId w:val="2"/>
        </w:numPr>
        <w:rPr>
          <w:rFonts w:ascii="Times New Roman" w:hAnsi="Times New Roman" w:cs="Times New Roman"/>
        </w:rPr>
      </w:pPr>
      <w:bookmarkStart w:id="146" w:name="_Toc8812813"/>
      <w:bookmarkStart w:id="147" w:name="_Toc10824887"/>
      <w:bookmarkStart w:id="148" w:name="_Toc10824959"/>
      <w:r>
        <w:rPr>
          <w:rFonts w:ascii="Times New Roman" w:hAnsi="Times New Roman" w:cs="Times New Roman"/>
        </w:rPr>
        <w:t>Conclusions and Polic</w:t>
      </w:r>
      <w:r w:rsidR="0035618C">
        <w:rPr>
          <w:rFonts w:ascii="Times New Roman" w:hAnsi="Times New Roman" w:cs="Times New Roman"/>
        </w:rPr>
        <w:t>y</w:t>
      </w:r>
      <w:r>
        <w:rPr>
          <w:rFonts w:ascii="Times New Roman" w:hAnsi="Times New Roman" w:cs="Times New Roman"/>
        </w:rPr>
        <w:t xml:space="preserve"> Implications</w:t>
      </w:r>
      <w:bookmarkEnd w:id="146"/>
      <w:bookmarkEnd w:id="147"/>
      <w:bookmarkEnd w:id="148"/>
    </w:p>
    <w:p w14:paraId="2942776E" w14:textId="16808094" w:rsidR="001A4F6A" w:rsidRDefault="006375FC" w:rsidP="001A4F6A">
      <w:r>
        <w:rPr>
          <w:b/>
        </w:rPr>
        <w:t>T</w:t>
      </w:r>
      <w:r w:rsidR="00461D86" w:rsidRPr="006375FC">
        <w:rPr>
          <w:b/>
        </w:rPr>
        <w:t>h</w:t>
      </w:r>
      <w:r w:rsidR="00AB42AC" w:rsidRPr="006375FC">
        <w:rPr>
          <w:b/>
        </w:rPr>
        <w:t>e net fiscal system in Mauritius has a</w:t>
      </w:r>
      <w:r w:rsidR="004D31C9" w:rsidRPr="006375FC">
        <w:rPr>
          <w:b/>
        </w:rPr>
        <w:t xml:space="preserve"> poverty and</w:t>
      </w:r>
      <w:r w:rsidR="00AB42AC" w:rsidRPr="006375FC">
        <w:rPr>
          <w:b/>
        </w:rPr>
        <w:t xml:space="preserve"> inequality reducing effect</w:t>
      </w:r>
      <w:r w:rsidR="004D31C9" w:rsidRPr="006375FC">
        <w:rPr>
          <w:b/>
        </w:rPr>
        <w:t>.</w:t>
      </w:r>
      <w:r w:rsidR="004D31C9">
        <w:t xml:space="preserve"> </w:t>
      </w:r>
      <w:r w:rsidR="00597997" w:rsidRPr="00944170">
        <w:rPr>
          <w:rFonts w:cs="Times New Roman"/>
        </w:rPr>
        <w:t xml:space="preserve">The Gini </w:t>
      </w:r>
      <w:r w:rsidR="00597997">
        <w:rPr>
          <w:rFonts w:cs="Times New Roman"/>
        </w:rPr>
        <w:t xml:space="preserve">index of </w:t>
      </w:r>
      <w:r w:rsidR="005A0596">
        <w:rPr>
          <w:rFonts w:cs="Times New Roman"/>
        </w:rPr>
        <w:t>pre</w:t>
      </w:r>
      <w:r w:rsidR="00597997">
        <w:rPr>
          <w:rFonts w:cs="Times New Roman"/>
        </w:rPr>
        <w:t xml:space="preserve">fiscal income (per adult equivalent) is 40.0 and declines to 34.4 after direct taxes and cash transfers, </w:t>
      </w:r>
      <w:r w:rsidR="00865A61">
        <w:rPr>
          <w:rFonts w:cs="Times New Roman"/>
        </w:rPr>
        <w:t xml:space="preserve">and further to </w:t>
      </w:r>
      <w:r w:rsidR="00597997">
        <w:rPr>
          <w:rFonts w:cs="Times New Roman"/>
        </w:rPr>
        <w:t>3</w:t>
      </w:r>
      <w:r w:rsidR="00A50902">
        <w:rPr>
          <w:rFonts w:cs="Times New Roman"/>
        </w:rPr>
        <w:t>0.6</w:t>
      </w:r>
      <w:r w:rsidR="00597997">
        <w:rPr>
          <w:rFonts w:cs="Times New Roman"/>
        </w:rPr>
        <w:t xml:space="preserve"> after indirect taxes and subsidies. The poverty headcount rate (measured against the </w:t>
      </w:r>
      <w:r w:rsidR="00C11058">
        <w:rPr>
          <w:rFonts w:cs="Times New Roman"/>
        </w:rPr>
        <w:t>MUR</w:t>
      </w:r>
      <w:r w:rsidR="00597997">
        <w:rPr>
          <w:rFonts w:cs="Times New Roman"/>
        </w:rPr>
        <w:t xml:space="preserve"> 6,404/month per adult equivalent poverty line) declines by about </w:t>
      </w:r>
      <w:r w:rsidR="00E94E73">
        <w:rPr>
          <w:rFonts w:cs="Times New Roman"/>
        </w:rPr>
        <w:t>5.9</w:t>
      </w:r>
      <w:r w:rsidR="00597997">
        <w:rPr>
          <w:rFonts w:cs="Times New Roman"/>
        </w:rPr>
        <w:t xml:space="preserve"> percentage points </w:t>
      </w:r>
      <w:r w:rsidR="008217FA">
        <w:rPr>
          <w:rFonts w:cs="Times New Roman"/>
        </w:rPr>
        <w:t xml:space="preserve">from 15.1 to 9.2 percent </w:t>
      </w:r>
      <w:r w:rsidR="00865A61">
        <w:rPr>
          <w:rFonts w:cs="Times New Roman"/>
        </w:rPr>
        <w:t>after</w:t>
      </w:r>
      <w:r w:rsidR="00597997">
        <w:rPr>
          <w:rFonts w:cs="Times New Roman"/>
        </w:rPr>
        <w:t xml:space="preserve"> account</w:t>
      </w:r>
      <w:r w:rsidR="00865A61">
        <w:rPr>
          <w:rFonts w:cs="Times New Roman"/>
        </w:rPr>
        <w:t>ing</w:t>
      </w:r>
      <w:r w:rsidR="00597997">
        <w:rPr>
          <w:rFonts w:cs="Times New Roman"/>
        </w:rPr>
        <w:t xml:space="preserve"> for the effect of direct and indirect taxes and transfers</w:t>
      </w:r>
      <w:r w:rsidR="00514403">
        <w:rPr>
          <w:rFonts w:cs="Times New Roman"/>
        </w:rPr>
        <w:t>.</w:t>
      </w:r>
      <w:r w:rsidR="000323BA">
        <w:rPr>
          <w:rFonts w:cs="Times New Roman"/>
        </w:rPr>
        <w:t xml:space="preserve"> </w:t>
      </w:r>
      <w:r w:rsidR="00514403">
        <w:rPr>
          <w:rFonts w:cs="Times New Roman"/>
        </w:rPr>
        <w:t>H</w:t>
      </w:r>
      <w:r w:rsidR="000323BA">
        <w:rPr>
          <w:rFonts w:cs="Times New Roman"/>
        </w:rPr>
        <w:t>owever</w:t>
      </w:r>
      <w:r w:rsidR="00514403">
        <w:rPr>
          <w:rFonts w:cs="Times New Roman"/>
        </w:rPr>
        <w:t>, the effect is driven by direct taxes and indirect transfers since</w:t>
      </w:r>
      <w:r w:rsidR="000323BA">
        <w:rPr>
          <w:rFonts w:cs="Times New Roman"/>
        </w:rPr>
        <w:t xml:space="preserve"> indirect taxes </w:t>
      </w:r>
      <w:r w:rsidR="00514403">
        <w:rPr>
          <w:rFonts w:cs="Times New Roman"/>
        </w:rPr>
        <w:t>have a poverty increasing effect</w:t>
      </w:r>
      <w:r w:rsidR="00597997">
        <w:rPr>
          <w:rFonts w:cs="Times New Roman"/>
        </w:rPr>
        <w:t xml:space="preserve">. Overall, households at the bottom </w:t>
      </w:r>
      <w:r w:rsidR="00FE0552">
        <w:rPr>
          <w:rFonts w:cs="Times New Roman"/>
        </w:rPr>
        <w:t xml:space="preserve">30 percent </w:t>
      </w:r>
      <w:r w:rsidR="00597997">
        <w:rPr>
          <w:rFonts w:cs="Times New Roman"/>
        </w:rPr>
        <w:t xml:space="preserve">of the </w:t>
      </w:r>
      <w:r w:rsidR="005A0596">
        <w:rPr>
          <w:rFonts w:cs="Times New Roman"/>
        </w:rPr>
        <w:t>pre</w:t>
      </w:r>
      <w:r w:rsidR="00597997">
        <w:rPr>
          <w:rFonts w:cs="Times New Roman"/>
        </w:rPr>
        <w:t>fiscal income distribution are net cash transfer receivers, while the middle class and the most affluent households are net tax payers.</w:t>
      </w:r>
      <w:r w:rsidR="00FC6A54">
        <w:rPr>
          <w:rFonts w:cs="Times New Roman"/>
        </w:rPr>
        <w:t xml:space="preserve"> </w:t>
      </w:r>
    </w:p>
    <w:p w14:paraId="418D8F2F" w14:textId="3C8E3964" w:rsidR="00CA3229" w:rsidRPr="001A4F6A" w:rsidRDefault="00730053" w:rsidP="001A4F6A">
      <w:r>
        <w:rPr>
          <w:rFonts w:cs="Times New Roman"/>
          <w:b/>
          <w:szCs w:val="22"/>
        </w:rPr>
        <w:t xml:space="preserve">The PIT </w:t>
      </w:r>
      <w:r w:rsidR="000D732B">
        <w:rPr>
          <w:rFonts w:cs="Times New Roman"/>
          <w:b/>
        </w:rPr>
        <w:t>is</w:t>
      </w:r>
      <w:r w:rsidR="00597997" w:rsidRPr="004B091A">
        <w:rPr>
          <w:rFonts w:cs="Times New Roman"/>
          <w:b/>
          <w:szCs w:val="22"/>
        </w:rPr>
        <w:t xml:space="preserve"> progressive and reduc</w:t>
      </w:r>
      <w:r w:rsidR="00912E1E">
        <w:rPr>
          <w:rFonts w:cs="Times New Roman"/>
          <w:b/>
          <w:szCs w:val="22"/>
        </w:rPr>
        <w:t>e</w:t>
      </w:r>
      <w:r w:rsidR="000D732B">
        <w:rPr>
          <w:rFonts w:cs="Times New Roman"/>
          <w:b/>
          <w:szCs w:val="22"/>
        </w:rPr>
        <w:t>s</w:t>
      </w:r>
      <w:r w:rsidR="00597997" w:rsidRPr="004B091A">
        <w:rPr>
          <w:rFonts w:cs="Times New Roman"/>
          <w:b/>
          <w:szCs w:val="22"/>
        </w:rPr>
        <w:t xml:space="preserve"> inequality.</w:t>
      </w:r>
      <w:r w:rsidR="00597997" w:rsidRPr="004B091A">
        <w:rPr>
          <w:rFonts w:cs="Times New Roman"/>
          <w:szCs w:val="22"/>
        </w:rPr>
        <w:t xml:space="preserve"> </w:t>
      </w:r>
      <w:r w:rsidR="00047C61">
        <w:rPr>
          <w:rFonts w:cs="Times New Roman"/>
          <w:szCs w:val="22"/>
        </w:rPr>
        <w:t>Despite a flat tax rate at 15 percent</w:t>
      </w:r>
      <w:r w:rsidR="000D732B">
        <w:rPr>
          <w:rFonts w:cs="Times New Roman"/>
          <w:szCs w:val="22"/>
        </w:rPr>
        <w:t xml:space="preserve">, </w:t>
      </w:r>
      <w:r w:rsidR="003151B1">
        <w:rPr>
          <w:rFonts w:cs="Times New Roman"/>
          <w:szCs w:val="22"/>
        </w:rPr>
        <w:t>p</w:t>
      </w:r>
      <w:r w:rsidR="004A6A3F" w:rsidRPr="004B091A">
        <w:rPr>
          <w:rFonts w:cs="Times New Roman"/>
          <w:szCs w:val="22"/>
        </w:rPr>
        <w:t xml:space="preserve">rogressivity of the </w:t>
      </w:r>
      <w:r>
        <w:rPr>
          <w:rFonts w:cs="Times New Roman"/>
          <w:szCs w:val="22"/>
        </w:rPr>
        <w:t>PIT</w:t>
      </w:r>
      <w:r w:rsidR="004A6A3F" w:rsidRPr="004B091A">
        <w:rPr>
          <w:rFonts w:cs="Times New Roman"/>
          <w:szCs w:val="22"/>
        </w:rPr>
        <w:t xml:space="preserve"> </w:t>
      </w:r>
      <w:r w:rsidR="003151B1">
        <w:rPr>
          <w:rFonts w:cs="Times New Roman"/>
          <w:szCs w:val="22"/>
        </w:rPr>
        <w:t>has been</w:t>
      </w:r>
      <w:r w:rsidR="004A6A3F" w:rsidRPr="004B091A">
        <w:rPr>
          <w:rFonts w:cs="Times New Roman"/>
          <w:szCs w:val="22"/>
        </w:rPr>
        <w:t xml:space="preserve"> achieved through </w:t>
      </w:r>
      <w:r w:rsidR="003151B1">
        <w:rPr>
          <w:rFonts w:cs="Times New Roman"/>
          <w:szCs w:val="22"/>
        </w:rPr>
        <w:t xml:space="preserve">a mechanism that includes </w:t>
      </w:r>
      <w:r w:rsidR="00DC7393" w:rsidRPr="004B091A">
        <w:rPr>
          <w:rFonts w:cs="Times New Roman"/>
          <w:szCs w:val="22"/>
        </w:rPr>
        <w:t xml:space="preserve">generous </w:t>
      </w:r>
      <w:r w:rsidR="003151B1">
        <w:rPr>
          <w:rFonts w:cs="Times New Roman"/>
          <w:szCs w:val="22"/>
        </w:rPr>
        <w:t xml:space="preserve">tax </w:t>
      </w:r>
      <w:r w:rsidR="00DC7393" w:rsidRPr="004B091A">
        <w:rPr>
          <w:rFonts w:cs="Times New Roman"/>
          <w:szCs w:val="22"/>
        </w:rPr>
        <w:t xml:space="preserve">exemption thresholds and deductions. </w:t>
      </w:r>
      <w:r w:rsidR="004B091A" w:rsidRPr="004B091A">
        <w:rPr>
          <w:rFonts w:cs="Times New Roman"/>
          <w:szCs w:val="22"/>
        </w:rPr>
        <w:t xml:space="preserve">The </w:t>
      </w:r>
      <w:r>
        <w:rPr>
          <w:rFonts w:cs="Times New Roman"/>
          <w:szCs w:val="22"/>
        </w:rPr>
        <w:t>g</w:t>
      </w:r>
      <w:r w:rsidR="004B091A" w:rsidRPr="004B091A">
        <w:rPr>
          <w:rFonts w:cs="Times New Roman"/>
          <w:szCs w:val="22"/>
        </w:rPr>
        <w:t xml:space="preserve">overnment has introduced an additional tax bracket (up to </w:t>
      </w:r>
      <w:r w:rsidR="00C11058">
        <w:rPr>
          <w:rFonts w:cs="Times New Roman"/>
          <w:szCs w:val="22"/>
        </w:rPr>
        <w:t>MUR</w:t>
      </w:r>
      <w:r w:rsidR="004B091A" w:rsidRPr="004B091A">
        <w:rPr>
          <w:rFonts w:cs="Times New Roman"/>
          <w:szCs w:val="22"/>
        </w:rPr>
        <w:t xml:space="preserve"> 650,000</w:t>
      </w:r>
      <w:r w:rsidR="00CC7775">
        <w:rPr>
          <w:rFonts w:cs="Times New Roman"/>
          <w:szCs w:val="22"/>
        </w:rPr>
        <w:t xml:space="preserve"> income is taxed at 10 percent</w:t>
      </w:r>
      <w:r w:rsidR="004B091A" w:rsidRPr="004B091A">
        <w:rPr>
          <w:rFonts w:cs="Times New Roman"/>
          <w:szCs w:val="22"/>
        </w:rPr>
        <w:t xml:space="preserve">) </w:t>
      </w:r>
      <w:r w:rsidR="00CC7775">
        <w:rPr>
          <w:rFonts w:cs="Times New Roman"/>
          <w:szCs w:val="22"/>
        </w:rPr>
        <w:t xml:space="preserve">since July 2018. </w:t>
      </w:r>
      <w:r w:rsidR="00F03AB7">
        <w:rPr>
          <w:rFonts w:cs="Times New Roman"/>
          <w:szCs w:val="22"/>
        </w:rPr>
        <w:t>Th</w:t>
      </w:r>
      <w:r w:rsidR="00CC7775">
        <w:rPr>
          <w:rFonts w:cs="Times New Roman"/>
          <w:szCs w:val="22"/>
        </w:rPr>
        <w:t xml:space="preserve">is element </w:t>
      </w:r>
      <w:r w:rsidR="00F03AB7">
        <w:rPr>
          <w:rFonts w:cs="Times New Roman"/>
          <w:szCs w:val="22"/>
        </w:rPr>
        <w:t xml:space="preserve">introduces additional progressivity to the </w:t>
      </w:r>
      <w:r>
        <w:rPr>
          <w:rFonts w:cs="Times New Roman"/>
          <w:szCs w:val="22"/>
        </w:rPr>
        <w:t xml:space="preserve">PIT </w:t>
      </w:r>
      <w:r w:rsidR="00F03AB7">
        <w:rPr>
          <w:rFonts w:cs="Times New Roman"/>
          <w:szCs w:val="22"/>
        </w:rPr>
        <w:t xml:space="preserve">instrument. However, going forward </w:t>
      </w:r>
      <w:r w:rsidR="00CA3229">
        <w:rPr>
          <w:rFonts w:cs="Times New Roman"/>
          <w:szCs w:val="22"/>
        </w:rPr>
        <w:t xml:space="preserve">it might be worth re-thinking the system of </w:t>
      </w:r>
      <w:r w:rsidR="00162610">
        <w:rPr>
          <w:rFonts w:cs="Times New Roman"/>
          <w:szCs w:val="22"/>
        </w:rPr>
        <w:t>deductions and possib</w:t>
      </w:r>
      <w:r w:rsidR="00162610" w:rsidRPr="00740B17">
        <w:rPr>
          <w:rFonts w:cs="Times New Roman"/>
          <w:szCs w:val="22"/>
        </w:rPr>
        <w:t>ly replacing it with a set of tax allowances.</w:t>
      </w:r>
      <w:r w:rsidR="00AA5648" w:rsidRPr="00740B17">
        <w:rPr>
          <w:rFonts w:cs="Times New Roman"/>
          <w:szCs w:val="22"/>
        </w:rPr>
        <w:t xml:space="preserve"> </w:t>
      </w:r>
      <w:r w:rsidR="00127A7E" w:rsidRPr="00740B17">
        <w:rPr>
          <w:rFonts w:cs="Times New Roman"/>
          <w:szCs w:val="22"/>
        </w:rPr>
        <w:t>Tax al</w:t>
      </w:r>
      <w:r w:rsidR="00127A7E">
        <w:t>low</w:t>
      </w:r>
      <w:r w:rsidR="00127A7E" w:rsidRPr="00127A7E">
        <w:rPr>
          <w:rFonts w:cs="Times New Roman"/>
          <w:szCs w:val="22"/>
        </w:rPr>
        <w:t xml:space="preserve">ances are subtracted from the amount of tax due, as opposed to tax deductions, which are subtracted from taxable income. </w:t>
      </w:r>
      <w:r w:rsidR="00740B17" w:rsidRPr="00127A7E">
        <w:rPr>
          <w:rFonts w:cs="Times New Roman"/>
          <w:szCs w:val="22"/>
        </w:rPr>
        <w:t>Therefore</w:t>
      </w:r>
      <w:r w:rsidR="00127A7E" w:rsidRPr="00127A7E">
        <w:rPr>
          <w:rFonts w:cs="Times New Roman"/>
          <w:szCs w:val="22"/>
        </w:rPr>
        <w:t xml:space="preserve">, tax allowances are a more equitable way to grant discounts to taxpayers. With tax deductions, </w:t>
      </w:r>
      <w:r w:rsidR="00197D13">
        <w:rPr>
          <w:rFonts w:cs="Times New Roman"/>
          <w:szCs w:val="22"/>
        </w:rPr>
        <w:t xml:space="preserve">on one hand, </w:t>
      </w:r>
      <w:r w:rsidR="00127A7E" w:rsidRPr="00127A7E">
        <w:rPr>
          <w:rFonts w:cs="Times New Roman"/>
          <w:szCs w:val="22"/>
        </w:rPr>
        <w:t xml:space="preserve">the tax discount increases with the marginal tax rate, hence benefiting high income individuals more than low income </w:t>
      </w:r>
      <w:r w:rsidR="00C22759">
        <w:rPr>
          <w:rFonts w:cs="Times New Roman"/>
          <w:szCs w:val="22"/>
        </w:rPr>
        <w:t>ones</w:t>
      </w:r>
      <w:r w:rsidR="00127A7E" w:rsidRPr="00127A7E">
        <w:rPr>
          <w:rFonts w:cs="Times New Roman"/>
          <w:szCs w:val="22"/>
        </w:rPr>
        <w:t>. With tax allowances, on the other hand, the effect of the tax discount is the same for every</w:t>
      </w:r>
      <w:r w:rsidR="00197D13">
        <w:rPr>
          <w:rFonts w:cs="Times New Roman"/>
          <w:szCs w:val="22"/>
        </w:rPr>
        <w:t xml:space="preserve"> tax </w:t>
      </w:r>
      <w:r w:rsidR="001B3C62">
        <w:rPr>
          <w:rFonts w:cs="Times New Roman"/>
          <w:szCs w:val="22"/>
        </w:rPr>
        <w:t>payer</w:t>
      </w:r>
      <w:r w:rsidR="00127A7E" w:rsidRPr="00127A7E">
        <w:rPr>
          <w:rFonts w:cs="Times New Roman"/>
          <w:szCs w:val="22"/>
        </w:rPr>
        <w:t xml:space="preserve">, irrespective of the marginal tax rate. </w:t>
      </w:r>
      <w:r w:rsidR="001B3C62">
        <w:rPr>
          <w:rFonts w:cs="Times New Roman"/>
          <w:szCs w:val="22"/>
        </w:rPr>
        <w:t>F</w:t>
      </w:r>
      <w:r w:rsidR="00127A7E" w:rsidRPr="00127A7E">
        <w:rPr>
          <w:rFonts w:cs="Times New Roman"/>
          <w:szCs w:val="22"/>
        </w:rPr>
        <w:t>or the same amount of tax allowance granted, individuals with a lower tax liability would benefit more than individuals with a higher tax liability as a share of the tax due.</w:t>
      </w:r>
    </w:p>
    <w:p w14:paraId="441085D8" w14:textId="481BCB4C" w:rsidR="00C32033" w:rsidRDefault="0082052F" w:rsidP="00923302">
      <w:pPr>
        <w:pStyle w:val="ListNumber"/>
        <w:numPr>
          <w:ilvl w:val="0"/>
          <w:numId w:val="0"/>
        </w:numPr>
        <w:rPr>
          <w:rFonts w:ascii="Times New Roman" w:hAnsi="Times New Roman" w:cs="Times New Roman"/>
        </w:rPr>
      </w:pPr>
      <w:r>
        <w:rPr>
          <w:rFonts w:ascii="Times New Roman" w:hAnsi="Times New Roman" w:cs="Times New Roman"/>
          <w:b/>
        </w:rPr>
        <w:t>N</w:t>
      </w:r>
      <w:r w:rsidR="004C6E0D">
        <w:rPr>
          <w:rFonts w:ascii="Times New Roman" w:hAnsi="Times New Roman" w:cs="Times New Roman"/>
          <w:b/>
        </w:rPr>
        <w:t>on</w:t>
      </w:r>
      <w:r>
        <w:rPr>
          <w:rFonts w:ascii="Times New Roman" w:hAnsi="Times New Roman" w:cs="Times New Roman"/>
          <w:b/>
        </w:rPr>
        <w:t>contribut</w:t>
      </w:r>
      <w:r w:rsidR="00E1260B">
        <w:rPr>
          <w:rFonts w:ascii="Times New Roman" w:hAnsi="Times New Roman" w:cs="Times New Roman"/>
          <w:b/>
        </w:rPr>
        <w:t>o</w:t>
      </w:r>
      <w:r>
        <w:rPr>
          <w:rFonts w:ascii="Times New Roman" w:hAnsi="Times New Roman" w:cs="Times New Roman"/>
          <w:b/>
        </w:rPr>
        <w:t xml:space="preserve">ry pensions, particularly the </w:t>
      </w:r>
      <w:r w:rsidR="00F55CB3">
        <w:rPr>
          <w:rFonts w:ascii="Times New Roman" w:hAnsi="Times New Roman" w:cs="Times New Roman"/>
          <w:b/>
        </w:rPr>
        <w:t>BRP</w:t>
      </w:r>
      <w:r>
        <w:rPr>
          <w:rFonts w:ascii="Times New Roman" w:hAnsi="Times New Roman" w:cs="Times New Roman"/>
          <w:b/>
        </w:rPr>
        <w:t>,</w:t>
      </w:r>
      <w:r w:rsidR="00E1260B">
        <w:rPr>
          <w:rFonts w:ascii="Times New Roman" w:hAnsi="Times New Roman" w:cs="Times New Roman"/>
          <w:b/>
        </w:rPr>
        <w:t xml:space="preserve"> </w:t>
      </w:r>
      <w:r w:rsidR="004D5CE0">
        <w:rPr>
          <w:rFonts w:ascii="Times New Roman" w:hAnsi="Times New Roman" w:cs="Times New Roman"/>
          <w:b/>
        </w:rPr>
        <w:t>and</w:t>
      </w:r>
      <w:r w:rsidR="00E1260B">
        <w:rPr>
          <w:rFonts w:ascii="Times New Roman" w:hAnsi="Times New Roman" w:cs="Times New Roman"/>
          <w:b/>
        </w:rPr>
        <w:t xml:space="preserve"> i</w:t>
      </w:r>
      <w:r>
        <w:rPr>
          <w:rFonts w:ascii="Times New Roman" w:hAnsi="Times New Roman" w:cs="Times New Roman"/>
          <w:b/>
        </w:rPr>
        <w:t xml:space="preserve">ndirect subsidies </w:t>
      </w:r>
      <w:r w:rsidR="00E1260B">
        <w:rPr>
          <w:rFonts w:ascii="Times New Roman" w:hAnsi="Times New Roman" w:cs="Times New Roman"/>
          <w:b/>
        </w:rPr>
        <w:t xml:space="preserve">could </w:t>
      </w:r>
      <w:r w:rsidR="00867694">
        <w:rPr>
          <w:rFonts w:ascii="Times New Roman" w:hAnsi="Times New Roman" w:cs="Times New Roman"/>
          <w:b/>
        </w:rPr>
        <w:t>become</w:t>
      </w:r>
      <w:r w:rsidR="00AB7C92">
        <w:rPr>
          <w:rFonts w:ascii="Times New Roman" w:hAnsi="Times New Roman" w:cs="Times New Roman"/>
          <w:b/>
        </w:rPr>
        <w:t xml:space="preserve"> pro-poor if targeted to low income households.</w:t>
      </w:r>
      <w:r w:rsidR="00597997" w:rsidRPr="00944170">
        <w:rPr>
          <w:rFonts w:ascii="Times New Roman" w:hAnsi="Times New Roman" w:cs="Times New Roman"/>
        </w:rPr>
        <w:t xml:space="preserve"> </w:t>
      </w:r>
      <w:r w:rsidR="00396597">
        <w:rPr>
          <w:rFonts w:ascii="Times New Roman" w:hAnsi="Times New Roman" w:cs="Times New Roman"/>
        </w:rPr>
        <w:t>Overall, s</w:t>
      </w:r>
      <w:r w:rsidR="00597997">
        <w:rPr>
          <w:rFonts w:ascii="Times New Roman" w:hAnsi="Times New Roman" w:cs="Times New Roman"/>
        </w:rPr>
        <w:t>ocial protection spending</w:t>
      </w:r>
      <w:r w:rsidR="002526E8">
        <w:rPr>
          <w:rFonts w:ascii="Times New Roman" w:hAnsi="Times New Roman" w:cs="Times New Roman"/>
        </w:rPr>
        <w:t>, with BRP alone accounting for</w:t>
      </w:r>
      <w:r w:rsidR="002526E8" w:rsidRPr="006A5219">
        <w:rPr>
          <w:rFonts w:ascii="Times New Roman" w:hAnsi="Times New Roman" w:cs="Times New Roman"/>
        </w:rPr>
        <w:t xml:space="preserve"> about 50 percent of </w:t>
      </w:r>
      <w:r w:rsidR="002526E8">
        <w:rPr>
          <w:rFonts w:ascii="Times New Roman" w:hAnsi="Times New Roman" w:cs="Times New Roman"/>
        </w:rPr>
        <w:t>the</w:t>
      </w:r>
      <w:r w:rsidR="002526E8" w:rsidRPr="006A5219">
        <w:rPr>
          <w:rFonts w:ascii="Times New Roman" w:hAnsi="Times New Roman" w:cs="Times New Roman"/>
        </w:rPr>
        <w:t xml:space="preserve"> spending,</w:t>
      </w:r>
      <w:r w:rsidR="00597997">
        <w:rPr>
          <w:rFonts w:ascii="Times New Roman" w:hAnsi="Times New Roman" w:cs="Times New Roman"/>
        </w:rPr>
        <w:t xml:space="preserve"> contributes to reduce poverty and inequality</w:t>
      </w:r>
      <w:r w:rsidR="00396597">
        <w:rPr>
          <w:rFonts w:ascii="Times New Roman" w:hAnsi="Times New Roman" w:cs="Times New Roman"/>
        </w:rPr>
        <w:t xml:space="preserve"> with an estimated r</w:t>
      </w:r>
      <w:r w:rsidR="00597997" w:rsidRPr="00E247DB">
        <w:rPr>
          <w:rFonts w:ascii="Times New Roman" w:hAnsi="Times New Roman" w:cs="Times New Roman"/>
        </w:rPr>
        <w:t xml:space="preserve">eduction in inequality </w:t>
      </w:r>
      <w:r w:rsidR="00396597">
        <w:rPr>
          <w:rFonts w:ascii="Times New Roman" w:hAnsi="Times New Roman" w:cs="Times New Roman"/>
        </w:rPr>
        <w:t>of</w:t>
      </w:r>
      <w:r w:rsidR="00597997" w:rsidRPr="00E247DB">
        <w:rPr>
          <w:rFonts w:ascii="Times New Roman" w:hAnsi="Times New Roman" w:cs="Times New Roman"/>
        </w:rPr>
        <w:t xml:space="preserve"> 4.5 Gini points</w:t>
      </w:r>
      <w:r w:rsidR="00396597">
        <w:rPr>
          <w:rFonts w:ascii="Times New Roman" w:hAnsi="Times New Roman" w:cs="Times New Roman"/>
        </w:rPr>
        <w:t xml:space="preserve">. However, </w:t>
      </w:r>
      <w:r w:rsidR="00597997">
        <w:rPr>
          <w:rFonts w:ascii="Times New Roman" w:hAnsi="Times New Roman" w:cs="Times New Roman"/>
        </w:rPr>
        <w:t>BRP is a universal pension benefit that every Mauritian receives from age 60. A</w:t>
      </w:r>
      <w:r w:rsidR="00A93C78">
        <w:rPr>
          <w:rFonts w:ascii="Times New Roman" w:hAnsi="Times New Roman" w:cs="Times New Roman"/>
        </w:rPr>
        <w:t>s such</w:t>
      </w:r>
      <w:r w:rsidR="00597997">
        <w:rPr>
          <w:rFonts w:ascii="Times New Roman" w:hAnsi="Times New Roman" w:cs="Times New Roman"/>
        </w:rPr>
        <w:t xml:space="preserve">, BRP </w:t>
      </w:r>
      <w:r w:rsidR="00DE3687">
        <w:rPr>
          <w:rFonts w:ascii="Times New Roman" w:hAnsi="Times New Roman" w:cs="Times New Roman"/>
        </w:rPr>
        <w:t xml:space="preserve">also </w:t>
      </w:r>
      <w:r w:rsidR="00597997">
        <w:rPr>
          <w:rFonts w:ascii="Times New Roman" w:hAnsi="Times New Roman" w:cs="Times New Roman"/>
        </w:rPr>
        <w:t xml:space="preserve">reaches the most affluent households and represents an ineffective use of public resources. </w:t>
      </w:r>
      <w:r w:rsidR="00CC14D1">
        <w:rPr>
          <w:rFonts w:ascii="Times New Roman" w:hAnsi="Times New Roman" w:cs="Times New Roman"/>
        </w:rPr>
        <w:t xml:space="preserve">Estimates indicate that the same degree of reduction in inequality </w:t>
      </w:r>
      <w:r w:rsidR="00737F99">
        <w:rPr>
          <w:rFonts w:ascii="Times New Roman" w:hAnsi="Times New Roman" w:cs="Times New Roman"/>
        </w:rPr>
        <w:t xml:space="preserve">and in the poverty gap </w:t>
      </w:r>
      <w:r w:rsidR="00CC14D1">
        <w:rPr>
          <w:rFonts w:ascii="Times New Roman" w:hAnsi="Times New Roman" w:cs="Times New Roman"/>
        </w:rPr>
        <w:t xml:space="preserve">could be achieved with just </w:t>
      </w:r>
      <w:r w:rsidR="00737F99">
        <w:rPr>
          <w:rFonts w:ascii="Times New Roman" w:hAnsi="Times New Roman" w:cs="Times New Roman"/>
        </w:rPr>
        <w:t>29</w:t>
      </w:r>
      <w:r w:rsidR="00CC14D1">
        <w:rPr>
          <w:rFonts w:ascii="Times New Roman" w:hAnsi="Times New Roman" w:cs="Times New Roman"/>
        </w:rPr>
        <w:t xml:space="preserve"> </w:t>
      </w:r>
      <w:r w:rsidR="00737F99">
        <w:rPr>
          <w:rFonts w:ascii="Times New Roman" w:hAnsi="Times New Roman" w:cs="Times New Roman"/>
        </w:rPr>
        <w:t xml:space="preserve">and 12 </w:t>
      </w:r>
      <w:r w:rsidR="00CC14D1">
        <w:rPr>
          <w:rFonts w:ascii="Times New Roman" w:hAnsi="Times New Roman" w:cs="Times New Roman"/>
        </w:rPr>
        <w:t>percent of the resources currently spent on BRP</w:t>
      </w:r>
      <w:r w:rsidR="001D5605">
        <w:rPr>
          <w:rFonts w:ascii="Times New Roman" w:hAnsi="Times New Roman" w:cs="Times New Roman"/>
        </w:rPr>
        <w:t>, respectively</w:t>
      </w:r>
      <w:r w:rsidR="00CC14D1">
        <w:rPr>
          <w:rFonts w:ascii="Times New Roman" w:hAnsi="Times New Roman" w:cs="Times New Roman"/>
        </w:rPr>
        <w:t xml:space="preserve">. </w:t>
      </w:r>
      <w:r w:rsidR="00254057">
        <w:rPr>
          <w:rFonts w:ascii="Times New Roman" w:hAnsi="Times New Roman" w:cs="Times New Roman"/>
        </w:rPr>
        <w:t xml:space="preserve">Similarly, </w:t>
      </w:r>
      <w:r w:rsidR="003C0FC3">
        <w:rPr>
          <w:rFonts w:ascii="Times New Roman" w:hAnsi="Times New Roman" w:cs="Times New Roman"/>
        </w:rPr>
        <w:t>s</w:t>
      </w:r>
      <w:r w:rsidR="0098608A">
        <w:rPr>
          <w:rFonts w:ascii="Times New Roman" w:hAnsi="Times New Roman" w:cs="Times New Roman"/>
        </w:rPr>
        <w:t>ubsidies on rice, flour and LPG</w:t>
      </w:r>
      <w:r w:rsidR="0098608A" w:rsidRPr="00951848">
        <w:rPr>
          <w:rFonts w:ascii="Times New Roman" w:hAnsi="Times New Roman" w:cs="Times New Roman"/>
        </w:rPr>
        <w:t xml:space="preserve"> are progressive in relative terms as </w:t>
      </w:r>
      <w:r w:rsidR="00976C3B">
        <w:rPr>
          <w:rFonts w:ascii="Times New Roman" w:hAnsi="Times New Roman" w:cs="Times New Roman"/>
        </w:rPr>
        <w:t xml:space="preserve">they are a larger share of </w:t>
      </w:r>
      <w:r w:rsidR="005A0596">
        <w:rPr>
          <w:rFonts w:ascii="Times New Roman" w:hAnsi="Times New Roman" w:cs="Times New Roman"/>
        </w:rPr>
        <w:t>pre</w:t>
      </w:r>
      <w:r w:rsidR="00976C3B">
        <w:rPr>
          <w:rFonts w:ascii="Times New Roman" w:hAnsi="Times New Roman" w:cs="Times New Roman"/>
        </w:rPr>
        <w:t xml:space="preserve">fiscal income among </w:t>
      </w:r>
      <w:r w:rsidR="0098608A" w:rsidRPr="00951848">
        <w:rPr>
          <w:rFonts w:ascii="Times New Roman" w:hAnsi="Times New Roman" w:cs="Times New Roman"/>
        </w:rPr>
        <w:t>poorer households</w:t>
      </w:r>
      <w:r w:rsidR="00976C3B">
        <w:rPr>
          <w:rFonts w:ascii="Times New Roman" w:hAnsi="Times New Roman" w:cs="Times New Roman"/>
        </w:rPr>
        <w:t xml:space="preserve"> </w:t>
      </w:r>
      <w:r w:rsidR="0098608A" w:rsidRPr="00951848">
        <w:rPr>
          <w:rFonts w:ascii="Times New Roman" w:hAnsi="Times New Roman" w:cs="Times New Roman"/>
        </w:rPr>
        <w:t>compared with richer households</w:t>
      </w:r>
      <w:r w:rsidR="0098608A">
        <w:rPr>
          <w:rFonts w:ascii="Times New Roman" w:hAnsi="Times New Roman" w:cs="Times New Roman"/>
        </w:rPr>
        <w:t xml:space="preserve">, but </w:t>
      </w:r>
      <w:r w:rsidR="003C0FC3">
        <w:rPr>
          <w:rFonts w:ascii="Times New Roman" w:hAnsi="Times New Roman" w:cs="Times New Roman"/>
        </w:rPr>
        <w:t xml:space="preserve">they are </w:t>
      </w:r>
      <w:r w:rsidR="0098608A">
        <w:rPr>
          <w:rFonts w:ascii="Times New Roman" w:hAnsi="Times New Roman" w:cs="Times New Roman"/>
        </w:rPr>
        <w:t xml:space="preserve">not </w:t>
      </w:r>
      <w:r w:rsidR="003C0FC3">
        <w:rPr>
          <w:rFonts w:ascii="Times New Roman" w:hAnsi="Times New Roman" w:cs="Times New Roman"/>
        </w:rPr>
        <w:t>pro-poor</w:t>
      </w:r>
      <w:r w:rsidR="00A31F2B">
        <w:rPr>
          <w:rFonts w:ascii="Times New Roman" w:hAnsi="Times New Roman" w:cs="Times New Roman"/>
        </w:rPr>
        <w:t xml:space="preserve"> as the per capita amount of such subsidies does not decline with income</w:t>
      </w:r>
      <w:r w:rsidR="0098608A">
        <w:rPr>
          <w:rFonts w:ascii="Times New Roman" w:hAnsi="Times New Roman" w:cs="Times New Roman"/>
        </w:rPr>
        <w:t xml:space="preserve">. </w:t>
      </w:r>
      <w:r w:rsidR="00312962">
        <w:rPr>
          <w:rFonts w:ascii="Times New Roman" w:hAnsi="Times New Roman" w:cs="Times New Roman"/>
        </w:rPr>
        <w:t>P</w:t>
      </w:r>
      <w:r w:rsidR="0098608A" w:rsidRPr="0098608A">
        <w:rPr>
          <w:rFonts w:ascii="Times New Roman" w:hAnsi="Times New Roman" w:cs="Times New Roman"/>
        </w:rPr>
        <w:t xml:space="preserve">ublic bus </w:t>
      </w:r>
      <w:r w:rsidR="00312962">
        <w:rPr>
          <w:rFonts w:ascii="Times New Roman" w:hAnsi="Times New Roman" w:cs="Times New Roman"/>
        </w:rPr>
        <w:t xml:space="preserve">subsidy </w:t>
      </w:r>
      <w:r w:rsidR="0098608A" w:rsidRPr="0098608A">
        <w:rPr>
          <w:rFonts w:ascii="Times New Roman" w:hAnsi="Times New Roman" w:cs="Times New Roman"/>
        </w:rPr>
        <w:t xml:space="preserve">is globally progressive and pro-poor mainly due to the high prevalence of seniors in poorest households. </w:t>
      </w:r>
      <w:r w:rsidR="004D70CF" w:rsidRPr="0098608A">
        <w:rPr>
          <w:rFonts w:ascii="Times New Roman" w:hAnsi="Times New Roman" w:cs="Times New Roman"/>
        </w:rPr>
        <w:t>Going forward, the Social Register of Mauritius</w:t>
      </w:r>
      <w:r w:rsidR="000220E3" w:rsidRPr="0098608A">
        <w:rPr>
          <w:rFonts w:ascii="Times New Roman" w:hAnsi="Times New Roman" w:cs="Times New Roman"/>
        </w:rPr>
        <w:t xml:space="preserve"> could help </w:t>
      </w:r>
      <w:r w:rsidR="004D70CF" w:rsidRPr="0098608A">
        <w:rPr>
          <w:rFonts w:ascii="Times New Roman" w:hAnsi="Times New Roman" w:cs="Times New Roman"/>
        </w:rPr>
        <w:t xml:space="preserve">consolidate existing programs </w:t>
      </w:r>
      <w:r w:rsidR="000220E3" w:rsidRPr="0098608A">
        <w:rPr>
          <w:rFonts w:ascii="Times New Roman" w:hAnsi="Times New Roman" w:cs="Times New Roman"/>
        </w:rPr>
        <w:t xml:space="preserve">and introduce a targeted approach </w:t>
      </w:r>
      <w:r w:rsidR="00834C00">
        <w:rPr>
          <w:rFonts w:ascii="Times New Roman" w:hAnsi="Times New Roman" w:cs="Times New Roman"/>
        </w:rPr>
        <w:t xml:space="preserve">to both </w:t>
      </w:r>
      <w:r w:rsidR="000745A8">
        <w:rPr>
          <w:rFonts w:ascii="Times New Roman" w:hAnsi="Times New Roman" w:cs="Times New Roman"/>
        </w:rPr>
        <w:t>a larger number of</w:t>
      </w:r>
      <w:r w:rsidR="00834C00">
        <w:rPr>
          <w:rFonts w:ascii="Times New Roman" w:hAnsi="Times New Roman" w:cs="Times New Roman"/>
        </w:rPr>
        <w:t xml:space="preserve"> cash transfers program (</w:t>
      </w:r>
      <w:r w:rsidR="00944E58">
        <w:rPr>
          <w:rFonts w:ascii="Times New Roman" w:hAnsi="Times New Roman" w:cs="Times New Roman"/>
        </w:rPr>
        <w:t xml:space="preserve">for example, the </w:t>
      </w:r>
      <w:r w:rsidR="00834C00">
        <w:rPr>
          <w:rFonts w:ascii="Times New Roman" w:hAnsi="Times New Roman" w:cs="Times New Roman"/>
        </w:rPr>
        <w:t xml:space="preserve">BRP) and </w:t>
      </w:r>
      <w:r w:rsidR="00312962">
        <w:rPr>
          <w:rFonts w:ascii="Times New Roman" w:hAnsi="Times New Roman" w:cs="Times New Roman"/>
        </w:rPr>
        <w:t xml:space="preserve">indirect </w:t>
      </w:r>
      <w:r w:rsidR="00834C00">
        <w:rPr>
          <w:rFonts w:ascii="Times New Roman" w:hAnsi="Times New Roman" w:cs="Times New Roman"/>
        </w:rPr>
        <w:t>subsidies</w:t>
      </w:r>
      <w:r w:rsidR="004D70CF" w:rsidRPr="0098608A">
        <w:rPr>
          <w:rFonts w:ascii="Times New Roman" w:hAnsi="Times New Roman" w:cs="Times New Roman"/>
        </w:rPr>
        <w:t xml:space="preserve">. </w:t>
      </w:r>
      <w:r w:rsidR="00701C28">
        <w:rPr>
          <w:rFonts w:ascii="Times New Roman" w:hAnsi="Times New Roman" w:cs="Times New Roman"/>
        </w:rPr>
        <w:t>T</w:t>
      </w:r>
      <w:r w:rsidR="004D70CF" w:rsidRPr="0098608A">
        <w:rPr>
          <w:rFonts w:ascii="Times New Roman" w:hAnsi="Times New Roman" w:cs="Times New Roman"/>
        </w:rPr>
        <w:t>he</w:t>
      </w:r>
      <w:r w:rsidR="00701C28">
        <w:rPr>
          <w:rFonts w:ascii="Times New Roman" w:hAnsi="Times New Roman" w:cs="Times New Roman"/>
        </w:rPr>
        <w:t xml:space="preserve"> empowerment </w:t>
      </w:r>
      <w:r w:rsidR="007173E2">
        <w:rPr>
          <w:rFonts w:ascii="Times New Roman" w:hAnsi="Times New Roman" w:cs="Times New Roman"/>
        </w:rPr>
        <w:t>allowance</w:t>
      </w:r>
      <w:r w:rsidR="00701C28">
        <w:rPr>
          <w:rFonts w:ascii="Times New Roman" w:hAnsi="Times New Roman" w:cs="Times New Roman"/>
        </w:rPr>
        <w:t xml:space="preserve"> recently introduced</w:t>
      </w:r>
      <w:r w:rsidR="00701C28" w:rsidRPr="0098608A">
        <w:rPr>
          <w:rFonts w:ascii="Times New Roman" w:hAnsi="Times New Roman" w:cs="Times New Roman"/>
        </w:rPr>
        <w:t xml:space="preserve"> </w:t>
      </w:r>
      <w:r w:rsidR="004D70CF" w:rsidRPr="0098608A">
        <w:rPr>
          <w:rFonts w:ascii="Times New Roman" w:hAnsi="Times New Roman" w:cs="Times New Roman"/>
        </w:rPr>
        <w:t>under the Marshall Plan Social Contract</w:t>
      </w:r>
      <w:r w:rsidR="00701C28">
        <w:rPr>
          <w:rFonts w:ascii="Times New Roman" w:hAnsi="Times New Roman" w:cs="Times New Roman"/>
        </w:rPr>
        <w:t xml:space="preserve">, which </w:t>
      </w:r>
      <w:r w:rsidR="004D70CF" w:rsidRPr="0098608A">
        <w:rPr>
          <w:rFonts w:ascii="Times New Roman" w:hAnsi="Times New Roman" w:cs="Times New Roman"/>
        </w:rPr>
        <w:t>currently reaches about 11,000 low-income households</w:t>
      </w:r>
      <w:r w:rsidR="00701C28">
        <w:rPr>
          <w:rFonts w:ascii="Times New Roman" w:hAnsi="Times New Roman" w:cs="Times New Roman"/>
        </w:rPr>
        <w:t xml:space="preserve">, </w:t>
      </w:r>
      <w:r w:rsidR="004D70CF" w:rsidRPr="0098608A">
        <w:rPr>
          <w:rFonts w:ascii="Times New Roman" w:hAnsi="Times New Roman" w:cs="Times New Roman"/>
        </w:rPr>
        <w:t xml:space="preserve">could be </w:t>
      </w:r>
      <w:r w:rsidR="00D167F6">
        <w:rPr>
          <w:rFonts w:ascii="Times New Roman" w:hAnsi="Times New Roman" w:cs="Times New Roman"/>
        </w:rPr>
        <w:t>an easy</w:t>
      </w:r>
      <w:r w:rsidR="00283B0E">
        <w:rPr>
          <w:rFonts w:ascii="Times New Roman" w:hAnsi="Times New Roman" w:cs="Times New Roman"/>
        </w:rPr>
        <w:t xml:space="preserve"> way to target some of the universal schemes and ensure they </w:t>
      </w:r>
      <w:r w:rsidR="001D722E">
        <w:rPr>
          <w:rFonts w:ascii="Times New Roman" w:hAnsi="Times New Roman" w:cs="Times New Roman"/>
        </w:rPr>
        <w:t xml:space="preserve">only </w:t>
      </w:r>
      <w:r w:rsidR="00283B0E">
        <w:rPr>
          <w:rFonts w:ascii="Times New Roman" w:hAnsi="Times New Roman" w:cs="Times New Roman"/>
        </w:rPr>
        <w:t xml:space="preserve">reach households that are in </w:t>
      </w:r>
      <w:r w:rsidR="00D167F6">
        <w:rPr>
          <w:rFonts w:ascii="Times New Roman" w:hAnsi="Times New Roman" w:cs="Times New Roman"/>
        </w:rPr>
        <w:t xml:space="preserve">real </w:t>
      </w:r>
      <w:r w:rsidR="00283B0E">
        <w:rPr>
          <w:rFonts w:ascii="Times New Roman" w:hAnsi="Times New Roman" w:cs="Times New Roman"/>
        </w:rPr>
        <w:t>need.</w:t>
      </w:r>
    </w:p>
    <w:p w14:paraId="2E71D5C8" w14:textId="621E6B8A" w:rsidR="002E6831" w:rsidRPr="00923302" w:rsidRDefault="002E6831" w:rsidP="00923302">
      <w:pPr>
        <w:pStyle w:val="ListNumber"/>
        <w:numPr>
          <w:ilvl w:val="0"/>
          <w:numId w:val="0"/>
        </w:numPr>
        <w:rPr>
          <w:rFonts w:ascii="Times New Roman" w:eastAsiaTheme="minorEastAsia" w:hAnsi="Times New Roman"/>
        </w:rPr>
      </w:pPr>
      <w:r>
        <w:br w:type="page"/>
      </w:r>
    </w:p>
    <w:p w14:paraId="60231958" w14:textId="6BBBB038" w:rsidR="002E6831" w:rsidRDefault="002E6831" w:rsidP="002E6831">
      <w:pPr>
        <w:pStyle w:val="Heading1"/>
        <w:ind w:left="720"/>
        <w:rPr>
          <w:rFonts w:ascii="Times New Roman" w:hAnsi="Times New Roman" w:cs="Times New Roman"/>
        </w:rPr>
      </w:pPr>
      <w:bookmarkStart w:id="149" w:name="_Toc8812814"/>
      <w:bookmarkStart w:id="150" w:name="_Toc10824888"/>
      <w:bookmarkStart w:id="151" w:name="_Toc10824960"/>
      <w:r>
        <w:rPr>
          <w:rFonts w:ascii="Times New Roman" w:hAnsi="Times New Roman" w:cs="Times New Roman"/>
        </w:rPr>
        <w:t>References</w:t>
      </w:r>
      <w:bookmarkEnd w:id="149"/>
      <w:bookmarkEnd w:id="150"/>
      <w:bookmarkEnd w:id="151"/>
    </w:p>
    <w:p w14:paraId="4A1E70C1" w14:textId="6D52FA20" w:rsidR="008F4C12" w:rsidRDefault="00AE3AF9" w:rsidP="000878ED">
      <w:pPr>
        <w:pStyle w:val="Bibliography"/>
        <w:rPr>
          <w:szCs w:val="22"/>
        </w:rPr>
      </w:pPr>
      <w:r>
        <w:rPr>
          <w:szCs w:val="22"/>
        </w:rPr>
        <w:t>Enami, A</w:t>
      </w:r>
      <w:r w:rsidR="008F4C12">
        <w:rPr>
          <w:szCs w:val="22"/>
        </w:rPr>
        <w:t>li</w:t>
      </w:r>
      <w:r>
        <w:rPr>
          <w:szCs w:val="22"/>
        </w:rPr>
        <w:t>. 2018</w:t>
      </w:r>
      <w:r w:rsidR="001163D5">
        <w:rPr>
          <w:szCs w:val="22"/>
        </w:rPr>
        <w:t>a</w:t>
      </w:r>
      <w:r>
        <w:rPr>
          <w:szCs w:val="22"/>
        </w:rPr>
        <w:t xml:space="preserve">. </w:t>
      </w:r>
      <w:r w:rsidR="005F02F8">
        <w:rPr>
          <w:szCs w:val="22"/>
        </w:rPr>
        <w:t>“</w:t>
      </w:r>
      <w:r w:rsidR="008C4E71" w:rsidRPr="008C4E71">
        <w:rPr>
          <w:szCs w:val="22"/>
        </w:rPr>
        <w:t>Measuring</w:t>
      </w:r>
      <w:r>
        <w:rPr>
          <w:szCs w:val="22"/>
        </w:rPr>
        <w:t xml:space="preserve"> </w:t>
      </w:r>
      <w:r w:rsidR="008C4E71" w:rsidRPr="008C4E71">
        <w:rPr>
          <w:szCs w:val="22"/>
        </w:rPr>
        <w:t>the Redistributive Impact of Taxes and Transfers</w:t>
      </w:r>
      <w:r>
        <w:rPr>
          <w:szCs w:val="22"/>
        </w:rPr>
        <w:t xml:space="preserve"> </w:t>
      </w:r>
      <w:r w:rsidR="008C4E71" w:rsidRPr="008C4E71">
        <w:rPr>
          <w:szCs w:val="22"/>
        </w:rPr>
        <w:t>in the Presence of Reranking</w:t>
      </w:r>
      <w:r w:rsidR="005F02F8">
        <w:rPr>
          <w:szCs w:val="22"/>
        </w:rPr>
        <w:t>.”</w:t>
      </w:r>
      <w:r w:rsidR="008C4E71" w:rsidRPr="008C4E71">
        <w:rPr>
          <w:szCs w:val="22"/>
        </w:rPr>
        <w:t xml:space="preserve"> </w:t>
      </w:r>
      <w:r w:rsidR="005F02F8">
        <w:rPr>
          <w:szCs w:val="22"/>
        </w:rPr>
        <w:t>I</w:t>
      </w:r>
      <w:r w:rsidR="005F02F8" w:rsidRPr="00565011">
        <w:rPr>
          <w:szCs w:val="22"/>
        </w:rPr>
        <w:t xml:space="preserve">n </w:t>
      </w:r>
      <w:r w:rsidR="005F02F8" w:rsidRPr="00885467">
        <w:rPr>
          <w:i/>
          <w:szCs w:val="22"/>
        </w:rPr>
        <w:t>Commitment to Equity Handbook. Estimating the Impact of Fiscal Policy on Inequality and Poverty</w:t>
      </w:r>
      <w:r w:rsidR="005F02F8">
        <w:rPr>
          <w:szCs w:val="22"/>
        </w:rPr>
        <w:t xml:space="preserve">, edited by Nora Lustig, </w:t>
      </w:r>
      <w:r w:rsidR="008F4C12">
        <w:rPr>
          <w:szCs w:val="22"/>
        </w:rPr>
        <w:t>116</w:t>
      </w:r>
      <w:r w:rsidR="005F02F8">
        <w:rPr>
          <w:szCs w:val="22"/>
        </w:rPr>
        <w:t>–</w:t>
      </w:r>
      <w:r w:rsidR="008F4C12">
        <w:rPr>
          <w:szCs w:val="22"/>
        </w:rPr>
        <w:t>74</w:t>
      </w:r>
      <w:r w:rsidR="005F02F8" w:rsidRPr="00121D3F">
        <w:rPr>
          <w:szCs w:val="22"/>
        </w:rPr>
        <w:t>. New Orleans: CEQ Institute, Tulane University; Washington, DC: Brookings Institution Pres</w:t>
      </w:r>
      <w:r w:rsidR="008F4C12">
        <w:rPr>
          <w:szCs w:val="22"/>
        </w:rPr>
        <w:t>s</w:t>
      </w:r>
      <w:r w:rsidR="005F02F8" w:rsidRPr="00121D3F">
        <w:rPr>
          <w:szCs w:val="22"/>
        </w:rPr>
        <w:t>.</w:t>
      </w:r>
    </w:p>
    <w:p w14:paraId="51E1675A" w14:textId="41368998" w:rsidR="00C018F4" w:rsidRDefault="008F4C12" w:rsidP="000878ED">
      <w:pPr>
        <w:pStyle w:val="Bibliography"/>
        <w:rPr>
          <w:szCs w:val="22"/>
        </w:rPr>
      </w:pPr>
      <w:r>
        <w:rPr>
          <w:szCs w:val="22"/>
        </w:rPr>
        <w:t>———</w:t>
      </w:r>
      <w:r w:rsidR="00C018F4">
        <w:rPr>
          <w:szCs w:val="22"/>
        </w:rPr>
        <w:t>. 2018</w:t>
      </w:r>
      <w:r w:rsidR="001163D5">
        <w:rPr>
          <w:szCs w:val="22"/>
        </w:rPr>
        <w:t>b</w:t>
      </w:r>
      <w:r w:rsidR="00C018F4">
        <w:rPr>
          <w:szCs w:val="22"/>
        </w:rPr>
        <w:t xml:space="preserve">. </w:t>
      </w:r>
      <w:r>
        <w:rPr>
          <w:szCs w:val="22"/>
        </w:rPr>
        <w:t>“</w:t>
      </w:r>
      <w:r w:rsidR="00C018F4" w:rsidRPr="008C4E71">
        <w:rPr>
          <w:szCs w:val="22"/>
        </w:rPr>
        <w:t>Measuring</w:t>
      </w:r>
      <w:r w:rsidR="00C018F4">
        <w:rPr>
          <w:szCs w:val="22"/>
        </w:rPr>
        <w:t xml:space="preserve"> </w:t>
      </w:r>
      <w:r w:rsidR="00C018F4" w:rsidRPr="008C4E71">
        <w:rPr>
          <w:szCs w:val="22"/>
        </w:rPr>
        <w:t xml:space="preserve">the </w:t>
      </w:r>
      <w:r w:rsidR="00C018F4">
        <w:rPr>
          <w:szCs w:val="22"/>
        </w:rPr>
        <w:t xml:space="preserve">Effectiveness of Taxes and Transfers in </w:t>
      </w:r>
      <w:r w:rsidR="000878ED">
        <w:rPr>
          <w:szCs w:val="22"/>
        </w:rPr>
        <w:t>F</w:t>
      </w:r>
      <w:r w:rsidR="00C018F4">
        <w:rPr>
          <w:szCs w:val="22"/>
        </w:rPr>
        <w:t>ighting Inequality and Poverty</w:t>
      </w:r>
      <w:r>
        <w:rPr>
          <w:szCs w:val="22"/>
        </w:rPr>
        <w:t>.”</w:t>
      </w:r>
      <w:r w:rsidR="00C018F4" w:rsidRPr="008C4E71">
        <w:rPr>
          <w:szCs w:val="22"/>
        </w:rPr>
        <w:t xml:space="preserve"> </w:t>
      </w:r>
      <w:r>
        <w:rPr>
          <w:szCs w:val="22"/>
        </w:rPr>
        <w:t>I</w:t>
      </w:r>
      <w:r w:rsidRPr="00565011">
        <w:rPr>
          <w:szCs w:val="22"/>
        </w:rPr>
        <w:t xml:space="preserve">n </w:t>
      </w:r>
      <w:r w:rsidRPr="00885467">
        <w:rPr>
          <w:i/>
          <w:szCs w:val="22"/>
        </w:rPr>
        <w:t>Commitment to Equity Handbook. Estimating the Impact of Fiscal Policy on Inequality and Poverty</w:t>
      </w:r>
      <w:r>
        <w:rPr>
          <w:szCs w:val="22"/>
        </w:rPr>
        <w:t>, edited by Nora Lustig, 207–18</w:t>
      </w:r>
      <w:r w:rsidRPr="00121D3F">
        <w:rPr>
          <w:szCs w:val="22"/>
        </w:rPr>
        <w:t>. New Orleans: CEQ Institute, Tulane University; Washington, DC: Brookings Institution Pres</w:t>
      </w:r>
      <w:r>
        <w:rPr>
          <w:szCs w:val="22"/>
        </w:rPr>
        <w:t>s</w:t>
      </w:r>
      <w:r w:rsidRPr="00121D3F">
        <w:rPr>
          <w:szCs w:val="22"/>
        </w:rPr>
        <w:t>.</w:t>
      </w:r>
    </w:p>
    <w:p w14:paraId="7BE8B9EA" w14:textId="461CE6A6" w:rsidR="008F4C12" w:rsidRDefault="004C4AD9" w:rsidP="000878ED">
      <w:pPr>
        <w:pStyle w:val="Bibliography"/>
        <w:rPr>
          <w:szCs w:val="22"/>
        </w:rPr>
      </w:pPr>
      <w:r w:rsidRPr="00F0701D">
        <w:rPr>
          <w:szCs w:val="22"/>
        </w:rPr>
        <w:t xml:space="preserve">Enami, </w:t>
      </w:r>
      <w:r w:rsidR="00121D3F">
        <w:rPr>
          <w:szCs w:val="22"/>
        </w:rPr>
        <w:t>A</w:t>
      </w:r>
      <w:r w:rsidR="008F4C12">
        <w:rPr>
          <w:szCs w:val="22"/>
        </w:rPr>
        <w:t>li</w:t>
      </w:r>
      <w:r w:rsidR="00121D3F">
        <w:rPr>
          <w:szCs w:val="22"/>
        </w:rPr>
        <w:t xml:space="preserve">, </w:t>
      </w:r>
      <w:r w:rsidR="008F4C12">
        <w:rPr>
          <w:szCs w:val="22"/>
        </w:rPr>
        <w:t xml:space="preserve">Nora </w:t>
      </w:r>
      <w:r w:rsidR="00CB561F">
        <w:rPr>
          <w:szCs w:val="22"/>
        </w:rPr>
        <w:t xml:space="preserve">Lustig, </w:t>
      </w:r>
      <w:r w:rsidRPr="00F0701D">
        <w:rPr>
          <w:szCs w:val="22"/>
        </w:rPr>
        <w:t xml:space="preserve">and </w:t>
      </w:r>
      <w:r w:rsidR="00CB561F">
        <w:rPr>
          <w:szCs w:val="22"/>
        </w:rPr>
        <w:t>R</w:t>
      </w:r>
      <w:r w:rsidR="008F4C12">
        <w:rPr>
          <w:szCs w:val="22"/>
        </w:rPr>
        <w:t>odrigo</w:t>
      </w:r>
      <w:r w:rsidR="00CB561F">
        <w:rPr>
          <w:szCs w:val="22"/>
        </w:rPr>
        <w:t xml:space="preserve"> </w:t>
      </w:r>
      <w:r w:rsidRPr="00F0701D">
        <w:rPr>
          <w:szCs w:val="22"/>
        </w:rPr>
        <w:t>Aranda</w:t>
      </w:r>
      <w:r w:rsidR="006A7FED" w:rsidRPr="00F0701D">
        <w:rPr>
          <w:szCs w:val="22"/>
        </w:rPr>
        <w:t>.</w:t>
      </w:r>
      <w:r w:rsidRPr="00F0701D">
        <w:rPr>
          <w:szCs w:val="22"/>
        </w:rPr>
        <w:t xml:space="preserve"> 2018</w:t>
      </w:r>
      <w:r w:rsidR="006A7FED" w:rsidRPr="00F0701D">
        <w:rPr>
          <w:szCs w:val="22"/>
        </w:rPr>
        <w:t>.</w:t>
      </w:r>
      <w:r w:rsidRPr="00F0701D">
        <w:rPr>
          <w:szCs w:val="22"/>
        </w:rPr>
        <w:t xml:space="preserve"> </w:t>
      </w:r>
      <w:r w:rsidR="008F4C12">
        <w:rPr>
          <w:szCs w:val="22"/>
        </w:rPr>
        <w:t>“</w:t>
      </w:r>
      <w:r w:rsidR="00444229" w:rsidRPr="00F0701D">
        <w:rPr>
          <w:szCs w:val="22"/>
        </w:rPr>
        <w:t xml:space="preserve">Analytical Foundations: </w:t>
      </w:r>
      <w:r w:rsidR="00444229" w:rsidRPr="00F0701D">
        <w:rPr>
          <w:rFonts w:cs="Times New Roman"/>
          <w:color w:val="000000"/>
          <w:szCs w:val="22"/>
        </w:rPr>
        <w:t>Measuring the Redistributive Impact of Taxes and Transfers</w:t>
      </w:r>
      <w:r w:rsidR="00A95A68">
        <w:rPr>
          <w:rFonts w:cs="Times New Roman"/>
          <w:color w:val="000000"/>
          <w:szCs w:val="22"/>
        </w:rPr>
        <w:t>.</w:t>
      </w:r>
      <w:r w:rsidR="00444229" w:rsidRPr="00F0701D">
        <w:rPr>
          <w:rFonts w:cs="Times New Roman"/>
          <w:color w:val="000000"/>
          <w:szCs w:val="22"/>
        </w:rPr>
        <w:t xml:space="preserve">” </w:t>
      </w:r>
      <w:r w:rsidR="008F4C12">
        <w:rPr>
          <w:szCs w:val="22"/>
        </w:rPr>
        <w:t>I</w:t>
      </w:r>
      <w:r w:rsidR="008F4C12" w:rsidRPr="00565011">
        <w:rPr>
          <w:szCs w:val="22"/>
        </w:rPr>
        <w:t xml:space="preserve">n </w:t>
      </w:r>
      <w:r w:rsidR="008F4C12" w:rsidRPr="00885467">
        <w:rPr>
          <w:i/>
          <w:szCs w:val="22"/>
        </w:rPr>
        <w:t>Commitment to Equity Handbook. Estimating the Impact of Fiscal Policy on Inequality and Poverty</w:t>
      </w:r>
      <w:r w:rsidR="008F4C12">
        <w:rPr>
          <w:szCs w:val="22"/>
        </w:rPr>
        <w:t>, edited by Nora Lustig, 56–115</w:t>
      </w:r>
      <w:r w:rsidR="008F4C12" w:rsidRPr="00121D3F">
        <w:rPr>
          <w:szCs w:val="22"/>
        </w:rPr>
        <w:t>. New Orleans: CEQ Institute, Tulane University; Washington, DC: Brookings Institution Pres</w:t>
      </w:r>
      <w:r w:rsidR="008F4C12">
        <w:rPr>
          <w:szCs w:val="22"/>
        </w:rPr>
        <w:t>s</w:t>
      </w:r>
      <w:r w:rsidR="008F4C12" w:rsidRPr="00121D3F">
        <w:rPr>
          <w:szCs w:val="22"/>
        </w:rPr>
        <w:t>.</w:t>
      </w:r>
    </w:p>
    <w:p w14:paraId="5943C627" w14:textId="351DEFC6" w:rsidR="0031198F" w:rsidRDefault="00B610A2" w:rsidP="00121D3F">
      <w:pPr>
        <w:pStyle w:val="Bibliography"/>
        <w:rPr>
          <w:noProof/>
          <w:szCs w:val="22"/>
        </w:rPr>
      </w:pPr>
      <w:r w:rsidRPr="00B610A2">
        <w:rPr>
          <w:noProof/>
          <w:szCs w:val="22"/>
        </w:rPr>
        <w:t>Fuchs, Alan, Giselle E. Del Carmen, and Alfred Kechia Mukong. 2018. “Long-Run Impacts of Increasing Tobacco Taxes: Evidence from South Africa.” Policy Research Working Paper 8369, World Bank, Washington, DC.</w:t>
      </w:r>
    </w:p>
    <w:p w14:paraId="3F46584F" w14:textId="37B34237" w:rsidR="000878ED" w:rsidRDefault="00452282" w:rsidP="00727D48">
      <w:pPr>
        <w:pStyle w:val="Bibliography"/>
        <w:rPr>
          <w:noProof/>
          <w:szCs w:val="22"/>
        </w:rPr>
      </w:pPr>
      <w:r w:rsidRPr="000878ED">
        <w:rPr>
          <w:noProof/>
          <w:szCs w:val="22"/>
        </w:rPr>
        <w:t>Fuch</w:t>
      </w:r>
      <w:r w:rsidR="00AF3925" w:rsidRPr="000878ED">
        <w:rPr>
          <w:noProof/>
          <w:szCs w:val="22"/>
        </w:rPr>
        <w:t>s</w:t>
      </w:r>
      <w:r w:rsidRPr="000878ED">
        <w:rPr>
          <w:noProof/>
          <w:szCs w:val="22"/>
        </w:rPr>
        <w:t>,</w:t>
      </w:r>
      <w:r w:rsidR="00AF3925" w:rsidRPr="000878ED">
        <w:rPr>
          <w:noProof/>
          <w:szCs w:val="22"/>
        </w:rPr>
        <w:t xml:space="preserve"> A</w:t>
      </w:r>
      <w:r w:rsidR="008F4C12">
        <w:rPr>
          <w:noProof/>
          <w:szCs w:val="22"/>
        </w:rPr>
        <w:t>lan</w:t>
      </w:r>
      <w:r w:rsidR="00AF3925" w:rsidRPr="000878ED">
        <w:rPr>
          <w:noProof/>
          <w:szCs w:val="22"/>
        </w:rPr>
        <w:t>,</w:t>
      </w:r>
      <w:r w:rsidRPr="000878ED">
        <w:rPr>
          <w:noProof/>
          <w:szCs w:val="22"/>
        </w:rPr>
        <w:t xml:space="preserve"> </w:t>
      </w:r>
      <w:r w:rsidR="00AF3925" w:rsidRPr="000878ED">
        <w:rPr>
          <w:noProof/>
          <w:szCs w:val="22"/>
        </w:rPr>
        <w:t>F.</w:t>
      </w:r>
      <w:r w:rsidR="00664373">
        <w:rPr>
          <w:noProof/>
          <w:szCs w:val="22"/>
        </w:rPr>
        <w:t xml:space="preserve"> </w:t>
      </w:r>
      <w:r w:rsidR="00AF3925" w:rsidRPr="000878ED">
        <w:rPr>
          <w:noProof/>
          <w:szCs w:val="22"/>
        </w:rPr>
        <w:t>G.</w:t>
      </w:r>
      <w:r w:rsidRPr="000878ED">
        <w:rPr>
          <w:noProof/>
          <w:szCs w:val="22"/>
        </w:rPr>
        <w:t xml:space="preserve"> </w:t>
      </w:r>
      <w:r w:rsidR="00664373" w:rsidRPr="000878ED">
        <w:rPr>
          <w:noProof/>
          <w:szCs w:val="22"/>
        </w:rPr>
        <w:t xml:space="preserve">Icaza, </w:t>
      </w:r>
      <w:r w:rsidRPr="000878ED">
        <w:rPr>
          <w:noProof/>
          <w:szCs w:val="22"/>
        </w:rPr>
        <w:t xml:space="preserve">and </w:t>
      </w:r>
      <w:r w:rsidR="00AF3925" w:rsidRPr="000878ED">
        <w:rPr>
          <w:noProof/>
          <w:szCs w:val="22"/>
        </w:rPr>
        <w:t xml:space="preserve">D. </w:t>
      </w:r>
      <w:r w:rsidRPr="000878ED">
        <w:rPr>
          <w:noProof/>
          <w:szCs w:val="22"/>
        </w:rPr>
        <w:t>Paz</w:t>
      </w:r>
      <w:r w:rsidR="00AC1850" w:rsidRPr="000878ED">
        <w:rPr>
          <w:noProof/>
          <w:szCs w:val="22"/>
        </w:rPr>
        <w:t>.</w:t>
      </w:r>
      <w:r w:rsidRPr="000878ED">
        <w:rPr>
          <w:noProof/>
          <w:szCs w:val="22"/>
        </w:rPr>
        <w:t xml:space="preserve"> 2019</w:t>
      </w:r>
      <w:r w:rsidR="00AC1850" w:rsidRPr="000878ED">
        <w:rPr>
          <w:noProof/>
          <w:szCs w:val="22"/>
        </w:rPr>
        <w:t>.</w:t>
      </w:r>
      <w:r w:rsidR="00EE23D5" w:rsidRPr="000878ED">
        <w:rPr>
          <w:noProof/>
          <w:szCs w:val="22"/>
        </w:rPr>
        <w:t xml:space="preserve"> </w:t>
      </w:r>
      <w:r w:rsidR="00664373">
        <w:rPr>
          <w:noProof/>
          <w:szCs w:val="22"/>
        </w:rPr>
        <w:t>“</w:t>
      </w:r>
      <w:r w:rsidR="00EE23D5" w:rsidRPr="00727D48">
        <w:rPr>
          <w:noProof/>
          <w:szCs w:val="22"/>
        </w:rPr>
        <w:t xml:space="preserve">Distributional Eefects of Tobacco Taxation. A </w:t>
      </w:r>
      <w:r w:rsidR="00AC1850" w:rsidRPr="00727D48">
        <w:rPr>
          <w:noProof/>
          <w:szCs w:val="22"/>
        </w:rPr>
        <w:t>C</w:t>
      </w:r>
      <w:r w:rsidR="00EE23D5" w:rsidRPr="00727D48">
        <w:rPr>
          <w:noProof/>
          <w:szCs w:val="22"/>
        </w:rPr>
        <w:t>ompara</w:t>
      </w:r>
      <w:r w:rsidR="00AC1850" w:rsidRPr="00727D48">
        <w:rPr>
          <w:noProof/>
          <w:szCs w:val="22"/>
        </w:rPr>
        <w:t>t</w:t>
      </w:r>
      <w:r w:rsidR="00EE23D5" w:rsidRPr="00727D48">
        <w:rPr>
          <w:noProof/>
          <w:szCs w:val="22"/>
        </w:rPr>
        <w:t xml:space="preserve">ive </w:t>
      </w:r>
      <w:r w:rsidR="00AC1850" w:rsidRPr="00727D48">
        <w:rPr>
          <w:noProof/>
          <w:szCs w:val="22"/>
        </w:rPr>
        <w:t>A</w:t>
      </w:r>
      <w:r w:rsidR="00EE23D5" w:rsidRPr="00727D48">
        <w:rPr>
          <w:noProof/>
          <w:szCs w:val="22"/>
        </w:rPr>
        <w:t>nalysis</w:t>
      </w:r>
      <w:r w:rsidR="00664373">
        <w:rPr>
          <w:noProof/>
          <w:szCs w:val="22"/>
        </w:rPr>
        <w:t>.”</w:t>
      </w:r>
      <w:r w:rsidR="00EE23D5" w:rsidRPr="000878ED">
        <w:rPr>
          <w:noProof/>
          <w:szCs w:val="22"/>
        </w:rPr>
        <w:t xml:space="preserve"> </w:t>
      </w:r>
      <w:r w:rsidR="005361B7" w:rsidRPr="000878ED">
        <w:rPr>
          <w:noProof/>
          <w:szCs w:val="22"/>
        </w:rPr>
        <w:t>Poverty and Equity Global Practice Wo</w:t>
      </w:r>
      <w:r w:rsidR="00AC1850" w:rsidRPr="000878ED">
        <w:rPr>
          <w:noProof/>
          <w:szCs w:val="22"/>
        </w:rPr>
        <w:t>r</w:t>
      </w:r>
      <w:r w:rsidR="005361B7" w:rsidRPr="000878ED">
        <w:rPr>
          <w:noProof/>
          <w:szCs w:val="22"/>
        </w:rPr>
        <w:t xml:space="preserve">king Paper 196 </w:t>
      </w:r>
      <w:r w:rsidR="00664373">
        <w:rPr>
          <w:noProof/>
          <w:szCs w:val="22"/>
        </w:rPr>
        <w:t>(</w:t>
      </w:r>
      <w:r w:rsidR="005361B7" w:rsidRPr="000878ED">
        <w:rPr>
          <w:noProof/>
          <w:szCs w:val="22"/>
        </w:rPr>
        <w:t>April</w:t>
      </w:r>
      <w:r w:rsidR="00664373">
        <w:rPr>
          <w:noProof/>
          <w:szCs w:val="22"/>
        </w:rPr>
        <w:t>)</w:t>
      </w:r>
      <w:r w:rsidR="005361B7" w:rsidRPr="000878ED">
        <w:rPr>
          <w:noProof/>
          <w:szCs w:val="22"/>
        </w:rPr>
        <w:t>.</w:t>
      </w:r>
    </w:p>
    <w:p w14:paraId="2F49DDAA" w14:textId="730009B9" w:rsidR="00664373" w:rsidRPr="00727D48" w:rsidRDefault="0031198F" w:rsidP="00727D48">
      <w:r w:rsidRPr="0031198F">
        <w:rPr>
          <w:noProof/>
          <w:szCs w:val="22"/>
        </w:rPr>
        <w:t>Fuchs, Alan, and Francisco Jalles Meneses. 2017</w:t>
      </w:r>
      <w:r>
        <w:rPr>
          <w:noProof/>
          <w:szCs w:val="22"/>
        </w:rPr>
        <w:t>a</w:t>
      </w:r>
      <w:r w:rsidRPr="0031198F">
        <w:rPr>
          <w:noProof/>
          <w:szCs w:val="22"/>
        </w:rPr>
        <w:t>. “Regressive or Progressive? The Effect of Tobacco Taxes in Ukraine.” December 27, World Bank, Washington, DC.</w:t>
      </w:r>
    </w:p>
    <w:p w14:paraId="7AFFA6FA" w14:textId="72552EE6" w:rsidR="0031198F" w:rsidRPr="00727D48" w:rsidRDefault="0031198F" w:rsidP="00727D48">
      <w:r w:rsidRPr="0031198F">
        <w:rPr>
          <w:noProof/>
          <w:szCs w:val="22"/>
        </w:rPr>
        <w:t>Fuchs, Alan, and Francisco Jalles Meneses. 2017</w:t>
      </w:r>
      <w:r>
        <w:rPr>
          <w:noProof/>
          <w:szCs w:val="22"/>
        </w:rPr>
        <w:t>b</w:t>
      </w:r>
      <w:r w:rsidRPr="0031198F">
        <w:rPr>
          <w:noProof/>
          <w:szCs w:val="22"/>
        </w:rPr>
        <w:t>. “Are Tobacco Taxes Really Regressive? Evidence from Chile.” Policy Research Working Paper 7988, World Bank, Washington, DC.</w:t>
      </w:r>
    </w:p>
    <w:p w14:paraId="6DB14872" w14:textId="48F52763" w:rsidR="005A0596" w:rsidRPr="00727D48" w:rsidRDefault="005A0596" w:rsidP="00727D48">
      <w:r>
        <w:rPr>
          <w:noProof/>
          <w:szCs w:val="22"/>
        </w:rPr>
        <w:t>Higgins</w:t>
      </w:r>
      <w:r w:rsidR="00565011">
        <w:rPr>
          <w:noProof/>
          <w:szCs w:val="22"/>
        </w:rPr>
        <w:t>, Sean,</w:t>
      </w:r>
      <w:r>
        <w:rPr>
          <w:noProof/>
          <w:szCs w:val="22"/>
        </w:rPr>
        <w:t xml:space="preserve"> and </w:t>
      </w:r>
      <w:r w:rsidR="00565011">
        <w:rPr>
          <w:noProof/>
          <w:szCs w:val="22"/>
        </w:rPr>
        <w:t xml:space="preserve">Nora </w:t>
      </w:r>
      <w:r>
        <w:rPr>
          <w:noProof/>
          <w:szCs w:val="22"/>
        </w:rPr>
        <w:t>Lustig. 2016.</w:t>
      </w:r>
      <w:r w:rsidR="00565011">
        <w:rPr>
          <w:noProof/>
          <w:szCs w:val="22"/>
        </w:rPr>
        <w:t xml:space="preserve"> “</w:t>
      </w:r>
      <w:r w:rsidR="00565011" w:rsidRPr="00565011">
        <w:rPr>
          <w:noProof/>
          <w:szCs w:val="22"/>
        </w:rPr>
        <w:t>Can a Poverty-Reducing and Progressive Tax and Transfer System</w:t>
      </w:r>
      <w:r w:rsidR="00565011">
        <w:rPr>
          <w:noProof/>
          <w:szCs w:val="22"/>
        </w:rPr>
        <w:t xml:space="preserve"> </w:t>
      </w:r>
      <w:r w:rsidR="00565011" w:rsidRPr="00565011">
        <w:rPr>
          <w:noProof/>
          <w:szCs w:val="22"/>
        </w:rPr>
        <w:t>Hurt the Poor?</w:t>
      </w:r>
      <w:r w:rsidR="00565011">
        <w:rPr>
          <w:noProof/>
          <w:szCs w:val="22"/>
        </w:rPr>
        <w:t>”</w:t>
      </w:r>
      <w:r w:rsidR="00565011" w:rsidRPr="00565011">
        <w:rPr>
          <w:noProof/>
          <w:szCs w:val="22"/>
        </w:rPr>
        <w:t xml:space="preserve"> </w:t>
      </w:r>
      <w:r w:rsidR="00565011" w:rsidRPr="00727D48">
        <w:rPr>
          <w:i/>
          <w:noProof/>
          <w:szCs w:val="22"/>
        </w:rPr>
        <w:t>Journal of Development Economics</w:t>
      </w:r>
      <w:r w:rsidR="00565011" w:rsidRPr="00565011">
        <w:rPr>
          <w:noProof/>
          <w:szCs w:val="22"/>
        </w:rPr>
        <w:t xml:space="preserve"> 122 </w:t>
      </w:r>
      <w:r w:rsidR="00565011">
        <w:rPr>
          <w:noProof/>
          <w:szCs w:val="22"/>
        </w:rPr>
        <w:t>(</w:t>
      </w:r>
      <w:r w:rsidR="00565011" w:rsidRPr="00565011">
        <w:rPr>
          <w:noProof/>
          <w:szCs w:val="22"/>
        </w:rPr>
        <w:t>September</w:t>
      </w:r>
      <w:r w:rsidR="00565011">
        <w:rPr>
          <w:noProof/>
          <w:szCs w:val="22"/>
        </w:rPr>
        <w:t xml:space="preserve">): </w:t>
      </w:r>
      <w:r w:rsidR="00565011" w:rsidRPr="00565011">
        <w:rPr>
          <w:noProof/>
          <w:szCs w:val="22"/>
        </w:rPr>
        <w:t>63</w:t>
      </w:r>
      <w:r w:rsidR="00565011">
        <w:rPr>
          <w:noProof/>
          <w:szCs w:val="22"/>
        </w:rPr>
        <w:t>–</w:t>
      </w:r>
      <w:r w:rsidR="00565011" w:rsidRPr="00565011">
        <w:rPr>
          <w:noProof/>
          <w:szCs w:val="22"/>
        </w:rPr>
        <w:t>75</w:t>
      </w:r>
      <w:r w:rsidR="00565011">
        <w:rPr>
          <w:noProof/>
          <w:szCs w:val="22"/>
        </w:rPr>
        <w:t>.</w:t>
      </w:r>
    </w:p>
    <w:p w14:paraId="64A67718" w14:textId="1DBB6575" w:rsidR="002A10C2" w:rsidRPr="00F0701D" w:rsidRDefault="00121D3F" w:rsidP="00727D48">
      <w:pPr>
        <w:pStyle w:val="Bibliography"/>
        <w:rPr>
          <w:szCs w:val="22"/>
        </w:rPr>
      </w:pPr>
      <w:r>
        <w:rPr>
          <w:szCs w:val="22"/>
        </w:rPr>
        <w:t>IMF (</w:t>
      </w:r>
      <w:r w:rsidR="00B253A6" w:rsidRPr="00F0701D">
        <w:rPr>
          <w:szCs w:val="22"/>
        </w:rPr>
        <w:t>I</w:t>
      </w:r>
      <w:r w:rsidR="00C43AF9" w:rsidRPr="00F0701D">
        <w:rPr>
          <w:szCs w:val="22"/>
        </w:rPr>
        <w:t xml:space="preserve">nternational </w:t>
      </w:r>
      <w:r w:rsidR="00B253A6" w:rsidRPr="00F0701D">
        <w:rPr>
          <w:szCs w:val="22"/>
        </w:rPr>
        <w:t>M</w:t>
      </w:r>
      <w:r w:rsidR="00C43AF9" w:rsidRPr="00F0701D">
        <w:rPr>
          <w:szCs w:val="22"/>
        </w:rPr>
        <w:t xml:space="preserve">onetary </w:t>
      </w:r>
      <w:r w:rsidR="00B253A6" w:rsidRPr="00F0701D">
        <w:rPr>
          <w:szCs w:val="22"/>
        </w:rPr>
        <w:t>F</w:t>
      </w:r>
      <w:r w:rsidR="00C43AF9" w:rsidRPr="00F0701D">
        <w:rPr>
          <w:szCs w:val="22"/>
        </w:rPr>
        <w:t>und</w:t>
      </w:r>
      <w:r>
        <w:rPr>
          <w:szCs w:val="22"/>
        </w:rPr>
        <w:t>).</w:t>
      </w:r>
      <w:r w:rsidR="00B253A6" w:rsidRPr="00F0701D">
        <w:rPr>
          <w:szCs w:val="22"/>
        </w:rPr>
        <w:t xml:space="preserve"> 2019</w:t>
      </w:r>
      <w:r w:rsidR="00EB72DC" w:rsidRPr="00F0701D">
        <w:rPr>
          <w:szCs w:val="22"/>
        </w:rPr>
        <w:t>.</w:t>
      </w:r>
      <w:r w:rsidR="00B253A6" w:rsidRPr="00F0701D">
        <w:rPr>
          <w:szCs w:val="22"/>
        </w:rPr>
        <w:t xml:space="preserve"> </w:t>
      </w:r>
      <w:r w:rsidR="008B310A">
        <w:rPr>
          <w:szCs w:val="22"/>
        </w:rPr>
        <w:t>“</w:t>
      </w:r>
      <w:r w:rsidR="00B253A6" w:rsidRPr="00F0701D">
        <w:rPr>
          <w:szCs w:val="22"/>
        </w:rPr>
        <w:t>IMF Staff Completes 2019 Article IV Mission to Mauritius</w:t>
      </w:r>
      <w:r w:rsidR="008B310A">
        <w:rPr>
          <w:szCs w:val="22"/>
        </w:rPr>
        <w:t>.”</w:t>
      </w:r>
      <w:r w:rsidR="00B253A6" w:rsidRPr="00F0701D">
        <w:rPr>
          <w:szCs w:val="22"/>
        </w:rPr>
        <w:t xml:space="preserve"> Press Release </w:t>
      </w:r>
      <w:r w:rsidR="00EB72DC" w:rsidRPr="00F0701D">
        <w:rPr>
          <w:szCs w:val="22"/>
        </w:rPr>
        <w:t>19/22</w:t>
      </w:r>
      <w:r w:rsidR="00880F57">
        <w:rPr>
          <w:szCs w:val="22"/>
        </w:rPr>
        <w:t>, IMF, Washington, DC</w:t>
      </w:r>
      <w:r w:rsidR="00EB72DC" w:rsidRPr="00F0701D">
        <w:rPr>
          <w:szCs w:val="22"/>
        </w:rPr>
        <w:t>.</w:t>
      </w:r>
    </w:p>
    <w:p w14:paraId="374E653E" w14:textId="3A53ED67" w:rsidR="000437B9" w:rsidRDefault="00C32033" w:rsidP="00727D48">
      <w:pPr>
        <w:pStyle w:val="Bibliography"/>
        <w:rPr>
          <w:szCs w:val="22"/>
        </w:rPr>
      </w:pPr>
      <w:r w:rsidRPr="00C32033">
        <w:rPr>
          <w:szCs w:val="22"/>
        </w:rPr>
        <w:t xml:space="preserve">Inchauste, Gabriela, and Nora C. Lustig, eds. 2017. </w:t>
      </w:r>
      <w:r w:rsidRPr="00727D48">
        <w:rPr>
          <w:i/>
          <w:szCs w:val="22"/>
        </w:rPr>
        <w:t>The Distributional Impact of Fiscal Policy: Evidence from Eight Low- and Middle-Income Countries</w:t>
      </w:r>
      <w:r w:rsidRPr="00C32033">
        <w:rPr>
          <w:szCs w:val="22"/>
        </w:rPr>
        <w:t>. Directions in Development: Poverty Series. Washington, DC: World Bank.</w:t>
      </w:r>
    </w:p>
    <w:p w14:paraId="17D93244" w14:textId="4EDB77AF" w:rsidR="008B73DF" w:rsidRDefault="008B73DF" w:rsidP="008B73DF">
      <w:pPr>
        <w:pStyle w:val="Bibliography"/>
        <w:rPr>
          <w:szCs w:val="22"/>
        </w:rPr>
      </w:pPr>
      <w:r w:rsidRPr="008B73DF">
        <w:rPr>
          <w:szCs w:val="22"/>
        </w:rPr>
        <w:t>Lambert, Peter</w:t>
      </w:r>
      <w:r>
        <w:rPr>
          <w:szCs w:val="22"/>
        </w:rPr>
        <w:t xml:space="preserve"> J</w:t>
      </w:r>
      <w:r w:rsidRPr="008B73DF">
        <w:rPr>
          <w:szCs w:val="22"/>
        </w:rPr>
        <w:t xml:space="preserve">. 2001. </w:t>
      </w:r>
      <w:r w:rsidRPr="00727D48">
        <w:rPr>
          <w:i/>
          <w:szCs w:val="22"/>
        </w:rPr>
        <w:t>The Distribution and Redistribution of Income</w:t>
      </w:r>
      <w:r w:rsidRPr="008B73DF">
        <w:rPr>
          <w:szCs w:val="22"/>
        </w:rPr>
        <w:t>, 3rd ed</w:t>
      </w:r>
      <w:r>
        <w:rPr>
          <w:szCs w:val="22"/>
        </w:rPr>
        <w:t>.</w:t>
      </w:r>
      <w:r w:rsidRPr="008B73DF">
        <w:rPr>
          <w:szCs w:val="22"/>
        </w:rPr>
        <w:t xml:space="preserve"> Manchester</w:t>
      </w:r>
      <w:r>
        <w:rPr>
          <w:szCs w:val="22"/>
        </w:rPr>
        <w:t xml:space="preserve">: Manchester </w:t>
      </w:r>
      <w:r w:rsidRPr="008B73DF">
        <w:rPr>
          <w:szCs w:val="22"/>
        </w:rPr>
        <w:t>University Press</w:t>
      </w:r>
      <w:r>
        <w:rPr>
          <w:szCs w:val="22"/>
        </w:rPr>
        <w:t>.</w:t>
      </w:r>
    </w:p>
    <w:p w14:paraId="549095B1" w14:textId="292D6A83" w:rsidR="002A10C2" w:rsidRPr="00F0701D" w:rsidRDefault="00121D3F" w:rsidP="00727D48">
      <w:pPr>
        <w:pStyle w:val="Bibliography"/>
        <w:rPr>
          <w:szCs w:val="22"/>
        </w:rPr>
      </w:pPr>
      <w:r w:rsidRPr="00121D3F">
        <w:rPr>
          <w:szCs w:val="22"/>
        </w:rPr>
        <w:t xml:space="preserve">Lustig, Nora C., ed. 2018. </w:t>
      </w:r>
      <w:r w:rsidRPr="00727D48">
        <w:rPr>
          <w:i/>
          <w:szCs w:val="22"/>
        </w:rPr>
        <w:t>Commitment to Equity Handbook. Estimating the Impact of Fiscal Policy on Inequality and Poverty</w:t>
      </w:r>
      <w:r w:rsidRPr="00121D3F">
        <w:rPr>
          <w:szCs w:val="22"/>
        </w:rPr>
        <w:t>. New Orleans: CEQ Institute, Tulane University; Washington, DC: Brookings Institution Press.</w:t>
      </w:r>
    </w:p>
    <w:p w14:paraId="48C2C8C1" w14:textId="4E5BDE7C" w:rsidR="005A0596" w:rsidRPr="00225990" w:rsidRDefault="005A0596" w:rsidP="00727D48">
      <w:r>
        <w:rPr>
          <w:szCs w:val="22"/>
        </w:rPr>
        <w:t>Lustig</w:t>
      </w:r>
      <w:r w:rsidR="005F02F8">
        <w:rPr>
          <w:szCs w:val="22"/>
        </w:rPr>
        <w:t>, Nora,</w:t>
      </w:r>
      <w:r>
        <w:rPr>
          <w:szCs w:val="22"/>
        </w:rPr>
        <w:t xml:space="preserve"> and </w:t>
      </w:r>
      <w:r w:rsidR="005F02F8">
        <w:rPr>
          <w:szCs w:val="22"/>
        </w:rPr>
        <w:t xml:space="preserve">Sean </w:t>
      </w:r>
      <w:r>
        <w:rPr>
          <w:szCs w:val="22"/>
        </w:rPr>
        <w:t>Higgins. 2018.</w:t>
      </w:r>
      <w:r w:rsidR="00565011">
        <w:rPr>
          <w:szCs w:val="22"/>
        </w:rPr>
        <w:t xml:space="preserve"> </w:t>
      </w:r>
      <w:r w:rsidR="00565011" w:rsidRPr="00565011">
        <w:rPr>
          <w:szCs w:val="22"/>
        </w:rPr>
        <w:t>“The CEQ Assessment: Measuring the Impact of Fiscal Policy on Inequality and</w:t>
      </w:r>
      <w:r w:rsidR="005F02F8">
        <w:rPr>
          <w:szCs w:val="22"/>
        </w:rPr>
        <w:t xml:space="preserve"> </w:t>
      </w:r>
      <w:r w:rsidR="00565011" w:rsidRPr="00565011">
        <w:rPr>
          <w:szCs w:val="22"/>
        </w:rPr>
        <w:t>Poverty</w:t>
      </w:r>
      <w:r w:rsidR="005F02F8">
        <w:rPr>
          <w:szCs w:val="22"/>
        </w:rPr>
        <w:t>.</w:t>
      </w:r>
      <w:r w:rsidR="00565011" w:rsidRPr="00565011">
        <w:rPr>
          <w:szCs w:val="22"/>
        </w:rPr>
        <w:t xml:space="preserve">” </w:t>
      </w:r>
      <w:r w:rsidR="005F02F8">
        <w:rPr>
          <w:szCs w:val="22"/>
        </w:rPr>
        <w:t>I</w:t>
      </w:r>
      <w:r w:rsidR="00565011" w:rsidRPr="00565011">
        <w:rPr>
          <w:szCs w:val="22"/>
        </w:rPr>
        <w:t xml:space="preserve">n </w:t>
      </w:r>
      <w:r w:rsidR="005F02F8" w:rsidRPr="00885467">
        <w:rPr>
          <w:i/>
          <w:szCs w:val="22"/>
        </w:rPr>
        <w:t>Commitment to Equity Handbook. Estimating the Impact of Fiscal Policy on Inequality and Poverty</w:t>
      </w:r>
      <w:r w:rsidR="005F02F8">
        <w:rPr>
          <w:szCs w:val="22"/>
        </w:rPr>
        <w:t>, edited by Nora Lustig, 3–55</w:t>
      </w:r>
      <w:r w:rsidR="005F02F8" w:rsidRPr="00121D3F">
        <w:rPr>
          <w:szCs w:val="22"/>
        </w:rPr>
        <w:t>. New Orleans: CEQ Institute, Tulane University; Washington, DC: Brookings Institution Press.</w:t>
      </w:r>
    </w:p>
    <w:p w14:paraId="63CCFDDD" w14:textId="3BE43302" w:rsidR="00E962AA" w:rsidRDefault="00E962AA" w:rsidP="00121D3F">
      <w:pPr>
        <w:pStyle w:val="Bibliography"/>
        <w:rPr>
          <w:szCs w:val="22"/>
        </w:rPr>
      </w:pPr>
      <w:r w:rsidRPr="00E962AA">
        <w:rPr>
          <w:szCs w:val="22"/>
        </w:rPr>
        <w:t xml:space="preserve">Martinez-Vazquez, Jorge. 2008. “The Impact of Budgets on the Poor: Tax and Expenditure Benefit Incidence Analysis.” In </w:t>
      </w:r>
      <w:r w:rsidRPr="00727D48">
        <w:rPr>
          <w:i/>
          <w:szCs w:val="22"/>
        </w:rPr>
        <w:t>Public Finance for Poverty Reduction: Concepts and Case Studies from Africa and Latin America</w:t>
      </w:r>
      <w:r w:rsidRPr="00E962AA">
        <w:rPr>
          <w:szCs w:val="22"/>
        </w:rPr>
        <w:t>, edited by Blanca Moreno-Dodson and Quentin Wodon, 113–62. Directions in Development: Poverty Series. Washington, DC: World Bank.</w:t>
      </w:r>
    </w:p>
    <w:p w14:paraId="6BB255FF" w14:textId="57D00E9A" w:rsidR="002A10C2" w:rsidRPr="00F0701D" w:rsidRDefault="004C2245" w:rsidP="00727D48">
      <w:pPr>
        <w:pStyle w:val="Bibliography"/>
        <w:rPr>
          <w:szCs w:val="22"/>
        </w:rPr>
      </w:pPr>
      <w:r w:rsidRPr="00F0701D">
        <w:rPr>
          <w:szCs w:val="22"/>
        </w:rPr>
        <w:t xml:space="preserve">Ministry of Health </w:t>
      </w:r>
      <w:r w:rsidR="00F36006" w:rsidRPr="00F0701D">
        <w:rPr>
          <w:szCs w:val="22"/>
        </w:rPr>
        <w:t xml:space="preserve">and Quality of Life. </w:t>
      </w:r>
      <w:r w:rsidRPr="00F0701D">
        <w:rPr>
          <w:szCs w:val="22"/>
        </w:rPr>
        <w:t xml:space="preserve">2017. </w:t>
      </w:r>
      <w:r w:rsidR="00F16CEA" w:rsidRPr="00F0701D">
        <w:rPr>
          <w:szCs w:val="22"/>
        </w:rPr>
        <w:t>National Health Accounts</w:t>
      </w:r>
      <w:r w:rsidR="00F36006" w:rsidRPr="00F0701D">
        <w:rPr>
          <w:szCs w:val="22"/>
        </w:rPr>
        <w:t xml:space="preserve"> 2017</w:t>
      </w:r>
      <w:r w:rsidRPr="00F0701D">
        <w:rPr>
          <w:szCs w:val="22"/>
        </w:rPr>
        <w:t xml:space="preserve">. </w:t>
      </w:r>
      <w:r w:rsidR="00F36006" w:rsidRPr="00F0701D">
        <w:rPr>
          <w:szCs w:val="22"/>
        </w:rPr>
        <w:t xml:space="preserve">Republic of Mauritius, </w:t>
      </w:r>
      <w:r w:rsidRPr="00F0701D">
        <w:rPr>
          <w:szCs w:val="22"/>
        </w:rPr>
        <w:t>Port Louis.</w:t>
      </w:r>
    </w:p>
    <w:p w14:paraId="517300E8" w14:textId="62DB130C" w:rsidR="002A10C2" w:rsidRPr="00F0701D" w:rsidRDefault="00735F52" w:rsidP="00727D48">
      <w:pPr>
        <w:pStyle w:val="Bibliography"/>
        <w:rPr>
          <w:szCs w:val="22"/>
        </w:rPr>
      </w:pPr>
      <w:r w:rsidRPr="00F0701D">
        <w:rPr>
          <w:szCs w:val="22"/>
        </w:rPr>
        <w:t xml:space="preserve">Statistics Mauritius. 2018. </w:t>
      </w:r>
      <w:r w:rsidR="003901B4" w:rsidRPr="00F0701D">
        <w:rPr>
          <w:szCs w:val="22"/>
        </w:rPr>
        <w:t>H</w:t>
      </w:r>
      <w:r w:rsidR="00AE3AF9">
        <w:rPr>
          <w:szCs w:val="22"/>
        </w:rPr>
        <w:t>ousehold Budget Survey 2017 and the Updated Consumer Price Index – Methodological Report,</w:t>
      </w:r>
      <w:r w:rsidR="00BE3654" w:rsidRPr="00F0701D">
        <w:rPr>
          <w:szCs w:val="22"/>
        </w:rPr>
        <w:t xml:space="preserve"> </w:t>
      </w:r>
      <w:r w:rsidR="003901B4" w:rsidRPr="00F0701D">
        <w:rPr>
          <w:szCs w:val="22"/>
        </w:rPr>
        <w:t>Republic of Mauritius</w:t>
      </w:r>
      <w:r w:rsidRPr="00F0701D">
        <w:rPr>
          <w:szCs w:val="22"/>
        </w:rPr>
        <w:t>, Port Louis.</w:t>
      </w:r>
    </w:p>
    <w:p w14:paraId="5CC3D9E6" w14:textId="77777777" w:rsidR="00F0701D" w:rsidRPr="00F0701D" w:rsidRDefault="006152DC" w:rsidP="00727D48">
      <w:pPr>
        <w:pStyle w:val="Bibliography"/>
        <w:rPr>
          <w:szCs w:val="22"/>
        </w:rPr>
      </w:pPr>
      <w:r w:rsidRPr="00F0701D">
        <w:rPr>
          <w:szCs w:val="22"/>
        </w:rPr>
        <w:t>Toder, Eric, Jim Nunns, and Joseph Rosenberg 2012. </w:t>
      </w:r>
      <w:hyperlink r:id="rId42" w:history="1">
        <w:r w:rsidRPr="00F0701D">
          <w:rPr>
            <w:szCs w:val="22"/>
          </w:rPr>
          <w:t>“Implications of Different Bases for a</w:t>
        </w:r>
        <w:r w:rsidR="00F0701D" w:rsidRPr="00F0701D">
          <w:rPr>
            <w:szCs w:val="22"/>
          </w:rPr>
          <w:t xml:space="preserve"> </w:t>
        </w:r>
        <w:r w:rsidRPr="00F0701D">
          <w:rPr>
            <w:szCs w:val="22"/>
          </w:rPr>
          <w:t>VAT.”</w:t>
        </w:r>
      </w:hyperlink>
      <w:r w:rsidR="00BF658C" w:rsidRPr="00F0701D">
        <w:rPr>
          <w:szCs w:val="22"/>
        </w:rPr>
        <w:t>,</w:t>
      </w:r>
      <w:r w:rsidRPr="00F0701D">
        <w:rPr>
          <w:szCs w:val="22"/>
        </w:rPr>
        <w:t> Urban-Brookings Tax Policy Center</w:t>
      </w:r>
      <w:r w:rsidR="00BF658C" w:rsidRPr="00F0701D">
        <w:rPr>
          <w:szCs w:val="22"/>
        </w:rPr>
        <w:t>: Washington, DC</w:t>
      </w:r>
      <w:r w:rsidRPr="00F0701D">
        <w:rPr>
          <w:szCs w:val="22"/>
        </w:rPr>
        <w:t>.</w:t>
      </w:r>
    </w:p>
    <w:p w14:paraId="3030C110" w14:textId="7383BB01" w:rsidR="00405BF6" w:rsidRPr="00F0701D" w:rsidRDefault="00121D3F" w:rsidP="00727D48">
      <w:pPr>
        <w:pStyle w:val="Bibliography"/>
        <w:rPr>
          <w:szCs w:val="22"/>
        </w:rPr>
      </w:pPr>
      <w:r>
        <w:rPr>
          <w:szCs w:val="22"/>
        </w:rPr>
        <w:t>UNDP (</w:t>
      </w:r>
      <w:r w:rsidR="00BE3654" w:rsidRPr="00F0701D">
        <w:rPr>
          <w:szCs w:val="22"/>
        </w:rPr>
        <w:t xml:space="preserve">United </w:t>
      </w:r>
      <w:r w:rsidR="00405BF6" w:rsidRPr="00F0701D">
        <w:rPr>
          <w:szCs w:val="22"/>
        </w:rPr>
        <w:t>N</w:t>
      </w:r>
      <w:r w:rsidR="00BE3654" w:rsidRPr="00F0701D">
        <w:rPr>
          <w:szCs w:val="22"/>
        </w:rPr>
        <w:t xml:space="preserve">ations </w:t>
      </w:r>
      <w:r w:rsidR="00405BF6" w:rsidRPr="00F0701D">
        <w:rPr>
          <w:szCs w:val="22"/>
        </w:rPr>
        <w:t>D</w:t>
      </w:r>
      <w:r w:rsidR="00BE3654" w:rsidRPr="00F0701D">
        <w:rPr>
          <w:szCs w:val="22"/>
        </w:rPr>
        <w:t xml:space="preserve">evelopment </w:t>
      </w:r>
      <w:r w:rsidR="00405BF6" w:rsidRPr="00F0701D">
        <w:rPr>
          <w:szCs w:val="22"/>
        </w:rPr>
        <w:t>P</w:t>
      </w:r>
      <w:r w:rsidR="00BE3654" w:rsidRPr="00F0701D">
        <w:rPr>
          <w:szCs w:val="22"/>
        </w:rPr>
        <w:t>rogram</w:t>
      </w:r>
      <w:r>
        <w:rPr>
          <w:szCs w:val="22"/>
        </w:rPr>
        <w:t>me)</w:t>
      </w:r>
      <w:r w:rsidR="00405BF6" w:rsidRPr="00F0701D">
        <w:rPr>
          <w:szCs w:val="22"/>
        </w:rPr>
        <w:t xml:space="preserve">. 2018. “An </w:t>
      </w:r>
      <w:r>
        <w:rPr>
          <w:szCs w:val="22"/>
        </w:rPr>
        <w:t>O</w:t>
      </w:r>
      <w:r w:rsidR="00405BF6" w:rsidRPr="00F0701D">
        <w:rPr>
          <w:szCs w:val="22"/>
        </w:rPr>
        <w:t>verview of UNDP-</w:t>
      </w:r>
      <w:r w:rsidRPr="00F0701D">
        <w:rPr>
          <w:szCs w:val="22"/>
        </w:rPr>
        <w:t xml:space="preserve">Supported Anti-Poverty Reforms </w:t>
      </w:r>
      <w:r w:rsidR="00405BF6" w:rsidRPr="00F0701D">
        <w:rPr>
          <w:szCs w:val="22"/>
        </w:rPr>
        <w:t>in Mauritius</w:t>
      </w:r>
      <w:r>
        <w:rPr>
          <w:szCs w:val="22"/>
        </w:rPr>
        <w:t>.</w:t>
      </w:r>
      <w:r w:rsidR="00405BF6" w:rsidRPr="00F0701D">
        <w:rPr>
          <w:szCs w:val="22"/>
        </w:rPr>
        <w:t>”</w:t>
      </w:r>
      <w:r w:rsidR="00652918" w:rsidRPr="00F0701D">
        <w:rPr>
          <w:szCs w:val="22"/>
        </w:rPr>
        <w:t xml:space="preserve"> </w:t>
      </w:r>
      <w:r>
        <w:rPr>
          <w:szCs w:val="22"/>
        </w:rPr>
        <w:t>Unpublished paper</w:t>
      </w:r>
      <w:r w:rsidR="00652918" w:rsidRPr="00F0701D">
        <w:rPr>
          <w:szCs w:val="22"/>
        </w:rPr>
        <w:t>.</w:t>
      </w:r>
    </w:p>
    <w:p w14:paraId="3A6A6470" w14:textId="5269E7F0" w:rsidR="00121D3F" w:rsidRDefault="009A003C" w:rsidP="00727D48">
      <w:pPr>
        <w:pStyle w:val="Bibliography"/>
        <w:rPr>
          <w:szCs w:val="22"/>
        </w:rPr>
      </w:pPr>
      <w:r w:rsidRPr="00F0701D">
        <w:rPr>
          <w:szCs w:val="22"/>
        </w:rPr>
        <w:t>World Bank</w:t>
      </w:r>
      <w:r w:rsidR="005678F2" w:rsidRPr="00F0701D">
        <w:rPr>
          <w:szCs w:val="22"/>
        </w:rPr>
        <w:t>.</w:t>
      </w:r>
      <w:r w:rsidRPr="00F0701D">
        <w:rPr>
          <w:szCs w:val="22"/>
        </w:rPr>
        <w:t xml:space="preserve"> 2017</w:t>
      </w:r>
      <w:r w:rsidR="005678F2" w:rsidRPr="00F0701D">
        <w:rPr>
          <w:szCs w:val="22"/>
        </w:rPr>
        <w:t>.</w:t>
      </w:r>
      <w:r w:rsidR="00BF658C" w:rsidRPr="00F0701D">
        <w:rPr>
          <w:szCs w:val="22"/>
        </w:rPr>
        <w:t xml:space="preserve"> </w:t>
      </w:r>
      <w:r w:rsidR="00C32033">
        <w:rPr>
          <w:szCs w:val="22"/>
        </w:rPr>
        <w:t>“</w:t>
      </w:r>
      <w:r w:rsidR="00C43AF9" w:rsidRPr="00F0701D">
        <w:rPr>
          <w:szCs w:val="22"/>
        </w:rPr>
        <w:t xml:space="preserve">Mauritius: </w:t>
      </w:r>
      <w:r w:rsidR="00BF658C" w:rsidRPr="00F0701D">
        <w:rPr>
          <w:szCs w:val="22"/>
        </w:rPr>
        <w:t>Addressing Inequality through More Equitable Labor M</w:t>
      </w:r>
      <w:r w:rsidR="00C43AF9" w:rsidRPr="00F0701D">
        <w:rPr>
          <w:szCs w:val="22"/>
        </w:rPr>
        <w:t>a</w:t>
      </w:r>
      <w:r w:rsidR="00BF658C" w:rsidRPr="00F0701D">
        <w:rPr>
          <w:szCs w:val="22"/>
        </w:rPr>
        <w:t>rkets</w:t>
      </w:r>
      <w:r w:rsidR="00C32033">
        <w:rPr>
          <w:szCs w:val="22"/>
        </w:rPr>
        <w:t>.”</w:t>
      </w:r>
      <w:r w:rsidR="00C43AF9" w:rsidRPr="00F0701D">
        <w:rPr>
          <w:szCs w:val="22"/>
        </w:rPr>
        <w:t xml:space="preserve"> World Bank</w:t>
      </w:r>
      <w:r w:rsidR="00121D3F">
        <w:rPr>
          <w:szCs w:val="22"/>
        </w:rPr>
        <w:t>,</w:t>
      </w:r>
      <w:r w:rsidR="00C43AF9" w:rsidRPr="00F0701D">
        <w:rPr>
          <w:szCs w:val="22"/>
        </w:rPr>
        <w:t xml:space="preserve"> Washington, DC.</w:t>
      </w:r>
    </w:p>
    <w:p w14:paraId="617E1D01" w14:textId="77777777" w:rsidR="00121D3F" w:rsidRDefault="00121D3F" w:rsidP="000878ED"/>
    <w:p w14:paraId="5F3F62BF" w14:textId="1E9BFE79" w:rsidR="002E6831" w:rsidRDefault="002E6831" w:rsidP="000878ED">
      <w:r>
        <w:br w:type="page"/>
      </w:r>
    </w:p>
    <w:p w14:paraId="1DBC1E51" w14:textId="5CFF6B66" w:rsidR="002E6831" w:rsidRPr="002B0033" w:rsidRDefault="002E6831" w:rsidP="005864C5">
      <w:pPr>
        <w:pStyle w:val="Heading1"/>
        <w:rPr>
          <w:rFonts w:ascii="Times New Roman" w:hAnsi="Times New Roman" w:cs="Times New Roman"/>
        </w:rPr>
      </w:pPr>
      <w:bookmarkStart w:id="152" w:name="_Toc8812815"/>
      <w:bookmarkStart w:id="153" w:name="_Toc10824889"/>
      <w:bookmarkStart w:id="154" w:name="_Toc10824961"/>
      <w:r w:rsidRPr="002B0033">
        <w:rPr>
          <w:rFonts w:ascii="Times New Roman" w:hAnsi="Times New Roman" w:cs="Times New Roman"/>
        </w:rPr>
        <w:t>Annex</w:t>
      </w:r>
      <w:r w:rsidR="00D55201">
        <w:rPr>
          <w:rFonts w:ascii="Times New Roman" w:hAnsi="Times New Roman" w:cs="Times New Roman"/>
        </w:rPr>
        <w:t xml:space="preserve"> A</w:t>
      </w:r>
      <w:r w:rsidRPr="002B0033">
        <w:rPr>
          <w:rFonts w:ascii="Times New Roman" w:hAnsi="Times New Roman" w:cs="Times New Roman"/>
        </w:rPr>
        <w:t>: Data Sources</w:t>
      </w:r>
      <w:r w:rsidR="00383AD7">
        <w:rPr>
          <w:rFonts w:ascii="Times New Roman" w:hAnsi="Times New Roman" w:cs="Times New Roman"/>
        </w:rPr>
        <w:t xml:space="preserve"> and Methodological Assumptions</w:t>
      </w:r>
      <w:bookmarkEnd w:id="152"/>
      <w:bookmarkEnd w:id="153"/>
      <w:bookmarkEnd w:id="154"/>
    </w:p>
    <w:p w14:paraId="78D37872" w14:textId="7B799F0F" w:rsidR="00A4147F" w:rsidRDefault="00FB78BD" w:rsidP="00FA577F">
      <w:pPr>
        <w:pStyle w:val="Heading3"/>
      </w:pPr>
      <w:bookmarkStart w:id="155" w:name="_Toc10824890"/>
      <w:bookmarkStart w:id="156" w:name="_Toc10824962"/>
      <w:r>
        <w:t xml:space="preserve">Main </w:t>
      </w:r>
      <w:r w:rsidR="00A4147F">
        <w:t>Data Source</w:t>
      </w:r>
      <w:bookmarkEnd w:id="155"/>
      <w:bookmarkEnd w:id="156"/>
    </w:p>
    <w:p w14:paraId="774EAE2A" w14:textId="6746564D" w:rsidR="007F693F" w:rsidRPr="001A3CF9" w:rsidRDefault="006B6D75" w:rsidP="001A3CF9">
      <w:r w:rsidRPr="001A3CF9">
        <w:t>The analysis makes use of data from the HBS</w:t>
      </w:r>
      <w:r w:rsidR="00E34E35" w:rsidRPr="001A3CF9">
        <w:t xml:space="preserve"> conducted by </w:t>
      </w:r>
      <w:r w:rsidR="001D6D44" w:rsidRPr="001A3CF9">
        <w:t xml:space="preserve">Statistics Mauritius </w:t>
      </w:r>
      <w:r w:rsidR="00E34E35" w:rsidRPr="001A3CF9">
        <w:t>from January to December 2017. The 2017 HBS i</w:t>
      </w:r>
      <w:r w:rsidR="001D6D44" w:rsidRPr="001A3CF9">
        <w:t>s</w:t>
      </w:r>
      <w:r w:rsidR="00D431CC" w:rsidRPr="001A3CF9">
        <w:t xml:space="preserve"> the</w:t>
      </w:r>
      <w:r w:rsidR="001D6D44" w:rsidRPr="001A3CF9">
        <w:t xml:space="preserve"> </w:t>
      </w:r>
      <w:r w:rsidR="007A70F3">
        <w:t xml:space="preserve">10th </w:t>
      </w:r>
      <w:r w:rsidR="001D6D44" w:rsidRPr="001A3CF9">
        <w:t xml:space="preserve">HBS. The survey </w:t>
      </w:r>
      <w:r w:rsidR="00D431CC" w:rsidRPr="001A3CF9">
        <w:t>covers a nationally representative</w:t>
      </w:r>
      <w:r w:rsidR="001D6D44" w:rsidRPr="001A3CF9">
        <w:t xml:space="preserve"> sample of 7,000 households</w:t>
      </w:r>
      <w:r w:rsidR="00014097" w:rsidRPr="001A3CF9">
        <w:t>, including</w:t>
      </w:r>
      <w:r w:rsidR="00E032B1" w:rsidRPr="001A3CF9">
        <w:t xml:space="preserve"> all private n</w:t>
      </w:r>
      <w:r w:rsidR="004C6E0D">
        <w:t>on</w:t>
      </w:r>
      <w:r w:rsidR="00E032B1" w:rsidRPr="001A3CF9">
        <w:t>institutional and n</w:t>
      </w:r>
      <w:r w:rsidR="004C6E0D">
        <w:t>on</w:t>
      </w:r>
      <w:r w:rsidR="00E032B1" w:rsidRPr="001A3CF9">
        <w:t xml:space="preserve">resident households in both the islands of Mauritius and Rodrigues. </w:t>
      </w:r>
      <w:r w:rsidR="007F693F" w:rsidRPr="001A3CF9">
        <w:t>The national sample comprised 2 separate samples, one of 6,520 for the island of</w:t>
      </w:r>
      <w:r w:rsidR="00D83DF6" w:rsidRPr="001A3CF9">
        <w:t xml:space="preserve"> </w:t>
      </w:r>
      <w:r w:rsidR="007F693F" w:rsidRPr="001A3CF9">
        <w:t>Mauritius and another one of 480 for Rodrigues. The sampling fraction used for</w:t>
      </w:r>
      <w:r w:rsidR="00D83DF6" w:rsidRPr="001A3CF9">
        <w:t xml:space="preserve"> </w:t>
      </w:r>
      <w:r w:rsidR="007F693F" w:rsidRPr="001A3CF9">
        <w:t>Rodrigues was larger because of the smaller number of households in the island.</w:t>
      </w:r>
      <w:r w:rsidR="00AD4A6B">
        <w:rPr>
          <w:rStyle w:val="FootnoteReference"/>
        </w:rPr>
        <w:footnoteReference w:id="20"/>
      </w:r>
    </w:p>
    <w:p w14:paraId="2707C8F9" w14:textId="623F0C69" w:rsidR="0057118D" w:rsidRPr="001A3CF9" w:rsidRDefault="0057118D" w:rsidP="001A3CF9">
      <w:r w:rsidRPr="001A3CF9">
        <w:t xml:space="preserve">The 2017 HBS </w:t>
      </w:r>
      <w:r w:rsidR="005B668F" w:rsidRPr="001A3CF9">
        <w:t xml:space="preserve">collects information on both income and consumption and </w:t>
      </w:r>
      <w:r w:rsidR="00853D12" w:rsidRPr="001A3CF9">
        <w:t xml:space="preserve">is composed of the following </w:t>
      </w:r>
      <w:r w:rsidR="00735F52" w:rsidRPr="001A3CF9">
        <w:t>four</w:t>
      </w:r>
      <w:r w:rsidRPr="001A3CF9">
        <w:t xml:space="preserve"> </w:t>
      </w:r>
      <w:r w:rsidR="00735F52" w:rsidRPr="001A3CF9">
        <w:t>modules</w:t>
      </w:r>
      <w:r w:rsidR="00853D12" w:rsidRPr="001A3CF9">
        <w:t>:</w:t>
      </w:r>
    </w:p>
    <w:p w14:paraId="70B5D2D1" w14:textId="77777777" w:rsidR="0057118D" w:rsidRPr="001A3CF9" w:rsidRDefault="0057118D" w:rsidP="001A3CF9">
      <w:r w:rsidRPr="001A3CF9">
        <w:t>(a) HBS 2 – Household schedule</w:t>
      </w:r>
    </w:p>
    <w:p w14:paraId="0A659E61" w14:textId="77777777" w:rsidR="0057118D" w:rsidRPr="001A3CF9" w:rsidRDefault="0057118D" w:rsidP="001A3CF9">
      <w:r w:rsidRPr="001A3CF9">
        <w:t>(b) HBS 3 – Daily record of the household expenditure</w:t>
      </w:r>
    </w:p>
    <w:p w14:paraId="7779ABDA" w14:textId="77777777" w:rsidR="0057118D" w:rsidRPr="001A3CF9" w:rsidRDefault="0057118D" w:rsidP="001A3CF9">
      <w:r w:rsidRPr="001A3CF9">
        <w:t>(c) HBS 4 – Income schedule</w:t>
      </w:r>
    </w:p>
    <w:p w14:paraId="7CDC4CB9" w14:textId="11C2C861" w:rsidR="0057118D" w:rsidRPr="001A3CF9" w:rsidRDefault="0057118D" w:rsidP="00AF23DE">
      <w:r w:rsidRPr="001A3CF9">
        <w:t>(d) HBS 5 – Point of purchase questionnaire</w:t>
      </w:r>
    </w:p>
    <w:p w14:paraId="1ED2EF71" w14:textId="2AA50BEC" w:rsidR="00AA6E9C" w:rsidRDefault="005B668F" w:rsidP="001A3CF9">
      <w:r w:rsidRPr="001A3CF9">
        <w:t>I</w:t>
      </w:r>
      <w:r w:rsidR="00643732" w:rsidRPr="001A3CF9">
        <w:t xml:space="preserve">ncome </w:t>
      </w:r>
      <w:r w:rsidR="003735DB" w:rsidRPr="001A3CF9">
        <w:t xml:space="preserve">from labor </w:t>
      </w:r>
      <w:r w:rsidR="00F254CB" w:rsidRPr="001A3CF9">
        <w:t>is</w:t>
      </w:r>
      <w:r w:rsidR="00643732" w:rsidRPr="001A3CF9">
        <w:t xml:space="preserve"> collected </w:t>
      </w:r>
      <w:r w:rsidR="00F254CB" w:rsidRPr="001A3CF9">
        <w:t>at the individual level across all household members aged 16 and above who report to be employed.</w:t>
      </w:r>
      <w:r w:rsidR="00045096" w:rsidRPr="001A3CF9">
        <w:t xml:space="preserve"> I</w:t>
      </w:r>
      <w:r w:rsidR="00643732" w:rsidRPr="001A3CF9">
        <w:t xml:space="preserve">ncome </w:t>
      </w:r>
      <w:r w:rsidR="00045096" w:rsidRPr="001A3CF9">
        <w:t xml:space="preserve">from labor </w:t>
      </w:r>
      <w:r w:rsidR="00643732" w:rsidRPr="001A3CF9">
        <w:t xml:space="preserve">is defined as receipts (both in cash and in kind) </w:t>
      </w:r>
      <w:r w:rsidR="00B117A2">
        <w:t>that</w:t>
      </w:r>
      <w:r w:rsidR="00643732" w:rsidRPr="001A3CF9">
        <w:t xml:space="preserve"> are regular and</w:t>
      </w:r>
      <w:r w:rsidR="00AF23DE" w:rsidRPr="001A3CF9">
        <w:t xml:space="preserve"> </w:t>
      </w:r>
      <w:r w:rsidR="00643732" w:rsidRPr="001A3CF9">
        <w:t>recurring.</w:t>
      </w:r>
      <w:r w:rsidR="00045096" w:rsidRPr="001A3CF9">
        <w:t xml:space="preserve"> Workers report income g</w:t>
      </w:r>
      <w:r w:rsidR="00643732" w:rsidRPr="001A3CF9">
        <w:t xml:space="preserve">ross </w:t>
      </w:r>
      <w:r w:rsidR="00045096" w:rsidRPr="001A3CF9">
        <w:t xml:space="preserve">of </w:t>
      </w:r>
      <w:r w:rsidR="003F53E8" w:rsidRPr="001A3CF9">
        <w:t>taxes and social security contributions (except for the share borne by employers)</w:t>
      </w:r>
      <w:r w:rsidR="00854B55" w:rsidRPr="001A3CF9">
        <w:t xml:space="preserve"> with detailed breakdown regarding regular </w:t>
      </w:r>
      <w:r w:rsidR="00EE3DDE" w:rsidRPr="001A3CF9">
        <w:t xml:space="preserve">wage and </w:t>
      </w:r>
      <w:r w:rsidR="00854B55" w:rsidRPr="001A3CF9">
        <w:t xml:space="preserve">salary, </w:t>
      </w:r>
      <w:r w:rsidR="002D7897" w:rsidRPr="001A3CF9">
        <w:t xml:space="preserve">overtime pay, </w:t>
      </w:r>
      <w:r w:rsidR="00854B55" w:rsidRPr="001A3CF9">
        <w:t>bonuses</w:t>
      </w:r>
      <w:r w:rsidR="00EE3DDE" w:rsidRPr="001A3CF9">
        <w:t>, allowances</w:t>
      </w:r>
      <w:r w:rsidR="002D7897" w:rsidRPr="001A3CF9">
        <w:t xml:space="preserve"> for employees and self-employed</w:t>
      </w:r>
      <w:r w:rsidR="00F5780E" w:rsidRPr="001A3CF9">
        <w:t xml:space="preserve"> or income from businesses. Additional sources</w:t>
      </w:r>
      <w:r w:rsidR="00F72754" w:rsidRPr="001A3CF9">
        <w:t xml:space="preserve"> </w:t>
      </w:r>
      <w:r w:rsidR="00F5780E" w:rsidRPr="001A3CF9">
        <w:t>of income covered by the survey are</w:t>
      </w:r>
      <w:r w:rsidR="00F72754" w:rsidRPr="001A3CF9">
        <w:t xml:space="preserve"> p</w:t>
      </w:r>
      <w:r w:rsidR="00643732" w:rsidRPr="001A3CF9">
        <w:t>roperty income</w:t>
      </w:r>
      <w:r w:rsidR="00F72754" w:rsidRPr="001A3CF9">
        <w:t>, t</w:t>
      </w:r>
      <w:r w:rsidR="00643732" w:rsidRPr="001A3CF9">
        <w:t>ransfer income</w:t>
      </w:r>
      <w:r w:rsidR="00F72754" w:rsidRPr="001A3CF9">
        <w:t>, and o</w:t>
      </w:r>
      <w:r w:rsidR="00643732" w:rsidRPr="001A3CF9">
        <w:t>ther income such as value of goods produced by households for their own consumption.</w:t>
      </w:r>
      <w:r w:rsidR="00363A9E">
        <w:t xml:space="preserve"> </w:t>
      </w:r>
      <w:r w:rsidR="009A2B78">
        <w:t>T</w:t>
      </w:r>
      <w:r w:rsidR="00363A9E">
        <w:t xml:space="preserve">he transfers income section is rather detailed and allows to </w:t>
      </w:r>
      <w:r w:rsidR="00E530C8">
        <w:t>separately identify private and public transfers. Within the latter, the HBS allows respondents to report</w:t>
      </w:r>
      <w:r w:rsidR="00363A9E">
        <w:t xml:space="preserve"> the main </w:t>
      </w:r>
      <w:r w:rsidR="00E530C8">
        <w:t xml:space="preserve">contributory </w:t>
      </w:r>
      <w:r w:rsidR="0009293D">
        <w:t>pensions and the main social protection schemes that include n</w:t>
      </w:r>
      <w:r w:rsidR="004C6E0D">
        <w:t>on</w:t>
      </w:r>
      <w:r w:rsidR="0009293D">
        <w:t xml:space="preserve">contributory </w:t>
      </w:r>
      <w:r w:rsidR="00D351DD">
        <w:t>pensions</w:t>
      </w:r>
      <w:r w:rsidR="00B972D7">
        <w:t xml:space="preserve"> (</w:t>
      </w:r>
      <w:r w:rsidR="00F55CB3">
        <w:t xml:space="preserve">the </w:t>
      </w:r>
      <w:r w:rsidR="00F55CB3" w:rsidRPr="00F55CB3">
        <w:t xml:space="preserve">basic retirement pension </w:t>
      </w:r>
      <w:r w:rsidR="00F55CB3">
        <w:t>[</w:t>
      </w:r>
      <w:r w:rsidR="00B972D7">
        <w:t>BRP</w:t>
      </w:r>
      <w:r w:rsidR="00F55CB3">
        <w:t>]</w:t>
      </w:r>
      <w:r w:rsidR="00B972D7">
        <w:t xml:space="preserve">, </w:t>
      </w:r>
      <w:r w:rsidR="00FB0F15">
        <w:t xml:space="preserve">the </w:t>
      </w:r>
      <w:r w:rsidR="00FB0F15" w:rsidRPr="00FB0F15">
        <w:t>basic invalid’s pension</w:t>
      </w:r>
      <w:r w:rsidR="00B972D7">
        <w:t xml:space="preserve">, </w:t>
      </w:r>
      <w:r w:rsidR="00563197">
        <w:t xml:space="preserve">the </w:t>
      </w:r>
      <w:r w:rsidR="00563197" w:rsidRPr="00563197">
        <w:t>basic widow's pensio</w:t>
      </w:r>
      <w:r w:rsidR="00563197">
        <w:t>n</w:t>
      </w:r>
      <w:r w:rsidR="00B972D7">
        <w:t xml:space="preserve">, </w:t>
      </w:r>
      <w:r w:rsidR="00F55CB3">
        <w:t>and so on</w:t>
      </w:r>
      <w:r w:rsidR="00B972D7">
        <w:t>)</w:t>
      </w:r>
      <w:r w:rsidR="0009293D">
        <w:t xml:space="preserve">, </w:t>
      </w:r>
      <w:r w:rsidR="00F55CB3">
        <w:t>social aid</w:t>
      </w:r>
      <w:r w:rsidR="0009293D">
        <w:t xml:space="preserve">, </w:t>
      </w:r>
      <w:r w:rsidR="00B972D7">
        <w:t>and other small government schemes</w:t>
      </w:r>
      <w:r w:rsidR="005636E0">
        <w:t xml:space="preserve"> </w:t>
      </w:r>
      <w:r w:rsidR="00B972D7">
        <w:t>(</w:t>
      </w:r>
      <w:r w:rsidR="005636E0">
        <w:t xml:space="preserve">unemployment hardship relief, food </w:t>
      </w:r>
      <w:r w:rsidR="00F55CB3">
        <w:t>a</w:t>
      </w:r>
      <w:r w:rsidR="005636E0">
        <w:t xml:space="preserve">id, </w:t>
      </w:r>
      <w:r w:rsidR="00F55CB3">
        <w:t>and so on</w:t>
      </w:r>
      <w:r w:rsidR="005636E0">
        <w:t>)</w:t>
      </w:r>
      <w:r w:rsidR="0009293D">
        <w:t>.</w:t>
      </w:r>
    </w:p>
    <w:p w14:paraId="02586CB1" w14:textId="77777777" w:rsidR="0050499E" w:rsidRDefault="0050499E" w:rsidP="0050499E">
      <w:r w:rsidRPr="001A3CF9">
        <w:t xml:space="preserve">Consumption expenditures are captured through a 1-month long diary. The HBS expenditure data refer to the cost of acquiring goods and services during the reference period. Consumption expenditures include (a) value of purchases of goods and services intended for consumption by the household, (b) value of goods and services which are either own-produced, received free or at reduced price by the household. These </w:t>
      </w:r>
      <w:r>
        <w:t>a</w:t>
      </w:r>
      <w:r w:rsidRPr="001A3CF9">
        <w:t>re valued at prevailing market prices.</w:t>
      </w:r>
    </w:p>
    <w:p w14:paraId="1B7A1CC7" w14:textId="5D7F93DD" w:rsidR="00AA6E9C" w:rsidRDefault="00A4147F" w:rsidP="0050499E">
      <w:pPr>
        <w:pStyle w:val="Heading3"/>
      </w:pPr>
      <w:bookmarkStart w:id="157" w:name="_Toc10824891"/>
      <w:bookmarkStart w:id="158" w:name="_Toc10824963"/>
      <w:r>
        <w:t>Sample Selection</w:t>
      </w:r>
      <w:bookmarkEnd w:id="157"/>
      <w:bookmarkEnd w:id="158"/>
    </w:p>
    <w:p w14:paraId="083F2A2A" w14:textId="13358080" w:rsidR="00A4147F" w:rsidRDefault="006B5D60" w:rsidP="001A3CF9">
      <w:r>
        <w:t>From the full sample of 7,0</w:t>
      </w:r>
      <w:r w:rsidR="00204983">
        <w:t>0</w:t>
      </w:r>
      <w:r>
        <w:t>0 households,</w:t>
      </w:r>
      <w:r w:rsidR="002A6AA2">
        <w:t xml:space="preserve"> </w:t>
      </w:r>
      <w:r w:rsidR="009C0B41">
        <w:t>1</w:t>
      </w:r>
      <w:r w:rsidR="00CE5F2B">
        <w:t>2</w:t>
      </w:r>
      <w:r>
        <w:t xml:space="preserve"> households are dropped because are foreign households and </w:t>
      </w:r>
      <w:r w:rsidR="00F742A7">
        <w:t xml:space="preserve">3 </w:t>
      </w:r>
      <w:r>
        <w:t xml:space="preserve">individuals are </w:t>
      </w:r>
      <w:r w:rsidR="00F742A7">
        <w:t>removed</w:t>
      </w:r>
      <w:r>
        <w:t xml:space="preserve"> </w:t>
      </w:r>
      <w:r w:rsidR="00F742A7">
        <w:t xml:space="preserve">from the sample </w:t>
      </w:r>
      <w:r>
        <w:t>because they are</w:t>
      </w:r>
      <w:r w:rsidR="00AC49B0">
        <w:t xml:space="preserve"> </w:t>
      </w:r>
      <w:r w:rsidR="00F742A7">
        <w:t>n</w:t>
      </w:r>
      <w:r w:rsidR="004C6E0D">
        <w:t>on</w:t>
      </w:r>
      <w:r w:rsidR="00F742A7">
        <w:t>relatives</w:t>
      </w:r>
      <w:r w:rsidR="00AC49B0">
        <w:t xml:space="preserve">. The final sample includes a total of </w:t>
      </w:r>
      <w:r w:rsidR="009C0B41">
        <w:t xml:space="preserve">6,988 </w:t>
      </w:r>
      <w:r w:rsidR="00F742A7">
        <w:t>households</w:t>
      </w:r>
      <w:r w:rsidR="00AC49B0">
        <w:t xml:space="preserve"> and </w:t>
      </w:r>
      <w:r w:rsidR="009C0B41">
        <w:t xml:space="preserve">27,749 </w:t>
      </w:r>
      <w:r w:rsidR="00AC49B0">
        <w:t>individuals.</w:t>
      </w:r>
    </w:p>
    <w:p w14:paraId="3711FECD" w14:textId="52834C46" w:rsidR="00A4147F" w:rsidRDefault="00A4147F" w:rsidP="00FA577F">
      <w:pPr>
        <w:pStyle w:val="Heading3"/>
      </w:pPr>
      <w:bookmarkStart w:id="159" w:name="_Toc10824892"/>
      <w:bookmarkStart w:id="160" w:name="_Toc10824964"/>
      <w:r>
        <w:t>Methodological Assumptions</w:t>
      </w:r>
      <w:bookmarkEnd w:id="159"/>
      <w:bookmarkEnd w:id="160"/>
    </w:p>
    <w:p w14:paraId="42466A79" w14:textId="016CEE9C" w:rsidR="0050499E" w:rsidRDefault="0050499E" w:rsidP="00204983">
      <w:r w:rsidRPr="00204983">
        <w:t>Information on direct and indirect taxes, transfers in cash and in-kind, and subsidies cannot always be obtained directly from</w:t>
      </w:r>
      <w:r w:rsidR="00426E65">
        <w:t xml:space="preserve"> household budget surveys</w:t>
      </w:r>
      <w:r w:rsidRPr="00204983">
        <w:t xml:space="preserve">. </w:t>
      </w:r>
      <w:r w:rsidR="00B8336F">
        <w:t>T</w:t>
      </w:r>
      <w:r w:rsidR="00B8336F" w:rsidRPr="00204983">
        <w:t>he direct identification method</w:t>
      </w:r>
      <w:r w:rsidR="00B8336F">
        <w:t xml:space="preserve"> </w:t>
      </w:r>
      <w:r w:rsidR="00DB31CE">
        <w:t>makes use of information directly from the survey.</w:t>
      </w:r>
      <w:r w:rsidRPr="00204983">
        <w:t xml:space="preserve"> When direct identification is not </w:t>
      </w:r>
      <w:r w:rsidR="00624BDE">
        <w:t>possible</w:t>
      </w:r>
      <w:r w:rsidRPr="00204983">
        <w:t>, one can use the inference, simulation, or imputation methods, or an alternate source</w:t>
      </w:r>
      <w:r w:rsidR="00624BDE">
        <w:t xml:space="preserve"> of data</w:t>
      </w:r>
      <w:r w:rsidRPr="00204983">
        <w:t>. The methods one can use to allocate taxes and transfers are described in detail in Lustig (201</w:t>
      </w:r>
      <w:r w:rsidR="00624BDE">
        <w:t>8</w:t>
      </w:r>
      <w:r w:rsidRPr="00204983">
        <w:t xml:space="preserve">). The method </w:t>
      </w:r>
      <w:r w:rsidR="00F219F4">
        <w:t>adopted</w:t>
      </w:r>
      <w:r w:rsidRPr="00204983">
        <w:t xml:space="preserve"> for each category of taxes and transfers </w:t>
      </w:r>
      <w:r w:rsidR="0024620E">
        <w:t>are described below.</w:t>
      </w:r>
    </w:p>
    <w:p w14:paraId="4B0A8534" w14:textId="4A3C558A" w:rsidR="0024620E" w:rsidRPr="00204983" w:rsidRDefault="0024620E" w:rsidP="00204983">
      <w:r>
        <w:t>Personal Income Taxes and Social Security Contributions</w:t>
      </w:r>
    </w:p>
    <w:p w14:paraId="05C27DC6" w14:textId="7A65E366" w:rsidR="008F104D" w:rsidRDefault="00FB78BD" w:rsidP="007E464C">
      <w:r w:rsidRPr="00204983">
        <w:t xml:space="preserve">The </w:t>
      </w:r>
      <w:r w:rsidR="002D6906">
        <w:t>HBS</w:t>
      </w:r>
      <w:r w:rsidRPr="00204983">
        <w:t xml:space="preserve"> provide</w:t>
      </w:r>
      <w:r w:rsidR="002D6906">
        <w:t>s</w:t>
      </w:r>
      <w:r w:rsidRPr="00204983">
        <w:t xml:space="preserve"> information on </w:t>
      </w:r>
      <w:r w:rsidR="00730053">
        <w:t xml:space="preserve">PITs </w:t>
      </w:r>
      <w:r w:rsidR="002D6906">
        <w:t>and social security contributions</w:t>
      </w:r>
      <w:r w:rsidR="007A2FCD">
        <w:t xml:space="preserve">. </w:t>
      </w:r>
      <w:r w:rsidR="00730053">
        <w:t xml:space="preserve">The PIT </w:t>
      </w:r>
      <w:r w:rsidR="009C77A8" w:rsidRPr="00204983">
        <w:t xml:space="preserve">paid through the PAYE system for employees and through the CPS </w:t>
      </w:r>
      <w:r w:rsidR="001D5605">
        <w:t xml:space="preserve">system </w:t>
      </w:r>
      <w:r w:rsidR="009C77A8" w:rsidRPr="00204983">
        <w:t>for self-employed or small business owners is</w:t>
      </w:r>
      <w:r w:rsidR="009C77A8" w:rsidRPr="00010390">
        <w:t xml:space="preserve"> used as reported in the survey to calculate the incidence of direct taxes and contributions.</w:t>
      </w:r>
      <w:r w:rsidR="00BE225D">
        <w:t xml:space="preserve"> </w:t>
      </w:r>
      <w:r w:rsidR="00010390" w:rsidRPr="00204983">
        <w:t>This study starts from gross income as reported by respondents and grosses it up to account for contributions paid by employers that are assumed to be shifted to employees as per the CEQ methodology.</w:t>
      </w:r>
      <w:r w:rsidR="00BE225D">
        <w:t xml:space="preserve"> </w:t>
      </w:r>
      <w:r w:rsidR="00BE225D" w:rsidRPr="00204983">
        <w:t xml:space="preserve">Consistent with other tax incidence analyses, </w:t>
      </w:r>
      <w:r w:rsidR="00BE225D">
        <w:t>the assumption is that</w:t>
      </w:r>
      <w:r w:rsidR="00BE225D" w:rsidRPr="00204983">
        <w:t xml:space="preserve"> the</w:t>
      </w:r>
      <w:r w:rsidR="00BE225D">
        <w:t xml:space="preserve"> </w:t>
      </w:r>
      <w:r w:rsidR="00BE225D" w:rsidRPr="00204983">
        <w:t xml:space="preserve">economic burden of direct </w:t>
      </w:r>
      <w:r w:rsidR="00730053">
        <w:t xml:space="preserve">PITs </w:t>
      </w:r>
      <w:r w:rsidR="00BE225D" w:rsidRPr="00204983">
        <w:t>is borne by the recipient of income. The burden of</w:t>
      </w:r>
      <w:r w:rsidR="00BE225D">
        <w:t xml:space="preserve"> </w:t>
      </w:r>
      <w:r w:rsidR="00BE225D" w:rsidRPr="00204983">
        <w:t>payroll taxes is assumed to fall entirely on workers.</w:t>
      </w:r>
    </w:p>
    <w:p w14:paraId="2A0A31F2" w14:textId="28604600" w:rsidR="007E464C" w:rsidRDefault="007E464C" w:rsidP="007E464C">
      <w:r>
        <w:t>Indirect Taxes</w:t>
      </w:r>
    </w:p>
    <w:p w14:paraId="1AA0FFBE" w14:textId="31D1C0DC" w:rsidR="000E3459" w:rsidRDefault="00C04867" w:rsidP="00662BB1">
      <w:r w:rsidRPr="00204983">
        <w:t xml:space="preserve">The </w:t>
      </w:r>
      <w:r w:rsidR="00693FA7">
        <w:t>HBS</w:t>
      </w:r>
      <w:r w:rsidRPr="00204983">
        <w:t xml:space="preserve"> provides detailed</w:t>
      </w:r>
      <w:r>
        <w:t xml:space="preserve"> </w:t>
      </w:r>
      <w:r w:rsidRPr="00204983">
        <w:t>consumption data that allows us to estimate the burden of VAT</w:t>
      </w:r>
      <w:r w:rsidR="00693FA7">
        <w:t xml:space="preserve"> as well as excise duties on alcohol and tobacco products and fuel</w:t>
      </w:r>
      <w:r w:rsidRPr="00204983">
        <w:t>. Consumption taxes are assumed to be shifted</w:t>
      </w:r>
      <w:r>
        <w:t xml:space="preserve"> </w:t>
      </w:r>
      <w:r w:rsidRPr="00204983">
        <w:t>forward to consumers.</w:t>
      </w:r>
      <w:r w:rsidR="00693FA7">
        <w:t xml:space="preserve"> </w:t>
      </w:r>
      <w:r w:rsidRPr="00204983">
        <w:t>Evasion of consumption</w:t>
      </w:r>
      <w:r>
        <w:t xml:space="preserve"> </w:t>
      </w:r>
      <w:r w:rsidRPr="00204983">
        <w:t xml:space="preserve">taxes </w:t>
      </w:r>
      <w:r w:rsidR="00FD4387">
        <w:t>i</w:t>
      </w:r>
      <w:r w:rsidRPr="00204983">
        <w:t xml:space="preserve">s </w:t>
      </w:r>
      <w:r w:rsidR="00693FA7">
        <w:t xml:space="preserve">not </w:t>
      </w:r>
      <w:r w:rsidRPr="00204983">
        <w:t>taken into account</w:t>
      </w:r>
      <w:r w:rsidR="00A4261E">
        <w:t>. The</w:t>
      </w:r>
      <w:r w:rsidRPr="00204983">
        <w:t xml:space="preserve"> survey underestimates actual </w:t>
      </w:r>
      <w:r w:rsidR="00A4261E">
        <w:t xml:space="preserve">alcohol and tobacco </w:t>
      </w:r>
      <w:r w:rsidRPr="00204983">
        <w:t>consumption relative to what is recorded</w:t>
      </w:r>
      <w:r>
        <w:t xml:space="preserve"> </w:t>
      </w:r>
      <w:r w:rsidRPr="00204983">
        <w:t>in the National Accounts</w:t>
      </w:r>
      <w:r w:rsidR="00FD4387">
        <w:t xml:space="preserve"> (Statistics Mauritius 2018)</w:t>
      </w:r>
      <w:r w:rsidR="000B1889">
        <w:t>, and no adjustment has been made</w:t>
      </w:r>
      <w:r w:rsidRPr="00204983">
        <w:t>. T</w:t>
      </w:r>
      <w:r w:rsidR="000B1889">
        <w:t>he assumption is that</w:t>
      </w:r>
      <w:r w:rsidRPr="00204983">
        <w:t xml:space="preserve"> the extent of under-reporting is consistent</w:t>
      </w:r>
      <w:r>
        <w:t xml:space="preserve"> </w:t>
      </w:r>
      <w:r w:rsidRPr="00204983">
        <w:t xml:space="preserve">across the income distribution, </w:t>
      </w:r>
      <w:r w:rsidR="005F5E3B">
        <w:t>that is,</w:t>
      </w:r>
      <w:r w:rsidRPr="00204983">
        <w:t xml:space="preserve"> the survey provides the correct distribution of spending</w:t>
      </w:r>
      <w:r>
        <w:t xml:space="preserve"> </w:t>
      </w:r>
      <w:r w:rsidRPr="00204983">
        <w:t xml:space="preserve">on alcohol and tobacco, </w:t>
      </w:r>
      <w:r w:rsidR="000B1889">
        <w:t>and only</w:t>
      </w:r>
      <w:r w:rsidRPr="00204983">
        <w:t xml:space="preserve"> the </w:t>
      </w:r>
      <w:r w:rsidR="000B1889">
        <w:t>expenditure amounts are underestimated</w:t>
      </w:r>
      <w:r w:rsidRPr="00204983">
        <w:t xml:space="preserve">. </w:t>
      </w:r>
    </w:p>
    <w:p w14:paraId="1E674F39" w14:textId="7BE969B0" w:rsidR="000E3459" w:rsidRDefault="00944E58" w:rsidP="00662BB1">
      <w:r>
        <w:t>T</w:t>
      </w:r>
      <w:r w:rsidR="00B21BD6" w:rsidRPr="00982C4C">
        <w:t xml:space="preserve">o </w:t>
      </w:r>
      <w:r w:rsidR="00982C4C">
        <w:t>estimate</w:t>
      </w:r>
      <w:r w:rsidR="00B21BD6" w:rsidRPr="00982C4C">
        <w:t xml:space="preserve"> the incidence of VAT, the statutory rate of 1</w:t>
      </w:r>
      <w:r w:rsidR="00982C4C">
        <w:t>5</w:t>
      </w:r>
      <w:r w:rsidR="00B21BD6" w:rsidRPr="00982C4C">
        <w:t xml:space="preserve"> percent </w:t>
      </w:r>
      <w:r w:rsidR="00982C4C">
        <w:t xml:space="preserve">has been applied </w:t>
      </w:r>
      <w:r w:rsidR="00B21BD6" w:rsidRPr="00982C4C">
        <w:t>to all goods consumed by</w:t>
      </w:r>
      <w:r w:rsidR="00982C4C">
        <w:t xml:space="preserve"> </w:t>
      </w:r>
      <w:r w:rsidR="00B21BD6" w:rsidRPr="00982C4C">
        <w:t>households in the survey, except for exempt and zero</w:t>
      </w:r>
      <w:r w:rsidR="00AB0EA1">
        <w:t>-</w:t>
      </w:r>
      <w:r w:rsidR="00B21BD6" w:rsidRPr="00982C4C">
        <w:t>rated</w:t>
      </w:r>
      <w:r w:rsidR="00AB0EA1">
        <w:t xml:space="preserve"> </w:t>
      </w:r>
      <w:r w:rsidR="00AB0EA1" w:rsidRPr="00982C4C">
        <w:t>items</w:t>
      </w:r>
      <w:r w:rsidR="00B21BD6" w:rsidRPr="00982C4C">
        <w:t>.</w:t>
      </w:r>
      <w:r w:rsidR="00982C4C" w:rsidRPr="00982C4C">
        <w:t xml:space="preserve"> </w:t>
      </w:r>
      <w:r w:rsidR="00AB0EA1">
        <w:t>R</w:t>
      </w:r>
      <w:r w:rsidR="00B21BD6" w:rsidRPr="00982C4C">
        <w:t xml:space="preserve">etailers can claim VAT refunds for inputs used in </w:t>
      </w:r>
      <w:r w:rsidR="00AB0EA1">
        <w:t xml:space="preserve">the </w:t>
      </w:r>
      <w:r w:rsidR="00B21BD6" w:rsidRPr="00982C4C">
        <w:t>production</w:t>
      </w:r>
      <w:r w:rsidR="00AB0EA1">
        <w:t xml:space="preserve"> process</w:t>
      </w:r>
      <w:r w:rsidR="00B21BD6" w:rsidRPr="00982C4C">
        <w:t xml:space="preserve">, </w:t>
      </w:r>
      <w:r w:rsidR="00AB0EA1">
        <w:t xml:space="preserve">therefore </w:t>
      </w:r>
      <w:r w:rsidR="00B21BD6" w:rsidRPr="00982C4C">
        <w:t>the final burden on</w:t>
      </w:r>
      <w:r w:rsidR="00982C4C" w:rsidRPr="00982C4C">
        <w:t xml:space="preserve"> </w:t>
      </w:r>
      <w:r w:rsidR="00B21BD6" w:rsidRPr="00982C4C">
        <w:t xml:space="preserve">the consumer is simply the VAT rate at the final point of sale. </w:t>
      </w:r>
      <w:r w:rsidR="00AB0EA1">
        <w:t>In the case of</w:t>
      </w:r>
      <w:r w:rsidR="00B21BD6" w:rsidRPr="00982C4C">
        <w:t xml:space="preserve"> exempt goods, a final consumer pays no VAT</w:t>
      </w:r>
      <w:r w:rsidR="00982C4C" w:rsidRPr="00982C4C">
        <w:t xml:space="preserve"> </w:t>
      </w:r>
      <w:r w:rsidR="00B21BD6" w:rsidRPr="00982C4C">
        <w:t>directly</w:t>
      </w:r>
      <w:r w:rsidR="00A05426">
        <w:t>. This means that in</w:t>
      </w:r>
      <w:r w:rsidR="00B21BD6" w:rsidRPr="00982C4C">
        <w:t xml:space="preserve"> exempt sectors</w:t>
      </w:r>
      <w:r w:rsidR="00A05426">
        <w:t>,</w:t>
      </w:r>
      <w:r w:rsidR="00B21BD6" w:rsidRPr="00982C4C">
        <w:t xml:space="preserve"> VAT </w:t>
      </w:r>
      <w:r w:rsidR="00A05426">
        <w:t xml:space="preserve">only has an </w:t>
      </w:r>
      <w:r w:rsidR="00B21BD6" w:rsidRPr="00982C4C">
        <w:t>indirect</w:t>
      </w:r>
      <w:r w:rsidR="00A05426">
        <w:t xml:space="preserve"> effect</w:t>
      </w:r>
      <w:r w:rsidR="00641BC8">
        <w:t xml:space="preserve"> on household welfare through</w:t>
      </w:r>
      <w:r w:rsidR="00B21BD6" w:rsidRPr="00982C4C">
        <w:t xml:space="preserve"> the </w:t>
      </w:r>
      <w:r w:rsidR="00D42760">
        <w:t xml:space="preserve">change in the </w:t>
      </w:r>
      <w:r w:rsidR="00B21BD6" w:rsidRPr="00982C4C">
        <w:t>consumption price of a</w:t>
      </w:r>
      <w:r w:rsidR="00D42760">
        <w:t>n exempt</w:t>
      </w:r>
      <w:r w:rsidR="00B21BD6" w:rsidRPr="00982C4C">
        <w:t xml:space="preserve"> good</w:t>
      </w:r>
      <w:r w:rsidR="00D42760">
        <w:t xml:space="preserve"> due to</w:t>
      </w:r>
      <w:r w:rsidR="00E43FC3">
        <w:t xml:space="preserve"> changes in the</w:t>
      </w:r>
      <w:r w:rsidR="00B21BD6" w:rsidRPr="00982C4C">
        <w:t xml:space="preserve"> VAT paid on </w:t>
      </w:r>
      <w:r w:rsidR="00E43FC3">
        <w:t xml:space="preserve">goods used as </w:t>
      </w:r>
      <w:r w:rsidR="00B21BD6" w:rsidRPr="00982C4C">
        <w:t>inputs</w:t>
      </w:r>
      <w:r w:rsidR="00E43FC3">
        <w:t xml:space="preserve">, </w:t>
      </w:r>
      <w:r w:rsidR="00B21BD6" w:rsidRPr="00982C4C">
        <w:t>which a producer in an exempt sector cannot reclaim. To</w:t>
      </w:r>
      <w:r w:rsidR="00982C4C" w:rsidRPr="00982C4C">
        <w:t xml:space="preserve"> </w:t>
      </w:r>
      <w:r w:rsidR="00B21BD6" w:rsidRPr="00982C4C">
        <w:t xml:space="preserve">capture this effect, </w:t>
      </w:r>
      <w:r w:rsidR="00E43FC3">
        <w:t>this study makes use of the</w:t>
      </w:r>
      <w:r w:rsidR="00B21BD6" w:rsidRPr="00982C4C">
        <w:t xml:space="preserve"> 20</w:t>
      </w:r>
      <w:r w:rsidR="00E43FC3">
        <w:t>13</w:t>
      </w:r>
      <w:r w:rsidR="00B21BD6" w:rsidRPr="00982C4C">
        <w:t xml:space="preserve"> </w:t>
      </w:r>
      <w:r w:rsidR="00E43FC3">
        <w:t>Input/Output table</w:t>
      </w:r>
      <w:r w:rsidR="00B21BD6" w:rsidRPr="00982C4C">
        <w:t xml:space="preserve"> for exempt goods.</w:t>
      </w:r>
      <w:r w:rsidR="00982C4C" w:rsidRPr="00982C4C">
        <w:t xml:space="preserve"> </w:t>
      </w:r>
      <w:r w:rsidR="00D04AE9">
        <w:t>In addition</w:t>
      </w:r>
      <w:r w:rsidR="00982C4C" w:rsidRPr="00204983">
        <w:t>, the Input</w:t>
      </w:r>
      <w:r w:rsidR="008D17CA">
        <w:t>/O</w:t>
      </w:r>
      <w:r w:rsidR="00982C4C" w:rsidRPr="00204983">
        <w:t>utput</w:t>
      </w:r>
      <w:r w:rsidR="00982C4C">
        <w:t xml:space="preserve"> </w:t>
      </w:r>
      <w:r w:rsidR="008D17CA">
        <w:t>m</w:t>
      </w:r>
      <w:r w:rsidR="00982C4C" w:rsidRPr="00204983">
        <w:t>atrix and a price shifting model</w:t>
      </w:r>
      <w:r w:rsidR="008D17CA">
        <w:t xml:space="preserve"> are used</w:t>
      </w:r>
      <w:r w:rsidR="00982C4C" w:rsidRPr="00204983">
        <w:t xml:space="preserve"> to estimate second round effects of indirect taxes, whereby these</w:t>
      </w:r>
      <w:r w:rsidR="00982C4C">
        <w:t xml:space="preserve"> </w:t>
      </w:r>
      <w:r w:rsidR="00982C4C" w:rsidRPr="00204983">
        <w:t>taxes result in higher costs in sectors that use these goods as inputs. For VAT, the indirect effects are only</w:t>
      </w:r>
      <w:r w:rsidR="00982C4C">
        <w:t xml:space="preserve"> </w:t>
      </w:r>
      <w:r w:rsidR="00982C4C" w:rsidRPr="00204983">
        <w:t>considered in the case of exempt items, since VAT refunds ensure that there is no cascading of nonexempt</w:t>
      </w:r>
      <w:r w:rsidR="00982C4C">
        <w:t xml:space="preserve"> </w:t>
      </w:r>
      <w:r w:rsidR="00982C4C" w:rsidRPr="00204983">
        <w:t>items.</w:t>
      </w:r>
      <w:r w:rsidR="00353720">
        <w:t xml:space="preserve"> </w:t>
      </w:r>
    </w:p>
    <w:p w14:paraId="038F7B2F" w14:textId="44887867" w:rsidR="00C04867" w:rsidRPr="007D4F05" w:rsidRDefault="000E3459" w:rsidP="00662BB1">
      <w:r>
        <w:t xml:space="preserve">In the case of </w:t>
      </w:r>
      <w:r w:rsidR="00353720" w:rsidRPr="007D4F05">
        <w:t xml:space="preserve">excise </w:t>
      </w:r>
      <w:r>
        <w:t>duties</w:t>
      </w:r>
      <w:r w:rsidR="0027176F">
        <w:t xml:space="preserve"> on alcohol and tobacco products</w:t>
      </w:r>
      <w:r>
        <w:t>,</w:t>
      </w:r>
      <w:r w:rsidR="00370E9A">
        <w:t xml:space="preserve"> the identification of quantities consumed in the </w:t>
      </w:r>
      <w:r w:rsidR="00656352">
        <w:t>survey</w:t>
      </w:r>
      <w:r w:rsidR="00370E9A">
        <w:t xml:space="preserve"> has been challenging and has led to the exclusion of a few alcohol produc</w:t>
      </w:r>
      <w:r w:rsidR="00474884">
        <w:t>t</w:t>
      </w:r>
      <w:r w:rsidR="00370E9A">
        <w:t xml:space="preserve">s, namely </w:t>
      </w:r>
      <w:r w:rsidR="00911F48">
        <w:t xml:space="preserve">locally bottled whisky, locally bottled wine, sparkling wine, and champagne. Expenditures on these items as a share of </w:t>
      </w:r>
      <w:r w:rsidR="005A0596">
        <w:t>pre</w:t>
      </w:r>
      <w:r w:rsidR="00911F48">
        <w:t xml:space="preserve">fiscal income are larger among poorer households, therefore the </w:t>
      </w:r>
      <w:r w:rsidR="00911F48" w:rsidRPr="00DC0A7B">
        <w:t xml:space="preserve">analysis </w:t>
      </w:r>
      <w:r w:rsidR="00911F48">
        <w:t xml:space="preserve">might </w:t>
      </w:r>
      <w:r w:rsidR="00911F48" w:rsidRPr="00DC0A7B">
        <w:t xml:space="preserve">underestimate the </w:t>
      </w:r>
      <w:r w:rsidR="00911F48">
        <w:t>re</w:t>
      </w:r>
      <w:r w:rsidR="00911F48" w:rsidRPr="00DC0A7B">
        <w:t>gressivity of excise taxes on alcoholic beverages.</w:t>
      </w:r>
      <w:r w:rsidR="00490E03">
        <w:t xml:space="preserve"> </w:t>
      </w:r>
      <w:r w:rsidR="00656352">
        <w:t>I</w:t>
      </w:r>
      <w:r w:rsidR="00490E03">
        <w:t xml:space="preserve">n the </w:t>
      </w:r>
      <w:r w:rsidR="00656352">
        <w:t>case</w:t>
      </w:r>
      <w:r w:rsidR="00490E03">
        <w:t xml:space="preserve"> of the excise on fuel, in addition to the direct effect, the study accounts for the indirect effect attributable to an increase in </w:t>
      </w:r>
      <w:r w:rsidR="00CD4CB7">
        <w:t>gasoline</w:t>
      </w:r>
      <w:r w:rsidR="00474884">
        <w:t xml:space="preserve"> and gasoil price </w:t>
      </w:r>
      <w:r w:rsidR="00CD4CB7">
        <w:t xml:space="preserve">ascribable to </w:t>
      </w:r>
      <w:r w:rsidR="00490E03">
        <w:t xml:space="preserve">the excise </w:t>
      </w:r>
      <w:r w:rsidR="00CD4CB7">
        <w:t xml:space="preserve">duty </w:t>
      </w:r>
      <w:r w:rsidR="00490E03">
        <w:t>on other produc</w:t>
      </w:r>
      <w:r w:rsidR="00656352">
        <w:t>ts that use fuel as an input through the 2013 Input/Output Matrix.</w:t>
      </w:r>
    </w:p>
    <w:p w14:paraId="553C5857" w14:textId="0444F32B" w:rsidR="007E464C" w:rsidRDefault="007E464C" w:rsidP="007E464C">
      <w:r>
        <w:t>Direct Transfers</w:t>
      </w:r>
    </w:p>
    <w:p w14:paraId="435C2117" w14:textId="3E6D3899" w:rsidR="00C04867" w:rsidRDefault="00C04867" w:rsidP="00C04867">
      <w:r>
        <w:t>T</w:t>
      </w:r>
      <w:r w:rsidRPr="00204983">
        <w:t xml:space="preserve">he </w:t>
      </w:r>
      <w:r>
        <w:t>HBS</w:t>
      </w:r>
      <w:r w:rsidRPr="00204983">
        <w:t xml:space="preserve"> provides detailed information on the receipt of cash transfers</w:t>
      </w:r>
      <w:r w:rsidR="00CD4CB7">
        <w:t xml:space="preserve">, including </w:t>
      </w:r>
      <w:r w:rsidR="00035A61">
        <w:t>n</w:t>
      </w:r>
      <w:r w:rsidR="004C6E0D">
        <w:t>on</w:t>
      </w:r>
      <w:r w:rsidR="00035A61">
        <w:t>contributory pensions</w:t>
      </w:r>
      <w:r w:rsidR="007C77AD">
        <w:t xml:space="preserve"> such as </w:t>
      </w:r>
      <w:r w:rsidR="00F55CB3">
        <w:t>the BRP</w:t>
      </w:r>
      <w:r w:rsidR="007C77AD">
        <w:t>, Basic Widow Pension, Child allowance, Basic Invalid Pension, Carer Allowance,</w:t>
      </w:r>
      <w:r w:rsidR="00035A61">
        <w:t xml:space="preserve"> Social Aid program, unemployment hardship relief, food aid</w:t>
      </w:r>
      <w:r w:rsidR="007C77AD">
        <w:t xml:space="preserve">. </w:t>
      </w:r>
      <w:r w:rsidR="00E935E4">
        <w:t>However, t</w:t>
      </w:r>
      <w:r>
        <w:t xml:space="preserve">he HBS questionnaire was designed between April and August 2016 and does not account for the empowerment scheme provided under the Marshall Plan Social Contract following the promulgation of the Social Integration and Empowerment Act in December 2016. For this reason, the fiscal incidence analysis does not account for that program and the distributional effect of the scheme is simulated </w:t>
      </w:r>
      <w:r w:rsidR="00FD4387">
        <w:t>o</w:t>
      </w:r>
      <w:r>
        <w:t>nly in the last section as a part of the microsimulation tool developed for the government.</w:t>
      </w:r>
    </w:p>
    <w:p w14:paraId="2615B662" w14:textId="29330B3C" w:rsidR="007E464C" w:rsidRDefault="007E464C" w:rsidP="007E464C">
      <w:r>
        <w:t xml:space="preserve">Indirect </w:t>
      </w:r>
      <w:r w:rsidR="00FE2F1C">
        <w:t>S</w:t>
      </w:r>
      <w:r>
        <w:t>ubsi</w:t>
      </w:r>
      <w:r w:rsidR="00FE2F1C">
        <w:t>dies</w:t>
      </w:r>
    </w:p>
    <w:p w14:paraId="66428B7E" w14:textId="31ADB127" w:rsidR="00C71048" w:rsidRPr="00662BB1" w:rsidRDefault="000708E7" w:rsidP="007E464C">
      <w:r w:rsidRPr="006E26EF">
        <w:t xml:space="preserve">In Mauritius, consumption subsidies are provided </w:t>
      </w:r>
      <w:r w:rsidR="00A46D9F" w:rsidRPr="006E26EF">
        <w:t>for purchase of rice, flour</w:t>
      </w:r>
      <w:r w:rsidR="00AD026D">
        <w:t>,</w:t>
      </w:r>
      <w:r w:rsidR="00A46D9F" w:rsidRPr="006E26EF">
        <w:t xml:space="preserve"> and L</w:t>
      </w:r>
      <w:r w:rsidR="00BC2BEB" w:rsidRPr="006E26EF">
        <w:t>PG</w:t>
      </w:r>
      <w:r w:rsidR="00A46D9F" w:rsidRPr="006E26EF">
        <w:t xml:space="preserve">. In addition, the government provides free public </w:t>
      </w:r>
      <w:r w:rsidR="00BC2BEB" w:rsidRPr="006E26EF">
        <w:t>transportation</w:t>
      </w:r>
      <w:r w:rsidR="00A46D9F" w:rsidRPr="006E26EF">
        <w:t>, through subsidies to bus companies, fo</w:t>
      </w:r>
      <w:r w:rsidR="00BC2BEB" w:rsidRPr="006E26EF">
        <w:t>r</w:t>
      </w:r>
      <w:r w:rsidR="00A46D9F" w:rsidRPr="006E26EF">
        <w:t xml:space="preserve"> all students </w:t>
      </w:r>
      <w:r w:rsidR="00BC2BEB" w:rsidRPr="006E26EF">
        <w:t>attending</w:t>
      </w:r>
      <w:r w:rsidR="00A46D9F" w:rsidRPr="006E26EF">
        <w:t xml:space="preserve"> </w:t>
      </w:r>
      <w:r w:rsidR="00BC2BEB" w:rsidRPr="006E26EF">
        <w:t>public</w:t>
      </w:r>
      <w:r w:rsidR="00A46D9F" w:rsidRPr="006E26EF">
        <w:t xml:space="preserve"> school and senior citizens, aged 60 and </w:t>
      </w:r>
      <w:r w:rsidR="00BC2BEB" w:rsidRPr="006E26EF">
        <w:t>above</w:t>
      </w:r>
      <w:r w:rsidR="00A46D9F" w:rsidRPr="006E26EF">
        <w:t xml:space="preserve">. </w:t>
      </w:r>
      <w:r w:rsidR="00BC2BEB" w:rsidRPr="006E26EF">
        <w:t xml:space="preserve">The HBS </w:t>
      </w:r>
      <w:r w:rsidR="00AD7668" w:rsidRPr="006E26EF">
        <w:t xml:space="preserve">contains detailed information about </w:t>
      </w:r>
      <w:r w:rsidR="007901FA" w:rsidRPr="006E26EF">
        <w:t xml:space="preserve">expenditures and quantities of </w:t>
      </w:r>
      <w:r w:rsidR="00AD7668" w:rsidRPr="006E26EF">
        <w:t>rice, flour and LPG that are purchased at the subsidized price</w:t>
      </w:r>
      <w:r w:rsidR="007901FA" w:rsidRPr="006E26EF">
        <w:t>. In the case of the bus subsidies, the scaled down</w:t>
      </w:r>
      <w:r w:rsidR="006E26EF" w:rsidRPr="006E26EF">
        <w:t xml:space="preserve"> subsidy to bus companies has been distributed across all households with senior citizens and students attending public schools.</w:t>
      </w:r>
    </w:p>
    <w:p w14:paraId="21AC7B30" w14:textId="43518CB8" w:rsidR="00FE2F1C" w:rsidRDefault="00AE7E4B" w:rsidP="007E464C">
      <w:r>
        <w:t xml:space="preserve">Public </w:t>
      </w:r>
      <w:r w:rsidR="00FE2F1C">
        <w:t>Health and Education Expenditure</w:t>
      </w:r>
    </w:p>
    <w:p w14:paraId="0D8C9760" w14:textId="2A18BE85" w:rsidR="00587A7F" w:rsidRPr="001406F8" w:rsidRDefault="00B710B0" w:rsidP="00FD4387">
      <w:r w:rsidRPr="00204983">
        <w:t xml:space="preserve">The approach to estimate the incidence of public spending on education and health followed </w:t>
      </w:r>
      <w:r w:rsidR="00FD4387">
        <w:t>in the study</w:t>
      </w:r>
      <w:r w:rsidRPr="00204983">
        <w:t xml:space="preserve"> is the</w:t>
      </w:r>
      <w:r w:rsidR="00FF406E">
        <w:t xml:space="preserve"> </w:t>
      </w:r>
      <w:r w:rsidRPr="00204983">
        <w:t xml:space="preserve">so-called “benefit or expenditure incidence” or the government cost” approach. </w:t>
      </w:r>
      <w:r w:rsidR="00D500B4">
        <w:t xml:space="preserve">The </w:t>
      </w:r>
      <w:r w:rsidRPr="00204983">
        <w:t xml:space="preserve">costs </w:t>
      </w:r>
      <w:r w:rsidR="00BB524B">
        <w:t xml:space="preserve">per beneficiary </w:t>
      </w:r>
      <w:r w:rsidRPr="00204983">
        <w:t xml:space="preserve">obtained from administrative fiscal data (disaggregated by </w:t>
      </w:r>
      <w:r w:rsidR="00D500B4">
        <w:t>island and</w:t>
      </w:r>
      <w:r w:rsidRPr="00204983">
        <w:t xml:space="preserve"> type of</w:t>
      </w:r>
      <w:r w:rsidR="00FF406E">
        <w:t xml:space="preserve"> </w:t>
      </w:r>
      <w:r w:rsidR="00FB78BD" w:rsidRPr="00204983">
        <w:t xml:space="preserve">service) </w:t>
      </w:r>
      <w:r w:rsidR="00EF0FA4">
        <w:t>are used as</w:t>
      </w:r>
      <w:r w:rsidR="00FB78BD" w:rsidRPr="00204983">
        <w:t xml:space="preserve"> the measure of </w:t>
      </w:r>
      <w:r w:rsidR="00EF0FA4">
        <w:t>total</w:t>
      </w:r>
      <w:r w:rsidR="00FB78BD" w:rsidRPr="00204983">
        <w:t xml:space="preserve"> benefits. This approach is also known as the classic or nonbehavioral</w:t>
      </w:r>
      <w:r w:rsidR="00FF406E">
        <w:t xml:space="preserve"> </w:t>
      </w:r>
      <w:r w:rsidR="00FB78BD" w:rsidRPr="00204983">
        <w:t>approach, and it amounts to asking the following question: how much would the income of a</w:t>
      </w:r>
      <w:r w:rsidR="00FF406E">
        <w:t xml:space="preserve"> </w:t>
      </w:r>
      <w:r w:rsidR="00FB78BD" w:rsidRPr="00204983">
        <w:t>household have to be increased if it had to pay for the free or subsidized public service at the full cost to</w:t>
      </w:r>
      <w:r w:rsidR="00FF406E">
        <w:t xml:space="preserve"> </w:t>
      </w:r>
      <w:r w:rsidR="00FB78BD" w:rsidRPr="00204983">
        <w:t xml:space="preserve">the government? </w:t>
      </w:r>
      <w:r w:rsidR="00EF0FA4">
        <w:t xml:space="preserve">Total health and education expenditure are then scaled </w:t>
      </w:r>
      <w:r w:rsidR="00DD5543">
        <w:t>down since such</w:t>
      </w:r>
      <w:r w:rsidR="00A5291E" w:rsidRPr="001406F8">
        <w:t xml:space="preserve"> method </w:t>
      </w:r>
      <w:r w:rsidR="00865549">
        <w:t>would</w:t>
      </w:r>
      <w:r w:rsidR="00A5291E" w:rsidRPr="001406F8">
        <w:t xml:space="preserve"> overestimate the redistributive effect, as the</w:t>
      </w:r>
      <w:r w:rsidR="005F47D9" w:rsidRPr="001406F8">
        <w:t xml:space="preserve"> </w:t>
      </w:r>
      <w:r w:rsidR="00A5291E" w:rsidRPr="001406F8">
        <w:t>monetary value of the transfers received by households is obtained from the budgetary cost of providing</w:t>
      </w:r>
      <w:r w:rsidR="005F47D9" w:rsidRPr="001406F8">
        <w:t xml:space="preserve"> </w:t>
      </w:r>
      <w:r w:rsidR="00A5291E" w:rsidRPr="001406F8">
        <w:t>these transfers as reported in national accounts, while the totals of other taxes and transfers are not</w:t>
      </w:r>
      <w:r w:rsidR="005F47D9" w:rsidRPr="001406F8">
        <w:t xml:space="preserve"> </w:t>
      </w:r>
      <w:r w:rsidR="00A5291E" w:rsidRPr="001406F8">
        <w:t xml:space="preserve">“forced” to be equal to the values in national accounts and </w:t>
      </w:r>
      <w:r w:rsidR="00865549">
        <w:t>are typically</w:t>
      </w:r>
      <w:r w:rsidR="00A5291E" w:rsidRPr="001406F8">
        <w:t xml:space="preserve"> smaller according to the survey.</w:t>
      </w:r>
      <w:r w:rsidR="00865549">
        <w:t xml:space="preserve"> </w:t>
      </w:r>
      <w:r w:rsidR="009A2B78">
        <w:t>I</w:t>
      </w:r>
      <w:r w:rsidR="00000FE9">
        <w:t xml:space="preserve">n the case of health expenditures, the study </w:t>
      </w:r>
      <w:r w:rsidR="00C07870">
        <w:t>adopts</w:t>
      </w:r>
      <w:r w:rsidR="000E4AAB">
        <w:t xml:space="preserve"> the actual consumption approach by distributing the benefit across all households that do not report to typically use private health care services. A </w:t>
      </w:r>
      <w:r w:rsidR="00C70FFE">
        <w:t>sensitivity test</w:t>
      </w:r>
      <w:r w:rsidR="00C07870">
        <w:t xml:space="preserve"> based on reported information about purchase of a private health insurance leads to similar estimates. In the case of education expenditures, t</w:t>
      </w:r>
      <w:r w:rsidR="00FB78BD" w:rsidRPr="00204983">
        <w:t xml:space="preserve">he </w:t>
      </w:r>
      <w:r w:rsidR="005C078D">
        <w:t>HBS</w:t>
      </w:r>
      <w:r w:rsidR="00FB78BD" w:rsidRPr="00204983">
        <w:t xml:space="preserve"> provides information on </w:t>
      </w:r>
      <w:r w:rsidR="005C078D">
        <w:t>school attendance</w:t>
      </w:r>
      <w:r w:rsidR="00FB78BD" w:rsidRPr="00204983">
        <w:t xml:space="preserve"> by level and type</w:t>
      </w:r>
      <w:r w:rsidR="005C078D">
        <w:t>,</w:t>
      </w:r>
      <w:r w:rsidR="00FB78BD" w:rsidRPr="00204983">
        <w:t xml:space="preserve"> public versus</w:t>
      </w:r>
      <w:r w:rsidR="00FF406E">
        <w:t xml:space="preserve"> </w:t>
      </w:r>
      <w:r w:rsidR="00FB78BD" w:rsidRPr="00204983">
        <w:t>private institutions</w:t>
      </w:r>
      <w:r w:rsidR="00DE7F25">
        <w:t xml:space="preserve">, </w:t>
      </w:r>
      <w:r w:rsidR="00C70FFE">
        <w:t>up to secondary education</w:t>
      </w:r>
      <w:r w:rsidR="00FB78BD" w:rsidRPr="00204983">
        <w:t xml:space="preserve">. </w:t>
      </w:r>
      <w:r w:rsidR="00310883">
        <w:t xml:space="preserve">Therefore, scaled down public </w:t>
      </w:r>
      <w:r w:rsidR="005A0596">
        <w:t>pre</w:t>
      </w:r>
      <w:r w:rsidR="00310883">
        <w:t xml:space="preserve">primary, primary and secondary education expenditure has been distributed across households with children attending public schools. </w:t>
      </w:r>
      <w:r w:rsidR="00C70FFE">
        <w:t>For tertiary education</w:t>
      </w:r>
      <w:r w:rsidR="00FD5357">
        <w:t>, public expenditure has been distributed across all households with children attending university.</w:t>
      </w:r>
      <w:r w:rsidR="00FB78BD" w:rsidRPr="00204983">
        <w:t xml:space="preserve"> </w:t>
      </w:r>
    </w:p>
    <w:p w14:paraId="04D2E8E3" w14:textId="3A1EF5F1" w:rsidR="006E1D22" w:rsidRPr="006E1D22" w:rsidRDefault="006E1D22" w:rsidP="006E1D22">
      <w:pPr>
        <w:autoSpaceDE w:val="0"/>
        <w:autoSpaceDN w:val="0"/>
        <w:adjustRightInd w:val="0"/>
        <w:spacing w:after="0" w:line="240" w:lineRule="auto"/>
        <w:rPr>
          <w:rFonts w:cs="Times New Roman"/>
          <w:szCs w:val="22"/>
        </w:rPr>
        <w:sectPr w:rsidR="006E1D22" w:rsidRPr="006E1D22" w:rsidSect="002E6831">
          <w:footerReference w:type="default" r:id="rId43"/>
          <w:pgSz w:w="12240" w:h="15840"/>
          <w:pgMar w:top="1440" w:right="1440" w:bottom="1440" w:left="1440" w:header="720" w:footer="720" w:gutter="0"/>
          <w:cols w:space="720"/>
          <w:titlePg/>
          <w:docGrid w:linePitch="360"/>
        </w:sectPr>
      </w:pPr>
    </w:p>
    <w:p w14:paraId="0E6B4D53" w14:textId="663605E1" w:rsidR="00D55201" w:rsidRDefault="00D55201">
      <w:pPr>
        <w:jc w:val="left"/>
        <w:rPr>
          <w:rFonts w:cs="Times New Roman"/>
          <w:szCs w:val="22"/>
        </w:rPr>
      </w:pPr>
    </w:p>
    <w:p w14:paraId="3AC30225" w14:textId="61095D02" w:rsidR="00D55201" w:rsidRPr="002B0033" w:rsidRDefault="00D55201" w:rsidP="005864C5">
      <w:pPr>
        <w:pStyle w:val="Heading1"/>
        <w:rPr>
          <w:rFonts w:ascii="Times New Roman" w:hAnsi="Times New Roman" w:cs="Times New Roman"/>
        </w:rPr>
      </w:pPr>
      <w:bookmarkStart w:id="161" w:name="_Toc10824893"/>
      <w:bookmarkStart w:id="162" w:name="_Toc10824965"/>
      <w:r w:rsidRPr="002B0033">
        <w:rPr>
          <w:rFonts w:ascii="Times New Roman" w:hAnsi="Times New Roman" w:cs="Times New Roman"/>
        </w:rPr>
        <w:t>Annex</w:t>
      </w:r>
      <w:r>
        <w:rPr>
          <w:rFonts w:ascii="Times New Roman" w:hAnsi="Times New Roman" w:cs="Times New Roman"/>
        </w:rPr>
        <w:t xml:space="preserve"> B</w:t>
      </w:r>
      <w:r w:rsidRPr="002B0033">
        <w:rPr>
          <w:rFonts w:ascii="Times New Roman" w:hAnsi="Times New Roman" w:cs="Times New Roman"/>
        </w:rPr>
        <w:t xml:space="preserve">: </w:t>
      </w:r>
      <w:r w:rsidR="005864C5">
        <w:rPr>
          <w:rFonts w:ascii="Times New Roman" w:hAnsi="Times New Roman" w:cs="Times New Roman"/>
        </w:rPr>
        <w:t>Additional Administrative Data</w:t>
      </w:r>
      <w:bookmarkEnd w:id="161"/>
      <w:bookmarkEnd w:id="162"/>
    </w:p>
    <w:tbl>
      <w:tblPr>
        <w:tblW w:w="13564" w:type="dxa"/>
        <w:tblLook w:val="04A0" w:firstRow="1" w:lastRow="0" w:firstColumn="1" w:lastColumn="0" w:noHBand="0" w:noVBand="1"/>
      </w:tblPr>
      <w:tblGrid>
        <w:gridCol w:w="4860"/>
        <w:gridCol w:w="1807"/>
        <w:gridCol w:w="1497"/>
        <w:gridCol w:w="1920"/>
        <w:gridCol w:w="1740"/>
        <w:gridCol w:w="1740"/>
      </w:tblGrid>
      <w:tr w:rsidR="00921D30" w:rsidRPr="000F0225" w14:paraId="48B3AFDF" w14:textId="77777777" w:rsidTr="00F20968">
        <w:trPr>
          <w:trHeight w:val="495"/>
        </w:trPr>
        <w:tc>
          <w:tcPr>
            <w:tcW w:w="13564" w:type="dxa"/>
            <w:gridSpan w:val="6"/>
            <w:tcBorders>
              <w:top w:val="nil"/>
              <w:left w:val="nil"/>
              <w:bottom w:val="single" w:sz="4" w:space="0" w:color="auto"/>
              <w:right w:val="nil"/>
            </w:tcBorders>
            <w:shd w:val="clear" w:color="auto" w:fill="auto"/>
            <w:noWrap/>
            <w:vAlign w:val="bottom"/>
            <w:hideMark/>
          </w:tcPr>
          <w:p w14:paraId="52CAC9FC" w14:textId="50CDF9E3" w:rsidR="00921D30" w:rsidRPr="000F0225" w:rsidRDefault="006E1D22" w:rsidP="006E1D22">
            <w:pPr>
              <w:pStyle w:val="Caption"/>
              <w:rPr>
                <w:rFonts w:asciiTheme="majorHAnsi" w:eastAsia="Times New Roman" w:hAnsiTheme="majorHAnsi" w:cstheme="majorHAnsi"/>
                <w:sz w:val="18"/>
                <w:szCs w:val="18"/>
              </w:rPr>
            </w:pPr>
            <w:bookmarkStart w:id="163" w:name="_Ref11254279"/>
            <w:bookmarkStart w:id="164" w:name="_Toc11256363"/>
            <w:bookmarkStart w:id="165" w:name="_Toc11256426"/>
            <w:bookmarkStart w:id="166" w:name="_Toc11256503"/>
            <w:r w:rsidRPr="006E1D22">
              <w:rPr>
                <w:color w:val="auto"/>
                <w:sz w:val="18"/>
                <w:szCs w:val="18"/>
              </w:rPr>
              <w:t>Table B</w:t>
            </w:r>
            <w:r w:rsidR="004226F1">
              <w:rPr>
                <w:color w:val="auto"/>
                <w:sz w:val="18"/>
                <w:szCs w:val="18"/>
              </w:rPr>
              <w:t>.</w:t>
            </w:r>
            <w:r w:rsidRPr="006E1D22">
              <w:rPr>
                <w:color w:val="auto"/>
                <w:sz w:val="18"/>
                <w:szCs w:val="18"/>
              </w:rPr>
              <w:fldChar w:fldCharType="begin"/>
            </w:r>
            <w:r w:rsidRPr="006E1D22">
              <w:rPr>
                <w:color w:val="auto"/>
                <w:sz w:val="18"/>
                <w:szCs w:val="18"/>
              </w:rPr>
              <w:instrText xml:space="preserve"> SEQ Table_B \* ARABIC </w:instrText>
            </w:r>
            <w:r w:rsidRPr="006E1D22">
              <w:rPr>
                <w:color w:val="auto"/>
                <w:sz w:val="18"/>
                <w:szCs w:val="18"/>
              </w:rPr>
              <w:fldChar w:fldCharType="separate"/>
            </w:r>
            <w:r w:rsidRPr="006E1D22">
              <w:rPr>
                <w:color w:val="auto"/>
                <w:sz w:val="18"/>
                <w:szCs w:val="18"/>
              </w:rPr>
              <w:t>1</w:t>
            </w:r>
            <w:r w:rsidRPr="006E1D22">
              <w:rPr>
                <w:color w:val="auto"/>
                <w:sz w:val="18"/>
                <w:szCs w:val="18"/>
              </w:rPr>
              <w:fldChar w:fldCharType="end"/>
            </w:r>
            <w:bookmarkEnd w:id="163"/>
            <w:r>
              <w:rPr>
                <w:color w:val="auto"/>
                <w:sz w:val="18"/>
                <w:szCs w:val="18"/>
              </w:rPr>
              <w:t>.</w:t>
            </w:r>
            <w:r w:rsidR="004226F1">
              <w:rPr>
                <w:color w:val="auto"/>
                <w:sz w:val="18"/>
                <w:szCs w:val="18"/>
              </w:rPr>
              <w:t xml:space="preserve"> </w:t>
            </w:r>
            <w:r w:rsidR="002A29B1">
              <w:rPr>
                <w:color w:val="auto"/>
                <w:sz w:val="18"/>
                <w:szCs w:val="18"/>
              </w:rPr>
              <w:t>Macrovalidation:</w:t>
            </w:r>
            <w:r>
              <w:rPr>
                <w:color w:val="auto"/>
                <w:sz w:val="18"/>
                <w:szCs w:val="18"/>
              </w:rPr>
              <w:t xml:space="preserve"> </w:t>
            </w:r>
            <w:r w:rsidR="009B11F5">
              <w:rPr>
                <w:color w:val="auto"/>
                <w:sz w:val="18"/>
                <w:szCs w:val="18"/>
              </w:rPr>
              <w:t xml:space="preserve">Model </w:t>
            </w:r>
            <w:r w:rsidR="004226F1">
              <w:rPr>
                <w:color w:val="auto"/>
                <w:sz w:val="18"/>
                <w:szCs w:val="18"/>
              </w:rPr>
              <w:t xml:space="preserve">Using </w:t>
            </w:r>
            <w:r w:rsidR="009B11F5">
              <w:rPr>
                <w:color w:val="auto"/>
                <w:sz w:val="18"/>
                <w:szCs w:val="18"/>
              </w:rPr>
              <w:t>National Accounts and the 2017 HBS</w:t>
            </w:r>
            <w:bookmarkEnd w:id="164"/>
            <w:bookmarkEnd w:id="165"/>
            <w:bookmarkEnd w:id="166"/>
          </w:p>
        </w:tc>
      </w:tr>
      <w:tr w:rsidR="000F0225" w:rsidRPr="000F0225" w14:paraId="134EA2B1" w14:textId="77777777" w:rsidTr="00921D30">
        <w:trPr>
          <w:trHeight w:val="600"/>
        </w:trPr>
        <w:tc>
          <w:tcPr>
            <w:tcW w:w="4860" w:type="dxa"/>
            <w:vMerge w:val="restart"/>
            <w:tcBorders>
              <w:top w:val="single" w:sz="4" w:space="0" w:color="auto"/>
              <w:left w:val="nil"/>
              <w:bottom w:val="nil"/>
              <w:right w:val="nil"/>
            </w:tcBorders>
            <w:shd w:val="clear" w:color="auto" w:fill="auto"/>
            <w:noWrap/>
            <w:vAlign w:val="center"/>
            <w:hideMark/>
          </w:tcPr>
          <w:p w14:paraId="306EEA5C"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Fiscal Instrument</w:t>
            </w:r>
          </w:p>
        </w:tc>
        <w:tc>
          <w:tcPr>
            <w:tcW w:w="1807" w:type="dxa"/>
            <w:vMerge w:val="restart"/>
            <w:tcBorders>
              <w:top w:val="single" w:sz="4" w:space="0" w:color="auto"/>
              <w:left w:val="nil"/>
              <w:bottom w:val="nil"/>
              <w:right w:val="nil"/>
            </w:tcBorders>
            <w:shd w:val="clear" w:color="auto" w:fill="auto"/>
            <w:vAlign w:val="center"/>
            <w:hideMark/>
          </w:tcPr>
          <w:p w14:paraId="2A2197ED" w14:textId="718985DF"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National Accounts 2017* (</w:t>
            </w:r>
            <w:r w:rsidR="00C11058">
              <w:rPr>
                <w:rFonts w:asciiTheme="majorHAnsi" w:eastAsia="Times New Roman" w:hAnsiTheme="majorHAnsi" w:cstheme="majorHAnsi"/>
                <w:b/>
                <w:bCs/>
                <w:color w:val="000000"/>
                <w:sz w:val="18"/>
                <w:szCs w:val="18"/>
              </w:rPr>
              <w:t>MUR,</w:t>
            </w:r>
            <w:r w:rsidRPr="000F0225">
              <w:rPr>
                <w:rFonts w:asciiTheme="majorHAnsi" w:eastAsia="Times New Roman" w:hAnsiTheme="majorHAnsi" w:cstheme="majorHAnsi"/>
                <w:b/>
                <w:bCs/>
                <w:color w:val="000000"/>
                <w:sz w:val="18"/>
                <w:szCs w:val="18"/>
              </w:rPr>
              <w:t xml:space="preserve"> </w:t>
            </w:r>
            <w:r w:rsidR="00C11058">
              <w:rPr>
                <w:rFonts w:asciiTheme="majorHAnsi" w:eastAsia="Times New Roman" w:hAnsiTheme="majorHAnsi" w:cstheme="majorHAnsi"/>
                <w:b/>
                <w:bCs/>
                <w:color w:val="000000"/>
                <w:sz w:val="18"/>
                <w:szCs w:val="18"/>
              </w:rPr>
              <w:t>million</w:t>
            </w:r>
            <w:r w:rsidRPr="000F0225">
              <w:rPr>
                <w:rFonts w:asciiTheme="majorHAnsi" w:eastAsia="Times New Roman" w:hAnsiTheme="majorHAnsi" w:cstheme="majorHAnsi"/>
                <w:b/>
                <w:bCs/>
                <w:color w:val="000000"/>
                <w:sz w:val="18"/>
                <w:szCs w:val="18"/>
              </w:rPr>
              <w:t>)</w:t>
            </w:r>
          </w:p>
        </w:tc>
        <w:tc>
          <w:tcPr>
            <w:tcW w:w="1497" w:type="dxa"/>
            <w:vMerge w:val="restart"/>
            <w:tcBorders>
              <w:top w:val="single" w:sz="4" w:space="0" w:color="auto"/>
              <w:left w:val="nil"/>
              <w:bottom w:val="nil"/>
              <w:right w:val="nil"/>
            </w:tcBorders>
            <w:shd w:val="clear" w:color="auto" w:fill="auto"/>
            <w:vAlign w:val="center"/>
            <w:hideMark/>
          </w:tcPr>
          <w:p w14:paraId="65CE2408" w14:textId="422A27E7"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HBS 2017 (</w:t>
            </w:r>
            <w:r w:rsidR="00C11058">
              <w:rPr>
                <w:rFonts w:asciiTheme="majorHAnsi" w:eastAsia="Times New Roman" w:hAnsiTheme="majorHAnsi" w:cstheme="majorHAnsi"/>
                <w:b/>
                <w:bCs/>
                <w:color w:val="000000"/>
                <w:sz w:val="18"/>
                <w:szCs w:val="18"/>
              </w:rPr>
              <w:t>MUR,</w:t>
            </w:r>
            <w:r w:rsidRPr="000F0225">
              <w:rPr>
                <w:rFonts w:asciiTheme="majorHAnsi" w:eastAsia="Times New Roman" w:hAnsiTheme="majorHAnsi" w:cstheme="majorHAnsi"/>
                <w:b/>
                <w:bCs/>
                <w:color w:val="000000"/>
                <w:sz w:val="18"/>
                <w:szCs w:val="18"/>
              </w:rPr>
              <w:t xml:space="preserve"> </w:t>
            </w:r>
            <w:r w:rsidR="00C11058">
              <w:rPr>
                <w:rFonts w:asciiTheme="majorHAnsi" w:eastAsia="Times New Roman" w:hAnsiTheme="majorHAnsi" w:cstheme="majorHAnsi"/>
                <w:b/>
                <w:bCs/>
                <w:color w:val="000000"/>
                <w:sz w:val="18"/>
                <w:szCs w:val="18"/>
              </w:rPr>
              <w:t>million</w:t>
            </w:r>
            <w:r w:rsidRPr="000F0225">
              <w:rPr>
                <w:rFonts w:asciiTheme="majorHAnsi" w:eastAsia="Times New Roman" w:hAnsiTheme="majorHAnsi" w:cstheme="majorHAnsi"/>
                <w:b/>
                <w:bCs/>
                <w:color w:val="000000"/>
                <w:sz w:val="18"/>
                <w:szCs w:val="18"/>
              </w:rPr>
              <w:t>)</w:t>
            </w:r>
          </w:p>
        </w:tc>
        <w:tc>
          <w:tcPr>
            <w:tcW w:w="1920" w:type="dxa"/>
            <w:tcBorders>
              <w:top w:val="single" w:sz="4" w:space="0" w:color="auto"/>
              <w:left w:val="nil"/>
              <w:bottom w:val="single" w:sz="4" w:space="0" w:color="auto"/>
              <w:right w:val="nil"/>
            </w:tcBorders>
            <w:shd w:val="clear" w:color="auto" w:fill="auto"/>
            <w:vAlign w:val="bottom"/>
            <w:hideMark/>
          </w:tcPr>
          <w:p w14:paraId="304924F1"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amount from HBS</w:t>
            </w:r>
          </w:p>
        </w:tc>
        <w:tc>
          <w:tcPr>
            <w:tcW w:w="1740" w:type="dxa"/>
            <w:tcBorders>
              <w:top w:val="single" w:sz="4" w:space="0" w:color="auto"/>
              <w:left w:val="nil"/>
              <w:bottom w:val="single" w:sz="4" w:space="0" w:color="auto"/>
              <w:right w:val="nil"/>
            </w:tcBorders>
            <w:shd w:val="clear" w:color="auto" w:fill="auto"/>
            <w:vAlign w:val="bottom"/>
            <w:hideMark/>
          </w:tcPr>
          <w:p w14:paraId="011B09D2"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amount from NA</w:t>
            </w:r>
          </w:p>
        </w:tc>
        <w:tc>
          <w:tcPr>
            <w:tcW w:w="1740" w:type="dxa"/>
            <w:tcBorders>
              <w:top w:val="single" w:sz="4" w:space="0" w:color="auto"/>
              <w:left w:val="nil"/>
              <w:bottom w:val="single" w:sz="4" w:space="0" w:color="auto"/>
              <w:right w:val="nil"/>
            </w:tcBorders>
            <w:shd w:val="clear" w:color="auto" w:fill="auto"/>
            <w:vAlign w:val="bottom"/>
            <w:hideMark/>
          </w:tcPr>
          <w:p w14:paraId="05546FB8"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amount from HBS</w:t>
            </w:r>
          </w:p>
        </w:tc>
      </w:tr>
      <w:tr w:rsidR="000F0225" w:rsidRPr="000F0225" w14:paraId="5DC9043E" w14:textId="77777777" w:rsidTr="000F0225">
        <w:trPr>
          <w:trHeight w:val="630"/>
        </w:trPr>
        <w:tc>
          <w:tcPr>
            <w:tcW w:w="4860" w:type="dxa"/>
            <w:vMerge/>
            <w:tcBorders>
              <w:top w:val="nil"/>
              <w:left w:val="nil"/>
              <w:bottom w:val="nil"/>
              <w:right w:val="nil"/>
            </w:tcBorders>
            <w:vAlign w:val="center"/>
            <w:hideMark/>
          </w:tcPr>
          <w:p w14:paraId="4AC40BCB"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p>
        </w:tc>
        <w:tc>
          <w:tcPr>
            <w:tcW w:w="1807" w:type="dxa"/>
            <w:vMerge/>
            <w:tcBorders>
              <w:top w:val="nil"/>
              <w:left w:val="nil"/>
              <w:bottom w:val="nil"/>
              <w:right w:val="nil"/>
            </w:tcBorders>
            <w:vAlign w:val="center"/>
            <w:hideMark/>
          </w:tcPr>
          <w:p w14:paraId="5E053AC0" w14:textId="77777777"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p>
        </w:tc>
        <w:tc>
          <w:tcPr>
            <w:tcW w:w="1497" w:type="dxa"/>
            <w:vMerge/>
            <w:tcBorders>
              <w:top w:val="nil"/>
              <w:left w:val="nil"/>
              <w:bottom w:val="nil"/>
              <w:right w:val="nil"/>
            </w:tcBorders>
            <w:vAlign w:val="center"/>
            <w:hideMark/>
          </w:tcPr>
          <w:p w14:paraId="09ABB929" w14:textId="77777777"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p>
        </w:tc>
        <w:tc>
          <w:tcPr>
            <w:tcW w:w="1920" w:type="dxa"/>
            <w:tcBorders>
              <w:top w:val="nil"/>
              <w:left w:val="nil"/>
              <w:bottom w:val="nil"/>
              <w:right w:val="nil"/>
            </w:tcBorders>
            <w:shd w:val="clear" w:color="auto" w:fill="auto"/>
            <w:hideMark/>
          </w:tcPr>
          <w:p w14:paraId="1BEB1278"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amount from NA</w:t>
            </w:r>
          </w:p>
        </w:tc>
        <w:tc>
          <w:tcPr>
            <w:tcW w:w="1740" w:type="dxa"/>
            <w:tcBorders>
              <w:top w:val="nil"/>
              <w:left w:val="nil"/>
              <w:bottom w:val="nil"/>
              <w:right w:val="nil"/>
            </w:tcBorders>
            <w:shd w:val="clear" w:color="auto" w:fill="auto"/>
            <w:hideMark/>
          </w:tcPr>
          <w:p w14:paraId="24303E64"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Disposable income from NA</w:t>
            </w:r>
          </w:p>
        </w:tc>
        <w:tc>
          <w:tcPr>
            <w:tcW w:w="1740" w:type="dxa"/>
            <w:tcBorders>
              <w:top w:val="nil"/>
              <w:left w:val="nil"/>
              <w:bottom w:val="nil"/>
              <w:right w:val="nil"/>
            </w:tcBorders>
            <w:shd w:val="clear" w:color="auto" w:fill="auto"/>
            <w:hideMark/>
          </w:tcPr>
          <w:p w14:paraId="69D65007"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Disposable income from HBS</w:t>
            </w:r>
          </w:p>
        </w:tc>
      </w:tr>
      <w:tr w:rsidR="000F0225" w:rsidRPr="000F0225" w14:paraId="30C8985F" w14:textId="77777777" w:rsidTr="000F0225">
        <w:trPr>
          <w:trHeight w:val="300"/>
        </w:trPr>
        <w:tc>
          <w:tcPr>
            <w:tcW w:w="4860" w:type="dxa"/>
            <w:tcBorders>
              <w:top w:val="nil"/>
              <w:left w:val="nil"/>
              <w:bottom w:val="nil"/>
              <w:right w:val="nil"/>
            </w:tcBorders>
            <w:shd w:val="clear" w:color="auto" w:fill="auto"/>
            <w:noWrap/>
            <w:vAlign w:val="bottom"/>
            <w:hideMark/>
          </w:tcPr>
          <w:p w14:paraId="03B4A75A"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Household Disposable Income</w:t>
            </w:r>
          </w:p>
        </w:tc>
        <w:tc>
          <w:tcPr>
            <w:tcW w:w="1807" w:type="dxa"/>
            <w:tcBorders>
              <w:top w:val="nil"/>
              <w:left w:val="nil"/>
              <w:bottom w:val="nil"/>
              <w:right w:val="nil"/>
            </w:tcBorders>
            <w:shd w:val="clear" w:color="auto" w:fill="auto"/>
            <w:noWrap/>
            <w:vAlign w:val="bottom"/>
            <w:hideMark/>
          </w:tcPr>
          <w:p w14:paraId="4484DF98" w14:textId="7623E32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334,208</w:t>
            </w:r>
          </w:p>
        </w:tc>
        <w:tc>
          <w:tcPr>
            <w:tcW w:w="1497" w:type="dxa"/>
            <w:tcBorders>
              <w:top w:val="nil"/>
              <w:left w:val="nil"/>
              <w:bottom w:val="nil"/>
              <w:right w:val="nil"/>
            </w:tcBorders>
            <w:shd w:val="clear" w:color="auto" w:fill="auto"/>
            <w:noWrap/>
            <w:vAlign w:val="bottom"/>
            <w:hideMark/>
          </w:tcPr>
          <w:p w14:paraId="38829107" w14:textId="2EDABB2F"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193,191</w:t>
            </w:r>
          </w:p>
        </w:tc>
        <w:tc>
          <w:tcPr>
            <w:tcW w:w="1920" w:type="dxa"/>
            <w:tcBorders>
              <w:top w:val="nil"/>
              <w:left w:val="nil"/>
              <w:bottom w:val="nil"/>
              <w:right w:val="nil"/>
            </w:tcBorders>
            <w:shd w:val="clear" w:color="auto" w:fill="auto"/>
            <w:noWrap/>
            <w:vAlign w:val="bottom"/>
            <w:hideMark/>
          </w:tcPr>
          <w:p w14:paraId="040285F9"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57.8</w:t>
            </w:r>
          </w:p>
        </w:tc>
        <w:tc>
          <w:tcPr>
            <w:tcW w:w="1740" w:type="dxa"/>
            <w:tcBorders>
              <w:top w:val="nil"/>
              <w:left w:val="nil"/>
              <w:bottom w:val="nil"/>
              <w:right w:val="nil"/>
            </w:tcBorders>
            <w:shd w:val="clear" w:color="auto" w:fill="auto"/>
            <w:noWrap/>
            <w:vAlign w:val="bottom"/>
            <w:hideMark/>
          </w:tcPr>
          <w:p w14:paraId="6FDA5F6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c>
          <w:tcPr>
            <w:tcW w:w="1740" w:type="dxa"/>
            <w:tcBorders>
              <w:top w:val="nil"/>
              <w:left w:val="nil"/>
              <w:bottom w:val="nil"/>
              <w:right w:val="nil"/>
            </w:tcBorders>
            <w:shd w:val="clear" w:color="auto" w:fill="auto"/>
            <w:noWrap/>
            <w:vAlign w:val="bottom"/>
            <w:hideMark/>
          </w:tcPr>
          <w:p w14:paraId="278B9464" w14:textId="77777777" w:rsidR="000F0225" w:rsidRPr="000F0225" w:rsidRDefault="000F0225" w:rsidP="000F0225">
            <w:pPr>
              <w:spacing w:after="0" w:line="240" w:lineRule="auto"/>
              <w:jc w:val="center"/>
              <w:rPr>
                <w:rFonts w:asciiTheme="majorHAnsi" w:eastAsia="Times New Roman" w:hAnsiTheme="majorHAnsi" w:cstheme="majorHAnsi"/>
                <w:sz w:val="18"/>
                <w:szCs w:val="18"/>
              </w:rPr>
            </w:pPr>
          </w:p>
        </w:tc>
      </w:tr>
      <w:tr w:rsidR="000F0225" w:rsidRPr="000F0225" w14:paraId="3105A185" w14:textId="77777777" w:rsidTr="000F0225">
        <w:trPr>
          <w:trHeight w:val="300"/>
        </w:trPr>
        <w:tc>
          <w:tcPr>
            <w:tcW w:w="4860" w:type="dxa"/>
            <w:tcBorders>
              <w:top w:val="nil"/>
              <w:left w:val="nil"/>
              <w:bottom w:val="nil"/>
              <w:right w:val="nil"/>
            </w:tcBorders>
            <w:shd w:val="clear" w:color="000000" w:fill="F4B084"/>
            <w:noWrap/>
            <w:vAlign w:val="bottom"/>
            <w:hideMark/>
          </w:tcPr>
          <w:p w14:paraId="1A8A3866"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Direct Taxes and Contributions</w:t>
            </w:r>
          </w:p>
        </w:tc>
        <w:tc>
          <w:tcPr>
            <w:tcW w:w="1807" w:type="dxa"/>
            <w:tcBorders>
              <w:top w:val="nil"/>
              <w:left w:val="nil"/>
              <w:bottom w:val="nil"/>
              <w:right w:val="nil"/>
            </w:tcBorders>
            <w:shd w:val="clear" w:color="000000" w:fill="F4B084"/>
            <w:noWrap/>
            <w:vAlign w:val="bottom"/>
            <w:hideMark/>
          </w:tcPr>
          <w:p w14:paraId="43A26A42" w14:textId="184BBD1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497" w:type="dxa"/>
            <w:tcBorders>
              <w:top w:val="nil"/>
              <w:left w:val="nil"/>
              <w:bottom w:val="nil"/>
              <w:right w:val="nil"/>
            </w:tcBorders>
            <w:shd w:val="clear" w:color="000000" w:fill="F4B084"/>
            <w:noWrap/>
            <w:vAlign w:val="bottom"/>
            <w:hideMark/>
          </w:tcPr>
          <w:p w14:paraId="48D35193" w14:textId="2CA0D12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920" w:type="dxa"/>
            <w:tcBorders>
              <w:top w:val="nil"/>
              <w:left w:val="nil"/>
              <w:bottom w:val="nil"/>
              <w:right w:val="nil"/>
            </w:tcBorders>
            <w:shd w:val="clear" w:color="000000" w:fill="F4B084"/>
            <w:noWrap/>
            <w:vAlign w:val="bottom"/>
            <w:hideMark/>
          </w:tcPr>
          <w:p w14:paraId="6DED47F2"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42EDFD0F"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3F1202E3"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r>
      <w:tr w:rsidR="000F0225" w:rsidRPr="000F0225" w14:paraId="2B7AA747" w14:textId="77777777" w:rsidTr="000F0225">
        <w:trPr>
          <w:trHeight w:val="300"/>
        </w:trPr>
        <w:tc>
          <w:tcPr>
            <w:tcW w:w="4860" w:type="dxa"/>
            <w:tcBorders>
              <w:top w:val="nil"/>
              <w:left w:val="nil"/>
              <w:bottom w:val="nil"/>
              <w:right w:val="nil"/>
            </w:tcBorders>
            <w:shd w:val="clear" w:color="auto" w:fill="auto"/>
            <w:noWrap/>
            <w:vAlign w:val="bottom"/>
            <w:hideMark/>
          </w:tcPr>
          <w:p w14:paraId="40124A1A"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Personal Income Tax</w:t>
            </w:r>
          </w:p>
        </w:tc>
        <w:tc>
          <w:tcPr>
            <w:tcW w:w="1807" w:type="dxa"/>
            <w:tcBorders>
              <w:top w:val="nil"/>
              <w:left w:val="nil"/>
              <w:bottom w:val="nil"/>
              <w:right w:val="nil"/>
            </w:tcBorders>
            <w:shd w:val="clear" w:color="auto" w:fill="auto"/>
            <w:vAlign w:val="bottom"/>
            <w:hideMark/>
          </w:tcPr>
          <w:p w14:paraId="18B198AC" w14:textId="4129A154"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9,020</w:t>
            </w:r>
          </w:p>
        </w:tc>
        <w:tc>
          <w:tcPr>
            <w:tcW w:w="1497" w:type="dxa"/>
            <w:tcBorders>
              <w:top w:val="nil"/>
              <w:left w:val="nil"/>
              <w:bottom w:val="nil"/>
              <w:right w:val="nil"/>
            </w:tcBorders>
            <w:shd w:val="clear" w:color="auto" w:fill="auto"/>
            <w:noWrap/>
            <w:vAlign w:val="bottom"/>
            <w:hideMark/>
          </w:tcPr>
          <w:p w14:paraId="703AAE10" w14:textId="3C65462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3,096</w:t>
            </w:r>
          </w:p>
        </w:tc>
        <w:tc>
          <w:tcPr>
            <w:tcW w:w="1920" w:type="dxa"/>
            <w:tcBorders>
              <w:top w:val="nil"/>
              <w:left w:val="nil"/>
              <w:bottom w:val="nil"/>
              <w:right w:val="nil"/>
            </w:tcBorders>
            <w:shd w:val="clear" w:color="auto" w:fill="auto"/>
            <w:noWrap/>
            <w:vAlign w:val="bottom"/>
            <w:hideMark/>
          </w:tcPr>
          <w:p w14:paraId="163482C4"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34.3</w:t>
            </w:r>
          </w:p>
        </w:tc>
        <w:tc>
          <w:tcPr>
            <w:tcW w:w="1740" w:type="dxa"/>
            <w:tcBorders>
              <w:top w:val="nil"/>
              <w:left w:val="nil"/>
              <w:bottom w:val="nil"/>
              <w:right w:val="nil"/>
            </w:tcBorders>
            <w:shd w:val="clear" w:color="auto" w:fill="auto"/>
            <w:noWrap/>
            <w:vAlign w:val="bottom"/>
            <w:hideMark/>
          </w:tcPr>
          <w:p w14:paraId="778962DB"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2.7</w:t>
            </w:r>
          </w:p>
        </w:tc>
        <w:tc>
          <w:tcPr>
            <w:tcW w:w="1740" w:type="dxa"/>
            <w:tcBorders>
              <w:top w:val="nil"/>
              <w:left w:val="nil"/>
              <w:bottom w:val="nil"/>
              <w:right w:val="nil"/>
            </w:tcBorders>
            <w:shd w:val="clear" w:color="auto" w:fill="auto"/>
            <w:noWrap/>
            <w:vAlign w:val="bottom"/>
            <w:hideMark/>
          </w:tcPr>
          <w:p w14:paraId="6CA25A9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w:t>
            </w:r>
          </w:p>
        </w:tc>
      </w:tr>
      <w:tr w:rsidR="000F0225" w:rsidRPr="000F0225" w14:paraId="25029C5C" w14:textId="77777777" w:rsidTr="000F0225">
        <w:trPr>
          <w:trHeight w:val="300"/>
        </w:trPr>
        <w:tc>
          <w:tcPr>
            <w:tcW w:w="4860" w:type="dxa"/>
            <w:tcBorders>
              <w:top w:val="nil"/>
              <w:left w:val="nil"/>
              <w:bottom w:val="nil"/>
              <w:right w:val="nil"/>
            </w:tcBorders>
            <w:shd w:val="clear" w:color="auto" w:fill="auto"/>
            <w:noWrap/>
            <w:vAlign w:val="bottom"/>
            <w:hideMark/>
          </w:tcPr>
          <w:p w14:paraId="1B7026D6" w14:textId="31D6A1CE"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Social Security Contributions</w:t>
            </w:r>
            <w:r w:rsidR="00C13056">
              <w:rPr>
                <w:rFonts w:asciiTheme="majorHAnsi" w:eastAsia="Times New Roman" w:hAnsiTheme="majorHAnsi" w:cstheme="majorHAnsi"/>
                <w:color w:val="000000"/>
                <w:sz w:val="18"/>
                <w:szCs w:val="18"/>
              </w:rPr>
              <w:t>*</w:t>
            </w:r>
          </w:p>
        </w:tc>
        <w:tc>
          <w:tcPr>
            <w:tcW w:w="1807" w:type="dxa"/>
            <w:tcBorders>
              <w:top w:val="nil"/>
              <w:left w:val="nil"/>
              <w:bottom w:val="nil"/>
              <w:right w:val="nil"/>
            </w:tcBorders>
            <w:shd w:val="clear" w:color="auto" w:fill="auto"/>
            <w:noWrap/>
            <w:vAlign w:val="bottom"/>
            <w:hideMark/>
          </w:tcPr>
          <w:p w14:paraId="388EA3A1" w14:textId="3FE39FED" w:rsidR="000F0225" w:rsidRPr="000F0225" w:rsidRDefault="000F0225" w:rsidP="002A29B1">
            <w:pPr>
              <w:spacing w:after="0" w:line="240" w:lineRule="auto"/>
              <w:jc w:val="center"/>
              <w:rPr>
                <w:rFonts w:asciiTheme="majorHAnsi" w:eastAsia="Times New Roman" w:hAnsiTheme="majorHAnsi" w:cstheme="majorHAnsi"/>
                <w:sz w:val="18"/>
                <w:szCs w:val="18"/>
              </w:rPr>
            </w:pPr>
            <w:r w:rsidRPr="000F0225">
              <w:rPr>
                <w:rFonts w:asciiTheme="majorHAnsi" w:eastAsia="Times New Roman" w:hAnsiTheme="majorHAnsi" w:cstheme="majorHAnsi"/>
                <w:sz w:val="18"/>
                <w:szCs w:val="18"/>
              </w:rPr>
              <w:t>5,403</w:t>
            </w:r>
          </w:p>
        </w:tc>
        <w:tc>
          <w:tcPr>
            <w:tcW w:w="1497" w:type="dxa"/>
            <w:tcBorders>
              <w:top w:val="nil"/>
              <w:left w:val="nil"/>
              <w:bottom w:val="nil"/>
              <w:right w:val="nil"/>
            </w:tcBorders>
            <w:shd w:val="clear" w:color="auto" w:fill="auto"/>
            <w:noWrap/>
            <w:vAlign w:val="bottom"/>
            <w:hideMark/>
          </w:tcPr>
          <w:p w14:paraId="532820B1" w14:textId="32003266" w:rsidR="000F0225" w:rsidRPr="000F0225" w:rsidRDefault="00207F9E" w:rsidP="002A29B1">
            <w:pPr>
              <w:spacing w:after="0" w:line="240" w:lineRule="auto"/>
              <w:jc w:val="center"/>
              <w:rPr>
                <w:rFonts w:asciiTheme="majorHAnsi" w:eastAsia="Times New Roman" w:hAnsiTheme="majorHAnsi" w:cstheme="majorHAnsi"/>
                <w:sz w:val="18"/>
                <w:szCs w:val="18"/>
              </w:rPr>
            </w:pPr>
            <w:r w:rsidRPr="00207F9E">
              <w:rPr>
                <w:rFonts w:asciiTheme="majorHAnsi" w:eastAsia="Times New Roman" w:hAnsiTheme="majorHAnsi" w:cstheme="majorHAnsi"/>
                <w:sz w:val="18"/>
                <w:szCs w:val="18"/>
              </w:rPr>
              <w:t>1,</w:t>
            </w:r>
            <w:r w:rsidRPr="00207F9E">
              <w:rPr>
                <w:rFonts w:eastAsia="Times New Roman"/>
                <w:sz w:val="18"/>
                <w:szCs w:val="18"/>
              </w:rPr>
              <w:t>560</w:t>
            </w:r>
          </w:p>
        </w:tc>
        <w:tc>
          <w:tcPr>
            <w:tcW w:w="1920" w:type="dxa"/>
            <w:tcBorders>
              <w:top w:val="nil"/>
              <w:left w:val="nil"/>
              <w:bottom w:val="nil"/>
              <w:right w:val="nil"/>
            </w:tcBorders>
            <w:shd w:val="clear" w:color="auto" w:fill="auto"/>
            <w:noWrap/>
            <w:vAlign w:val="bottom"/>
            <w:hideMark/>
          </w:tcPr>
          <w:p w14:paraId="457B11E6" w14:textId="4835954A" w:rsidR="000F0225" w:rsidRPr="000F0225" w:rsidRDefault="00F9367E" w:rsidP="000F0225">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28.9</w:t>
            </w:r>
          </w:p>
        </w:tc>
        <w:tc>
          <w:tcPr>
            <w:tcW w:w="1740" w:type="dxa"/>
            <w:tcBorders>
              <w:top w:val="nil"/>
              <w:left w:val="nil"/>
              <w:bottom w:val="nil"/>
              <w:right w:val="nil"/>
            </w:tcBorders>
            <w:shd w:val="clear" w:color="auto" w:fill="auto"/>
            <w:noWrap/>
            <w:vAlign w:val="bottom"/>
            <w:hideMark/>
          </w:tcPr>
          <w:p w14:paraId="1D6A781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w:t>
            </w:r>
          </w:p>
        </w:tc>
        <w:tc>
          <w:tcPr>
            <w:tcW w:w="1740" w:type="dxa"/>
            <w:tcBorders>
              <w:top w:val="nil"/>
              <w:left w:val="nil"/>
              <w:bottom w:val="nil"/>
              <w:right w:val="nil"/>
            </w:tcBorders>
            <w:shd w:val="clear" w:color="auto" w:fill="auto"/>
            <w:noWrap/>
            <w:vAlign w:val="bottom"/>
            <w:hideMark/>
          </w:tcPr>
          <w:p w14:paraId="188E453B" w14:textId="6B1248F3" w:rsidR="000F0225" w:rsidRPr="000F0225" w:rsidRDefault="00F9367E" w:rsidP="000F0225">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0</w:t>
            </w:r>
            <w:r w:rsidR="000F0225" w:rsidRPr="000F0225">
              <w:rPr>
                <w:rFonts w:asciiTheme="majorHAnsi" w:eastAsia="Times New Roman" w:hAnsiTheme="majorHAnsi" w:cstheme="majorHAnsi"/>
                <w:color w:val="000000"/>
                <w:sz w:val="18"/>
                <w:szCs w:val="18"/>
              </w:rPr>
              <w:t>.8</w:t>
            </w:r>
          </w:p>
        </w:tc>
      </w:tr>
      <w:tr w:rsidR="000F0225" w:rsidRPr="000F0225" w14:paraId="3FC2C36D" w14:textId="77777777" w:rsidTr="006D7F89">
        <w:trPr>
          <w:trHeight w:val="300"/>
        </w:trPr>
        <w:tc>
          <w:tcPr>
            <w:tcW w:w="4860" w:type="dxa"/>
            <w:tcBorders>
              <w:top w:val="nil"/>
              <w:left w:val="nil"/>
              <w:bottom w:val="nil"/>
              <w:right w:val="nil"/>
            </w:tcBorders>
            <w:shd w:val="clear" w:color="auto" w:fill="F4B083" w:themeFill="accent2" w:themeFillTint="99"/>
            <w:noWrap/>
            <w:vAlign w:val="bottom"/>
            <w:hideMark/>
          </w:tcPr>
          <w:p w14:paraId="70354A8A"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All direct taxes and contributions</w:t>
            </w:r>
          </w:p>
        </w:tc>
        <w:tc>
          <w:tcPr>
            <w:tcW w:w="1807" w:type="dxa"/>
            <w:tcBorders>
              <w:top w:val="nil"/>
              <w:left w:val="nil"/>
              <w:bottom w:val="nil"/>
              <w:right w:val="nil"/>
            </w:tcBorders>
            <w:shd w:val="clear" w:color="auto" w:fill="F4B083" w:themeFill="accent2" w:themeFillTint="99"/>
            <w:noWrap/>
            <w:vAlign w:val="bottom"/>
            <w:hideMark/>
          </w:tcPr>
          <w:p w14:paraId="47797729" w14:textId="1F0C5363"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14,423</w:t>
            </w:r>
          </w:p>
        </w:tc>
        <w:tc>
          <w:tcPr>
            <w:tcW w:w="1497" w:type="dxa"/>
            <w:tcBorders>
              <w:top w:val="nil"/>
              <w:left w:val="nil"/>
              <w:bottom w:val="nil"/>
              <w:right w:val="nil"/>
            </w:tcBorders>
            <w:shd w:val="clear" w:color="auto" w:fill="F4B083" w:themeFill="accent2" w:themeFillTint="99"/>
            <w:noWrap/>
            <w:vAlign w:val="bottom"/>
            <w:hideMark/>
          </w:tcPr>
          <w:p w14:paraId="19DD3072" w14:textId="517E8D61" w:rsidR="000F0225" w:rsidRPr="000F0225" w:rsidRDefault="00F9367E" w:rsidP="002A29B1">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4,656</w:t>
            </w:r>
          </w:p>
        </w:tc>
        <w:tc>
          <w:tcPr>
            <w:tcW w:w="1920" w:type="dxa"/>
            <w:tcBorders>
              <w:top w:val="nil"/>
              <w:left w:val="nil"/>
              <w:bottom w:val="nil"/>
              <w:right w:val="nil"/>
            </w:tcBorders>
            <w:shd w:val="clear" w:color="auto" w:fill="F4B083" w:themeFill="accent2" w:themeFillTint="99"/>
            <w:noWrap/>
            <w:vAlign w:val="bottom"/>
            <w:hideMark/>
          </w:tcPr>
          <w:p w14:paraId="55984301" w14:textId="23982569" w:rsidR="000F0225" w:rsidRPr="000F0225" w:rsidRDefault="00F9367E" w:rsidP="000F0225">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32.3</w:t>
            </w:r>
          </w:p>
        </w:tc>
        <w:tc>
          <w:tcPr>
            <w:tcW w:w="1740" w:type="dxa"/>
            <w:tcBorders>
              <w:top w:val="nil"/>
              <w:left w:val="nil"/>
              <w:bottom w:val="nil"/>
              <w:right w:val="nil"/>
            </w:tcBorders>
            <w:shd w:val="clear" w:color="auto" w:fill="F4B083" w:themeFill="accent2" w:themeFillTint="99"/>
            <w:noWrap/>
            <w:vAlign w:val="bottom"/>
            <w:hideMark/>
          </w:tcPr>
          <w:p w14:paraId="4D4F630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4.3</w:t>
            </w:r>
          </w:p>
        </w:tc>
        <w:tc>
          <w:tcPr>
            <w:tcW w:w="1740" w:type="dxa"/>
            <w:tcBorders>
              <w:top w:val="nil"/>
              <w:left w:val="nil"/>
              <w:bottom w:val="nil"/>
              <w:right w:val="nil"/>
            </w:tcBorders>
            <w:shd w:val="clear" w:color="auto" w:fill="F4B083" w:themeFill="accent2" w:themeFillTint="99"/>
            <w:noWrap/>
            <w:vAlign w:val="bottom"/>
            <w:hideMark/>
          </w:tcPr>
          <w:p w14:paraId="79976320" w14:textId="2518BB2F" w:rsidR="000F0225" w:rsidRPr="000F0225" w:rsidRDefault="00F9367E" w:rsidP="000F0225">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w:t>
            </w:r>
            <w:r w:rsidR="000F0225" w:rsidRPr="000F0225">
              <w:rPr>
                <w:rFonts w:asciiTheme="majorHAnsi" w:eastAsia="Times New Roman" w:hAnsiTheme="majorHAnsi" w:cstheme="majorHAnsi"/>
                <w:color w:val="000000"/>
                <w:sz w:val="18"/>
                <w:szCs w:val="18"/>
              </w:rPr>
              <w:t>.4</w:t>
            </w:r>
          </w:p>
        </w:tc>
      </w:tr>
      <w:tr w:rsidR="000F0225" w:rsidRPr="000F0225" w14:paraId="609BBC7C" w14:textId="77777777" w:rsidTr="000F0225">
        <w:trPr>
          <w:trHeight w:val="300"/>
        </w:trPr>
        <w:tc>
          <w:tcPr>
            <w:tcW w:w="4860" w:type="dxa"/>
            <w:tcBorders>
              <w:top w:val="nil"/>
              <w:left w:val="nil"/>
              <w:bottom w:val="nil"/>
              <w:right w:val="nil"/>
            </w:tcBorders>
            <w:shd w:val="clear" w:color="auto" w:fill="auto"/>
            <w:noWrap/>
            <w:vAlign w:val="bottom"/>
            <w:hideMark/>
          </w:tcPr>
          <w:p w14:paraId="2DD00FBB"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c>
          <w:tcPr>
            <w:tcW w:w="1807" w:type="dxa"/>
            <w:tcBorders>
              <w:top w:val="nil"/>
              <w:left w:val="nil"/>
              <w:bottom w:val="nil"/>
              <w:right w:val="nil"/>
            </w:tcBorders>
            <w:shd w:val="clear" w:color="auto" w:fill="auto"/>
            <w:noWrap/>
            <w:vAlign w:val="bottom"/>
            <w:hideMark/>
          </w:tcPr>
          <w:p w14:paraId="21F83853"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497" w:type="dxa"/>
            <w:tcBorders>
              <w:top w:val="nil"/>
              <w:left w:val="nil"/>
              <w:bottom w:val="nil"/>
              <w:right w:val="nil"/>
            </w:tcBorders>
            <w:shd w:val="clear" w:color="auto" w:fill="auto"/>
            <w:noWrap/>
            <w:vAlign w:val="bottom"/>
            <w:hideMark/>
          </w:tcPr>
          <w:p w14:paraId="4A959541"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920" w:type="dxa"/>
            <w:tcBorders>
              <w:top w:val="nil"/>
              <w:left w:val="nil"/>
              <w:bottom w:val="nil"/>
              <w:right w:val="nil"/>
            </w:tcBorders>
            <w:shd w:val="clear" w:color="auto" w:fill="auto"/>
            <w:noWrap/>
            <w:vAlign w:val="bottom"/>
            <w:hideMark/>
          </w:tcPr>
          <w:p w14:paraId="678BB4EE"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75A8F1E3"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6D549317" w14:textId="77777777" w:rsidR="000F0225" w:rsidRPr="000F0225" w:rsidRDefault="000F0225" w:rsidP="000F0225">
            <w:pPr>
              <w:spacing w:after="0" w:line="240" w:lineRule="auto"/>
              <w:jc w:val="center"/>
              <w:rPr>
                <w:rFonts w:asciiTheme="majorHAnsi" w:eastAsia="Times New Roman" w:hAnsiTheme="majorHAnsi" w:cstheme="majorHAnsi"/>
                <w:sz w:val="18"/>
                <w:szCs w:val="18"/>
              </w:rPr>
            </w:pPr>
          </w:p>
        </w:tc>
      </w:tr>
      <w:tr w:rsidR="000F0225" w:rsidRPr="000F0225" w14:paraId="44AED120" w14:textId="77777777" w:rsidTr="000F0225">
        <w:trPr>
          <w:trHeight w:val="300"/>
        </w:trPr>
        <w:tc>
          <w:tcPr>
            <w:tcW w:w="4860" w:type="dxa"/>
            <w:tcBorders>
              <w:top w:val="nil"/>
              <w:left w:val="nil"/>
              <w:bottom w:val="nil"/>
              <w:right w:val="nil"/>
            </w:tcBorders>
            <w:shd w:val="clear" w:color="000000" w:fill="F4B084"/>
            <w:noWrap/>
            <w:vAlign w:val="bottom"/>
            <w:hideMark/>
          </w:tcPr>
          <w:p w14:paraId="519AC6E0"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Indirect Taxes</w:t>
            </w:r>
          </w:p>
        </w:tc>
        <w:tc>
          <w:tcPr>
            <w:tcW w:w="1807" w:type="dxa"/>
            <w:tcBorders>
              <w:top w:val="nil"/>
              <w:left w:val="nil"/>
              <w:bottom w:val="nil"/>
              <w:right w:val="nil"/>
            </w:tcBorders>
            <w:shd w:val="clear" w:color="000000" w:fill="F4B084"/>
            <w:noWrap/>
            <w:vAlign w:val="bottom"/>
            <w:hideMark/>
          </w:tcPr>
          <w:p w14:paraId="39CC5372" w14:textId="6768860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497" w:type="dxa"/>
            <w:tcBorders>
              <w:top w:val="nil"/>
              <w:left w:val="nil"/>
              <w:bottom w:val="nil"/>
              <w:right w:val="nil"/>
            </w:tcBorders>
            <w:shd w:val="clear" w:color="000000" w:fill="F4B084"/>
            <w:noWrap/>
            <w:vAlign w:val="bottom"/>
            <w:hideMark/>
          </w:tcPr>
          <w:p w14:paraId="6EAA0E9C" w14:textId="2FE98D89"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920" w:type="dxa"/>
            <w:tcBorders>
              <w:top w:val="nil"/>
              <w:left w:val="nil"/>
              <w:bottom w:val="nil"/>
              <w:right w:val="nil"/>
            </w:tcBorders>
            <w:shd w:val="clear" w:color="000000" w:fill="F4B084"/>
            <w:noWrap/>
            <w:vAlign w:val="bottom"/>
            <w:hideMark/>
          </w:tcPr>
          <w:p w14:paraId="0CFF5A7B"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3B3ED210"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740D7E2F"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r>
      <w:tr w:rsidR="000F0225" w:rsidRPr="000F0225" w14:paraId="43CF80BB" w14:textId="77777777" w:rsidTr="000F0225">
        <w:trPr>
          <w:trHeight w:val="300"/>
        </w:trPr>
        <w:tc>
          <w:tcPr>
            <w:tcW w:w="4860" w:type="dxa"/>
            <w:tcBorders>
              <w:top w:val="nil"/>
              <w:left w:val="nil"/>
              <w:bottom w:val="nil"/>
              <w:right w:val="nil"/>
            </w:tcBorders>
            <w:shd w:val="clear" w:color="auto" w:fill="auto"/>
            <w:noWrap/>
            <w:vAlign w:val="bottom"/>
            <w:hideMark/>
          </w:tcPr>
          <w:p w14:paraId="0199A2CD"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VAT</w:t>
            </w:r>
          </w:p>
        </w:tc>
        <w:tc>
          <w:tcPr>
            <w:tcW w:w="1807" w:type="dxa"/>
            <w:tcBorders>
              <w:top w:val="nil"/>
              <w:left w:val="nil"/>
              <w:bottom w:val="nil"/>
              <w:right w:val="nil"/>
            </w:tcBorders>
            <w:shd w:val="clear" w:color="auto" w:fill="auto"/>
            <w:noWrap/>
            <w:vAlign w:val="bottom"/>
            <w:hideMark/>
          </w:tcPr>
          <w:p w14:paraId="7E0754B5" w14:textId="26CA5F6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30,834</w:t>
            </w:r>
          </w:p>
        </w:tc>
        <w:tc>
          <w:tcPr>
            <w:tcW w:w="1497" w:type="dxa"/>
            <w:tcBorders>
              <w:top w:val="nil"/>
              <w:left w:val="nil"/>
              <w:bottom w:val="nil"/>
              <w:right w:val="nil"/>
            </w:tcBorders>
            <w:shd w:val="clear" w:color="auto" w:fill="auto"/>
            <w:noWrap/>
            <w:vAlign w:val="bottom"/>
            <w:hideMark/>
          </w:tcPr>
          <w:p w14:paraId="7A499378" w14:textId="39C3A645"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7,526</w:t>
            </w:r>
          </w:p>
        </w:tc>
        <w:tc>
          <w:tcPr>
            <w:tcW w:w="1920" w:type="dxa"/>
            <w:tcBorders>
              <w:top w:val="nil"/>
              <w:left w:val="nil"/>
              <w:bottom w:val="nil"/>
              <w:right w:val="nil"/>
            </w:tcBorders>
            <w:shd w:val="clear" w:color="auto" w:fill="auto"/>
            <w:noWrap/>
            <w:vAlign w:val="bottom"/>
            <w:hideMark/>
          </w:tcPr>
          <w:p w14:paraId="73AB67BD"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24.4</w:t>
            </w:r>
          </w:p>
        </w:tc>
        <w:tc>
          <w:tcPr>
            <w:tcW w:w="1740" w:type="dxa"/>
            <w:tcBorders>
              <w:top w:val="nil"/>
              <w:left w:val="nil"/>
              <w:bottom w:val="nil"/>
              <w:right w:val="nil"/>
            </w:tcBorders>
            <w:shd w:val="clear" w:color="auto" w:fill="auto"/>
            <w:noWrap/>
            <w:vAlign w:val="bottom"/>
            <w:hideMark/>
          </w:tcPr>
          <w:p w14:paraId="11B7B55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9.2</w:t>
            </w:r>
          </w:p>
        </w:tc>
        <w:tc>
          <w:tcPr>
            <w:tcW w:w="1740" w:type="dxa"/>
            <w:tcBorders>
              <w:top w:val="nil"/>
              <w:left w:val="nil"/>
              <w:bottom w:val="nil"/>
              <w:right w:val="nil"/>
            </w:tcBorders>
            <w:shd w:val="clear" w:color="auto" w:fill="auto"/>
            <w:noWrap/>
            <w:vAlign w:val="bottom"/>
            <w:hideMark/>
          </w:tcPr>
          <w:p w14:paraId="4FB3E7C6"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3.9</w:t>
            </w:r>
          </w:p>
        </w:tc>
      </w:tr>
      <w:tr w:rsidR="000F0225" w:rsidRPr="000F0225" w14:paraId="54986964" w14:textId="77777777" w:rsidTr="000F0225">
        <w:trPr>
          <w:trHeight w:val="300"/>
        </w:trPr>
        <w:tc>
          <w:tcPr>
            <w:tcW w:w="4860" w:type="dxa"/>
            <w:tcBorders>
              <w:top w:val="nil"/>
              <w:left w:val="nil"/>
              <w:bottom w:val="nil"/>
              <w:right w:val="nil"/>
            </w:tcBorders>
            <w:shd w:val="clear" w:color="auto" w:fill="auto"/>
            <w:noWrap/>
            <w:vAlign w:val="bottom"/>
            <w:hideMark/>
          </w:tcPr>
          <w:p w14:paraId="0A8A4BB2"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Excise fuel</w:t>
            </w:r>
          </w:p>
        </w:tc>
        <w:tc>
          <w:tcPr>
            <w:tcW w:w="1807" w:type="dxa"/>
            <w:tcBorders>
              <w:top w:val="nil"/>
              <w:left w:val="nil"/>
              <w:bottom w:val="nil"/>
              <w:right w:val="nil"/>
            </w:tcBorders>
            <w:shd w:val="clear" w:color="auto" w:fill="auto"/>
            <w:noWrap/>
            <w:vAlign w:val="bottom"/>
            <w:hideMark/>
          </w:tcPr>
          <w:p w14:paraId="7686A342" w14:textId="08DC07F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4,399</w:t>
            </w:r>
          </w:p>
        </w:tc>
        <w:tc>
          <w:tcPr>
            <w:tcW w:w="1497" w:type="dxa"/>
            <w:tcBorders>
              <w:top w:val="nil"/>
              <w:left w:val="nil"/>
              <w:bottom w:val="nil"/>
              <w:right w:val="nil"/>
            </w:tcBorders>
            <w:shd w:val="clear" w:color="auto" w:fill="auto"/>
            <w:noWrap/>
            <w:vAlign w:val="bottom"/>
            <w:hideMark/>
          </w:tcPr>
          <w:p w14:paraId="263212A4" w14:textId="18D9D347"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1,812</w:t>
            </w:r>
          </w:p>
        </w:tc>
        <w:tc>
          <w:tcPr>
            <w:tcW w:w="1920" w:type="dxa"/>
            <w:tcBorders>
              <w:top w:val="nil"/>
              <w:left w:val="nil"/>
              <w:bottom w:val="nil"/>
              <w:right w:val="nil"/>
            </w:tcBorders>
            <w:shd w:val="clear" w:color="auto" w:fill="auto"/>
            <w:noWrap/>
            <w:vAlign w:val="bottom"/>
            <w:hideMark/>
          </w:tcPr>
          <w:p w14:paraId="6A01D43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41.2</w:t>
            </w:r>
          </w:p>
        </w:tc>
        <w:tc>
          <w:tcPr>
            <w:tcW w:w="1740" w:type="dxa"/>
            <w:tcBorders>
              <w:top w:val="nil"/>
              <w:left w:val="nil"/>
              <w:bottom w:val="nil"/>
              <w:right w:val="nil"/>
            </w:tcBorders>
            <w:shd w:val="clear" w:color="auto" w:fill="auto"/>
            <w:noWrap/>
            <w:vAlign w:val="bottom"/>
            <w:hideMark/>
          </w:tcPr>
          <w:p w14:paraId="6336925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1.3</w:t>
            </w:r>
          </w:p>
        </w:tc>
        <w:tc>
          <w:tcPr>
            <w:tcW w:w="1740" w:type="dxa"/>
            <w:tcBorders>
              <w:top w:val="nil"/>
              <w:left w:val="nil"/>
              <w:bottom w:val="nil"/>
              <w:right w:val="nil"/>
            </w:tcBorders>
            <w:shd w:val="clear" w:color="auto" w:fill="auto"/>
            <w:noWrap/>
            <w:vAlign w:val="bottom"/>
            <w:hideMark/>
          </w:tcPr>
          <w:p w14:paraId="3F986646"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0.9</w:t>
            </w:r>
          </w:p>
        </w:tc>
      </w:tr>
      <w:tr w:rsidR="000F0225" w:rsidRPr="000F0225" w14:paraId="7E1BC19E" w14:textId="77777777" w:rsidTr="000F0225">
        <w:trPr>
          <w:trHeight w:val="300"/>
        </w:trPr>
        <w:tc>
          <w:tcPr>
            <w:tcW w:w="4860" w:type="dxa"/>
            <w:tcBorders>
              <w:top w:val="nil"/>
              <w:left w:val="nil"/>
              <w:bottom w:val="nil"/>
              <w:right w:val="nil"/>
            </w:tcBorders>
            <w:shd w:val="clear" w:color="auto" w:fill="auto"/>
            <w:noWrap/>
            <w:vAlign w:val="bottom"/>
            <w:hideMark/>
          </w:tcPr>
          <w:p w14:paraId="760FF29F"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Excise alcohol</w:t>
            </w:r>
          </w:p>
        </w:tc>
        <w:tc>
          <w:tcPr>
            <w:tcW w:w="1807" w:type="dxa"/>
            <w:tcBorders>
              <w:top w:val="nil"/>
              <w:left w:val="nil"/>
              <w:bottom w:val="nil"/>
              <w:right w:val="nil"/>
            </w:tcBorders>
            <w:shd w:val="clear" w:color="auto" w:fill="auto"/>
            <w:noWrap/>
            <w:vAlign w:val="bottom"/>
            <w:hideMark/>
          </w:tcPr>
          <w:p w14:paraId="5CDBC109" w14:textId="2B46635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5,124</w:t>
            </w:r>
          </w:p>
        </w:tc>
        <w:tc>
          <w:tcPr>
            <w:tcW w:w="1497" w:type="dxa"/>
            <w:tcBorders>
              <w:top w:val="nil"/>
              <w:left w:val="nil"/>
              <w:bottom w:val="nil"/>
              <w:right w:val="nil"/>
            </w:tcBorders>
            <w:shd w:val="clear" w:color="auto" w:fill="auto"/>
            <w:noWrap/>
            <w:vAlign w:val="bottom"/>
            <w:hideMark/>
          </w:tcPr>
          <w:p w14:paraId="75895919" w14:textId="33AA6C89"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1,120</w:t>
            </w:r>
          </w:p>
        </w:tc>
        <w:tc>
          <w:tcPr>
            <w:tcW w:w="1920" w:type="dxa"/>
            <w:tcBorders>
              <w:top w:val="nil"/>
              <w:left w:val="nil"/>
              <w:bottom w:val="nil"/>
              <w:right w:val="nil"/>
            </w:tcBorders>
            <w:shd w:val="clear" w:color="auto" w:fill="auto"/>
            <w:noWrap/>
            <w:vAlign w:val="bottom"/>
            <w:hideMark/>
          </w:tcPr>
          <w:p w14:paraId="312C045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21.9</w:t>
            </w:r>
          </w:p>
        </w:tc>
        <w:tc>
          <w:tcPr>
            <w:tcW w:w="1740" w:type="dxa"/>
            <w:tcBorders>
              <w:top w:val="nil"/>
              <w:left w:val="nil"/>
              <w:bottom w:val="nil"/>
              <w:right w:val="nil"/>
            </w:tcBorders>
            <w:shd w:val="clear" w:color="auto" w:fill="auto"/>
            <w:noWrap/>
            <w:vAlign w:val="bottom"/>
            <w:hideMark/>
          </w:tcPr>
          <w:p w14:paraId="00AEC1E4"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1.5</w:t>
            </w:r>
          </w:p>
        </w:tc>
        <w:tc>
          <w:tcPr>
            <w:tcW w:w="1740" w:type="dxa"/>
            <w:tcBorders>
              <w:top w:val="nil"/>
              <w:left w:val="nil"/>
              <w:bottom w:val="nil"/>
              <w:right w:val="nil"/>
            </w:tcBorders>
            <w:shd w:val="clear" w:color="auto" w:fill="auto"/>
            <w:noWrap/>
            <w:vAlign w:val="bottom"/>
            <w:hideMark/>
          </w:tcPr>
          <w:p w14:paraId="4B510438"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0.6</w:t>
            </w:r>
          </w:p>
        </w:tc>
      </w:tr>
      <w:tr w:rsidR="000F0225" w:rsidRPr="000F0225" w14:paraId="1B1C8CF6" w14:textId="77777777" w:rsidTr="000F0225">
        <w:trPr>
          <w:trHeight w:val="300"/>
        </w:trPr>
        <w:tc>
          <w:tcPr>
            <w:tcW w:w="4860" w:type="dxa"/>
            <w:tcBorders>
              <w:top w:val="nil"/>
              <w:left w:val="nil"/>
              <w:bottom w:val="nil"/>
              <w:right w:val="nil"/>
            </w:tcBorders>
            <w:shd w:val="clear" w:color="auto" w:fill="auto"/>
            <w:noWrap/>
            <w:vAlign w:val="bottom"/>
            <w:hideMark/>
          </w:tcPr>
          <w:p w14:paraId="09DFB793"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Excise tobacco products</w:t>
            </w:r>
          </w:p>
        </w:tc>
        <w:tc>
          <w:tcPr>
            <w:tcW w:w="1807" w:type="dxa"/>
            <w:tcBorders>
              <w:top w:val="nil"/>
              <w:left w:val="nil"/>
              <w:bottom w:val="nil"/>
              <w:right w:val="nil"/>
            </w:tcBorders>
            <w:shd w:val="clear" w:color="auto" w:fill="auto"/>
            <w:noWrap/>
            <w:vAlign w:val="bottom"/>
            <w:hideMark/>
          </w:tcPr>
          <w:p w14:paraId="6692288A" w14:textId="5D69A70E"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5,034</w:t>
            </w:r>
          </w:p>
        </w:tc>
        <w:tc>
          <w:tcPr>
            <w:tcW w:w="1497" w:type="dxa"/>
            <w:tcBorders>
              <w:top w:val="nil"/>
              <w:left w:val="nil"/>
              <w:bottom w:val="nil"/>
              <w:right w:val="nil"/>
            </w:tcBorders>
            <w:shd w:val="clear" w:color="auto" w:fill="auto"/>
            <w:noWrap/>
            <w:vAlign w:val="bottom"/>
            <w:hideMark/>
          </w:tcPr>
          <w:p w14:paraId="102A216F" w14:textId="1A7E4B1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1,404</w:t>
            </w:r>
          </w:p>
        </w:tc>
        <w:tc>
          <w:tcPr>
            <w:tcW w:w="1920" w:type="dxa"/>
            <w:tcBorders>
              <w:top w:val="nil"/>
              <w:left w:val="nil"/>
              <w:bottom w:val="nil"/>
              <w:right w:val="nil"/>
            </w:tcBorders>
            <w:shd w:val="clear" w:color="auto" w:fill="auto"/>
            <w:noWrap/>
            <w:vAlign w:val="bottom"/>
            <w:hideMark/>
          </w:tcPr>
          <w:p w14:paraId="3B5156FF"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27.9</w:t>
            </w:r>
          </w:p>
        </w:tc>
        <w:tc>
          <w:tcPr>
            <w:tcW w:w="1740" w:type="dxa"/>
            <w:tcBorders>
              <w:top w:val="nil"/>
              <w:left w:val="nil"/>
              <w:bottom w:val="nil"/>
              <w:right w:val="nil"/>
            </w:tcBorders>
            <w:shd w:val="clear" w:color="auto" w:fill="auto"/>
            <w:noWrap/>
            <w:vAlign w:val="bottom"/>
            <w:hideMark/>
          </w:tcPr>
          <w:p w14:paraId="3A834CE7"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1.5</w:t>
            </w:r>
          </w:p>
        </w:tc>
        <w:tc>
          <w:tcPr>
            <w:tcW w:w="1740" w:type="dxa"/>
            <w:tcBorders>
              <w:top w:val="nil"/>
              <w:left w:val="nil"/>
              <w:bottom w:val="nil"/>
              <w:right w:val="nil"/>
            </w:tcBorders>
            <w:shd w:val="clear" w:color="auto" w:fill="auto"/>
            <w:noWrap/>
            <w:vAlign w:val="bottom"/>
            <w:hideMark/>
          </w:tcPr>
          <w:p w14:paraId="5A2A12B5"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0.7</w:t>
            </w:r>
          </w:p>
        </w:tc>
      </w:tr>
      <w:tr w:rsidR="000F0225" w:rsidRPr="000F0225" w14:paraId="2A8D3023" w14:textId="77777777" w:rsidTr="000F0225">
        <w:trPr>
          <w:trHeight w:val="300"/>
        </w:trPr>
        <w:tc>
          <w:tcPr>
            <w:tcW w:w="4860" w:type="dxa"/>
            <w:tcBorders>
              <w:top w:val="nil"/>
              <w:left w:val="nil"/>
              <w:bottom w:val="nil"/>
              <w:right w:val="nil"/>
            </w:tcBorders>
            <w:shd w:val="clear" w:color="auto" w:fill="auto"/>
            <w:noWrap/>
            <w:vAlign w:val="bottom"/>
            <w:hideMark/>
          </w:tcPr>
          <w:p w14:paraId="31587FBA"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Total Excises</w:t>
            </w:r>
          </w:p>
        </w:tc>
        <w:tc>
          <w:tcPr>
            <w:tcW w:w="1807" w:type="dxa"/>
            <w:tcBorders>
              <w:top w:val="nil"/>
              <w:left w:val="nil"/>
              <w:bottom w:val="nil"/>
              <w:right w:val="nil"/>
            </w:tcBorders>
            <w:shd w:val="clear" w:color="auto" w:fill="auto"/>
            <w:noWrap/>
            <w:vAlign w:val="bottom"/>
            <w:hideMark/>
          </w:tcPr>
          <w:p w14:paraId="2B28CB8D" w14:textId="7B5A180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14,557</w:t>
            </w:r>
          </w:p>
        </w:tc>
        <w:tc>
          <w:tcPr>
            <w:tcW w:w="1497" w:type="dxa"/>
            <w:tcBorders>
              <w:top w:val="nil"/>
              <w:left w:val="nil"/>
              <w:bottom w:val="nil"/>
              <w:right w:val="nil"/>
            </w:tcBorders>
            <w:shd w:val="clear" w:color="auto" w:fill="auto"/>
            <w:noWrap/>
            <w:vAlign w:val="bottom"/>
            <w:hideMark/>
          </w:tcPr>
          <w:p w14:paraId="5715B6EA" w14:textId="6567EF44"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11,171</w:t>
            </w:r>
          </w:p>
        </w:tc>
        <w:tc>
          <w:tcPr>
            <w:tcW w:w="1920" w:type="dxa"/>
            <w:tcBorders>
              <w:top w:val="nil"/>
              <w:left w:val="nil"/>
              <w:bottom w:val="nil"/>
              <w:right w:val="nil"/>
            </w:tcBorders>
            <w:shd w:val="clear" w:color="auto" w:fill="auto"/>
            <w:noWrap/>
            <w:vAlign w:val="bottom"/>
            <w:hideMark/>
          </w:tcPr>
          <w:p w14:paraId="77170EE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76.7</w:t>
            </w:r>
          </w:p>
        </w:tc>
        <w:tc>
          <w:tcPr>
            <w:tcW w:w="1740" w:type="dxa"/>
            <w:tcBorders>
              <w:top w:val="nil"/>
              <w:left w:val="nil"/>
              <w:bottom w:val="nil"/>
              <w:right w:val="nil"/>
            </w:tcBorders>
            <w:shd w:val="clear" w:color="auto" w:fill="auto"/>
            <w:noWrap/>
            <w:vAlign w:val="bottom"/>
            <w:hideMark/>
          </w:tcPr>
          <w:p w14:paraId="4AA41407"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4.4</w:t>
            </w:r>
          </w:p>
        </w:tc>
        <w:tc>
          <w:tcPr>
            <w:tcW w:w="1740" w:type="dxa"/>
            <w:tcBorders>
              <w:top w:val="nil"/>
              <w:left w:val="nil"/>
              <w:bottom w:val="nil"/>
              <w:right w:val="nil"/>
            </w:tcBorders>
            <w:shd w:val="clear" w:color="auto" w:fill="auto"/>
            <w:noWrap/>
            <w:vAlign w:val="bottom"/>
            <w:hideMark/>
          </w:tcPr>
          <w:p w14:paraId="13A13579"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5.8</w:t>
            </w:r>
          </w:p>
        </w:tc>
      </w:tr>
      <w:tr w:rsidR="000F0225" w:rsidRPr="000F0225" w14:paraId="73AD8216" w14:textId="77777777" w:rsidTr="006D7F89">
        <w:trPr>
          <w:trHeight w:val="300"/>
        </w:trPr>
        <w:tc>
          <w:tcPr>
            <w:tcW w:w="4860" w:type="dxa"/>
            <w:tcBorders>
              <w:top w:val="nil"/>
              <w:left w:val="nil"/>
              <w:bottom w:val="nil"/>
              <w:right w:val="nil"/>
            </w:tcBorders>
            <w:shd w:val="clear" w:color="auto" w:fill="F4B083" w:themeFill="accent2" w:themeFillTint="99"/>
            <w:noWrap/>
            <w:vAlign w:val="bottom"/>
            <w:hideMark/>
          </w:tcPr>
          <w:p w14:paraId="057C65A4"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Indirect Taxes</w:t>
            </w:r>
          </w:p>
        </w:tc>
        <w:tc>
          <w:tcPr>
            <w:tcW w:w="1807" w:type="dxa"/>
            <w:tcBorders>
              <w:top w:val="nil"/>
              <w:left w:val="nil"/>
              <w:bottom w:val="nil"/>
              <w:right w:val="nil"/>
            </w:tcBorders>
            <w:shd w:val="clear" w:color="auto" w:fill="F4B083" w:themeFill="accent2" w:themeFillTint="99"/>
            <w:noWrap/>
            <w:vAlign w:val="bottom"/>
            <w:hideMark/>
          </w:tcPr>
          <w:p w14:paraId="1053FD87" w14:textId="0D905B0E"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45,390</w:t>
            </w:r>
          </w:p>
        </w:tc>
        <w:tc>
          <w:tcPr>
            <w:tcW w:w="1497" w:type="dxa"/>
            <w:tcBorders>
              <w:top w:val="nil"/>
              <w:left w:val="nil"/>
              <w:bottom w:val="nil"/>
              <w:right w:val="nil"/>
            </w:tcBorders>
            <w:shd w:val="clear" w:color="auto" w:fill="F4B083" w:themeFill="accent2" w:themeFillTint="99"/>
            <w:noWrap/>
            <w:vAlign w:val="bottom"/>
            <w:hideMark/>
          </w:tcPr>
          <w:p w14:paraId="0131D952" w14:textId="3E936908"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18,697</w:t>
            </w:r>
          </w:p>
        </w:tc>
        <w:tc>
          <w:tcPr>
            <w:tcW w:w="1920" w:type="dxa"/>
            <w:tcBorders>
              <w:top w:val="nil"/>
              <w:left w:val="nil"/>
              <w:bottom w:val="nil"/>
              <w:right w:val="nil"/>
            </w:tcBorders>
            <w:shd w:val="clear" w:color="auto" w:fill="F4B083" w:themeFill="accent2" w:themeFillTint="99"/>
            <w:noWrap/>
            <w:vAlign w:val="bottom"/>
            <w:hideMark/>
          </w:tcPr>
          <w:p w14:paraId="706AD7E2"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41.2</w:t>
            </w:r>
          </w:p>
        </w:tc>
        <w:tc>
          <w:tcPr>
            <w:tcW w:w="1740" w:type="dxa"/>
            <w:tcBorders>
              <w:top w:val="nil"/>
              <w:left w:val="nil"/>
              <w:bottom w:val="nil"/>
              <w:right w:val="nil"/>
            </w:tcBorders>
            <w:shd w:val="clear" w:color="auto" w:fill="F4B083" w:themeFill="accent2" w:themeFillTint="99"/>
            <w:noWrap/>
            <w:vAlign w:val="bottom"/>
            <w:hideMark/>
          </w:tcPr>
          <w:p w14:paraId="4DE8E2AD"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13.6</w:t>
            </w:r>
          </w:p>
        </w:tc>
        <w:tc>
          <w:tcPr>
            <w:tcW w:w="1740" w:type="dxa"/>
            <w:tcBorders>
              <w:top w:val="nil"/>
              <w:left w:val="nil"/>
              <w:bottom w:val="nil"/>
              <w:right w:val="nil"/>
            </w:tcBorders>
            <w:shd w:val="clear" w:color="auto" w:fill="F4B083" w:themeFill="accent2" w:themeFillTint="99"/>
            <w:noWrap/>
            <w:vAlign w:val="bottom"/>
            <w:hideMark/>
          </w:tcPr>
          <w:p w14:paraId="7A4CE9AD"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9.7</w:t>
            </w:r>
          </w:p>
        </w:tc>
      </w:tr>
      <w:tr w:rsidR="000F0225" w:rsidRPr="000F0225" w14:paraId="4D440E11" w14:textId="77777777" w:rsidTr="000F0225">
        <w:trPr>
          <w:trHeight w:val="300"/>
        </w:trPr>
        <w:tc>
          <w:tcPr>
            <w:tcW w:w="4860" w:type="dxa"/>
            <w:tcBorders>
              <w:top w:val="nil"/>
              <w:left w:val="nil"/>
              <w:bottom w:val="nil"/>
              <w:right w:val="nil"/>
            </w:tcBorders>
            <w:shd w:val="clear" w:color="000000" w:fill="00B0F0"/>
            <w:noWrap/>
            <w:vAlign w:val="bottom"/>
            <w:hideMark/>
          </w:tcPr>
          <w:p w14:paraId="62648A17"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All Taxes and Contributions</w:t>
            </w:r>
          </w:p>
        </w:tc>
        <w:tc>
          <w:tcPr>
            <w:tcW w:w="1807" w:type="dxa"/>
            <w:tcBorders>
              <w:top w:val="nil"/>
              <w:left w:val="nil"/>
              <w:bottom w:val="nil"/>
              <w:right w:val="nil"/>
            </w:tcBorders>
            <w:shd w:val="clear" w:color="000000" w:fill="00B0F0"/>
            <w:noWrap/>
            <w:vAlign w:val="bottom"/>
            <w:hideMark/>
          </w:tcPr>
          <w:p w14:paraId="46127730" w14:textId="503D55DB"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59,813</w:t>
            </w:r>
          </w:p>
        </w:tc>
        <w:tc>
          <w:tcPr>
            <w:tcW w:w="1497" w:type="dxa"/>
            <w:tcBorders>
              <w:top w:val="nil"/>
              <w:left w:val="nil"/>
              <w:bottom w:val="nil"/>
              <w:right w:val="nil"/>
            </w:tcBorders>
            <w:shd w:val="clear" w:color="000000" w:fill="00B0F0"/>
            <w:noWrap/>
            <w:vAlign w:val="bottom"/>
            <w:hideMark/>
          </w:tcPr>
          <w:p w14:paraId="4D733651" w14:textId="1A9580B6"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2</w:t>
            </w:r>
            <w:r w:rsidR="00C13056">
              <w:rPr>
                <w:rFonts w:asciiTheme="majorHAnsi" w:eastAsia="Times New Roman" w:hAnsiTheme="majorHAnsi" w:cstheme="majorHAnsi"/>
                <w:b/>
                <w:bCs/>
                <w:color w:val="000000"/>
                <w:sz w:val="18"/>
                <w:szCs w:val="18"/>
              </w:rPr>
              <w:t>3</w:t>
            </w:r>
            <w:r w:rsidRPr="000F0225">
              <w:rPr>
                <w:rFonts w:asciiTheme="majorHAnsi" w:eastAsia="Times New Roman" w:hAnsiTheme="majorHAnsi" w:cstheme="majorHAnsi"/>
                <w:b/>
                <w:bCs/>
                <w:color w:val="000000"/>
                <w:sz w:val="18"/>
                <w:szCs w:val="18"/>
              </w:rPr>
              <w:t>,3</w:t>
            </w:r>
            <w:r w:rsidR="00C13056">
              <w:rPr>
                <w:rFonts w:asciiTheme="majorHAnsi" w:eastAsia="Times New Roman" w:hAnsiTheme="majorHAnsi" w:cstheme="majorHAnsi"/>
                <w:b/>
                <w:bCs/>
                <w:color w:val="000000"/>
                <w:sz w:val="18"/>
                <w:szCs w:val="18"/>
              </w:rPr>
              <w:t>53</w:t>
            </w:r>
          </w:p>
        </w:tc>
        <w:tc>
          <w:tcPr>
            <w:tcW w:w="1920" w:type="dxa"/>
            <w:tcBorders>
              <w:top w:val="nil"/>
              <w:left w:val="nil"/>
              <w:bottom w:val="nil"/>
              <w:right w:val="nil"/>
            </w:tcBorders>
            <w:shd w:val="clear" w:color="000000" w:fill="00B0F0"/>
            <w:noWrap/>
            <w:vAlign w:val="bottom"/>
            <w:hideMark/>
          </w:tcPr>
          <w:p w14:paraId="57F79F03" w14:textId="274E4862" w:rsidR="000F0225" w:rsidRPr="000F0225" w:rsidRDefault="00C13056" w:rsidP="000F0225">
            <w:pPr>
              <w:spacing w:after="0" w:line="240" w:lineRule="auto"/>
              <w:jc w:val="center"/>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39.0</w:t>
            </w:r>
          </w:p>
        </w:tc>
        <w:tc>
          <w:tcPr>
            <w:tcW w:w="1740" w:type="dxa"/>
            <w:tcBorders>
              <w:top w:val="nil"/>
              <w:left w:val="nil"/>
              <w:bottom w:val="nil"/>
              <w:right w:val="nil"/>
            </w:tcBorders>
            <w:shd w:val="clear" w:color="000000" w:fill="00B0F0"/>
            <w:noWrap/>
            <w:vAlign w:val="bottom"/>
            <w:hideMark/>
          </w:tcPr>
          <w:p w14:paraId="519C0AE8"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17.9</w:t>
            </w:r>
          </w:p>
        </w:tc>
        <w:tc>
          <w:tcPr>
            <w:tcW w:w="1740" w:type="dxa"/>
            <w:tcBorders>
              <w:top w:val="nil"/>
              <w:left w:val="nil"/>
              <w:bottom w:val="nil"/>
              <w:right w:val="nil"/>
            </w:tcBorders>
            <w:shd w:val="clear" w:color="000000" w:fill="00B0F0"/>
            <w:noWrap/>
            <w:vAlign w:val="bottom"/>
            <w:hideMark/>
          </w:tcPr>
          <w:p w14:paraId="6A5B57CC" w14:textId="65BD7FA4"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1</w:t>
            </w:r>
            <w:r w:rsidR="00C13056">
              <w:rPr>
                <w:rFonts w:asciiTheme="majorHAnsi" w:eastAsia="Times New Roman" w:hAnsiTheme="majorHAnsi" w:cstheme="majorHAnsi"/>
                <w:b/>
                <w:bCs/>
                <w:color w:val="000000"/>
                <w:sz w:val="18"/>
                <w:szCs w:val="18"/>
              </w:rPr>
              <w:t>2</w:t>
            </w:r>
            <w:r w:rsidRPr="000F0225">
              <w:rPr>
                <w:rFonts w:asciiTheme="majorHAnsi" w:eastAsia="Times New Roman" w:hAnsiTheme="majorHAnsi" w:cstheme="majorHAnsi"/>
                <w:b/>
                <w:bCs/>
                <w:color w:val="000000"/>
                <w:sz w:val="18"/>
                <w:szCs w:val="18"/>
              </w:rPr>
              <w:t>.1</w:t>
            </w:r>
          </w:p>
        </w:tc>
      </w:tr>
      <w:tr w:rsidR="000F0225" w:rsidRPr="000F0225" w14:paraId="6DFAE808" w14:textId="77777777" w:rsidTr="000F0225">
        <w:trPr>
          <w:trHeight w:val="300"/>
        </w:trPr>
        <w:tc>
          <w:tcPr>
            <w:tcW w:w="4860" w:type="dxa"/>
            <w:tcBorders>
              <w:top w:val="nil"/>
              <w:left w:val="nil"/>
              <w:bottom w:val="nil"/>
              <w:right w:val="nil"/>
            </w:tcBorders>
            <w:shd w:val="clear" w:color="auto" w:fill="auto"/>
            <w:noWrap/>
            <w:vAlign w:val="bottom"/>
            <w:hideMark/>
          </w:tcPr>
          <w:p w14:paraId="46DC7DAA"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p>
        </w:tc>
        <w:tc>
          <w:tcPr>
            <w:tcW w:w="1807" w:type="dxa"/>
            <w:tcBorders>
              <w:top w:val="nil"/>
              <w:left w:val="nil"/>
              <w:bottom w:val="nil"/>
              <w:right w:val="nil"/>
            </w:tcBorders>
            <w:shd w:val="clear" w:color="auto" w:fill="auto"/>
            <w:noWrap/>
            <w:vAlign w:val="bottom"/>
            <w:hideMark/>
          </w:tcPr>
          <w:p w14:paraId="13CDB448"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497" w:type="dxa"/>
            <w:tcBorders>
              <w:top w:val="nil"/>
              <w:left w:val="nil"/>
              <w:bottom w:val="nil"/>
              <w:right w:val="nil"/>
            </w:tcBorders>
            <w:shd w:val="clear" w:color="auto" w:fill="auto"/>
            <w:noWrap/>
            <w:vAlign w:val="bottom"/>
            <w:hideMark/>
          </w:tcPr>
          <w:p w14:paraId="5589F99C"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920" w:type="dxa"/>
            <w:tcBorders>
              <w:top w:val="nil"/>
              <w:left w:val="nil"/>
              <w:bottom w:val="nil"/>
              <w:right w:val="nil"/>
            </w:tcBorders>
            <w:shd w:val="clear" w:color="auto" w:fill="auto"/>
            <w:noWrap/>
            <w:vAlign w:val="bottom"/>
            <w:hideMark/>
          </w:tcPr>
          <w:p w14:paraId="2939AC24"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248DAC15"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6A0F74A6"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r>
      <w:tr w:rsidR="000F0225" w:rsidRPr="000F0225" w14:paraId="102E2D31" w14:textId="77777777" w:rsidTr="000F0225">
        <w:trPr>
          <w:trHeight w:val="300"/>
        </w:trPr>
        <w:tc>
          <w:tcPr>
            <w:tcW w:w="4860" w:type="dxa"/>
            <w:tcBorders>
              <w:top w:val="nil"/>
              <w:left w:val="nil"/>
              <w:bottom w:val="nil"/>
              <w:right w:val="nil"/>
            </w:tcBorders>
            <w:shd w:val="clear" w:color="000000" w:fill="F4B084"/>
            <w:noWrap/>
            <w:vAlign w:val="bottom"/>
            <w:hideMark/>
          </w:tcPr>
          <w:p w14:paraId="4DA4720B"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Social Protection Spending (excluding contributory pensions)</w:t>
            </w:r>
          </w:p>
        </w:tc>
        <w:tc>
          <w:tcPr>
            <w:tcW w:w="1807" w:type="dxa"/>
            <w:tcBorders>
              <w:top w:val="nil"/>
              <w:left w:val="nil"/>
              <w:bottom w:val="nil"/>
              <w:right w:val="nil"/>
            </w:tcBorders>
            <w:shd w:val="clear" w:color="000000" w:fill="F4B084"/>
            <w:noWrap/>
            <w:vAlign w:val="bottom"/>
            <w:hideMark/>
          </w:tcPr>
          <w:p w14:paraId="38B7E2A5" w14:textId="0746F8B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497" w:type="dxa"/>
            <w:tcBorders>
              <w:top w:val="nil"/>
              <w:left w:val="nil"/>
              <w:bottom w:val="nil"/>
              <w:right w:val="nil"/>
            </w:tcBorders>
            <w:shd w:val="clear" w:color="000000" w:fill="F4B084"/>
            <w:noWrap/>
            <w:vAlign w:val="bottom"/>
            <w:hideMark/>
          </w:tcPr>
          <w:p w14:paraId="017E94D5" w14:textId="48C1301E"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920" w:type="dxa"/>
            <w:tcBorders>
              <w:top w:val="nil"/>
              <w:left w:val="nil"/>
              <w:bottom w:val="nil"/>
              <w:right w:val="nil"/>
            </w:tcBorders>
            <w:shd w:val="clear" w:color="000000" w:fill="F4B084"/>
            <w:noWrap/>
            <w:vAlign w:val="bottom"/>
            <w:hideMark/>
          </w:tcPr>
          <w:p w14:paraId="70206E64"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2737E951"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26FE9887"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r>
      <w:tr w:rsidR="000F0225" w:rsidRPr="000F0225" w14:paraId="138F7F7A" w14:textId="77777777" w:rsidTr="000F0225">
        <w:trPr>
          <w:trHeight w:val="300"/>
        </w:trPr>
        <w:tc>
          <w:tcPr>
            <w:tcW w:w="4860" w:type="dxa"/>
            <w:tcBorders>
              <w:top w:val="nil"/>
              <w:left w:val="nil"/>
              <w:bottom w:val="nil"/>
              <w:right w:val="nil"/>
            </w:tcBorders>
            <w:shd w:val="clear" w:color="auto" w:fill="auto"/>
            <w:noWrap/>
            <w:vAlign w:val="bottom"/>
            <w:hideMark/>
          </w:tcPr>
          <w:p w14:paraId="5688627A"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BRP</w:t>
            </w:r>
          </w:p>
        </w:tc>
        <w:tc>
          <w:tcPr>
            <w:tcW w:w="1807" w:type="dxa"/>
            <w:tcBorders>
              <w:top w:val="nil"/>
              <w:left w:val="nil"/>
              <w:bottom w:val="nil"/>
              <w:right w:val="nil"/>
            </w:tcBorders>
            <w:shd w:val="clear" w:color="auto" w:fill="auto"/>
            <w:noWrap/>
            <w:vAlign w:val="bottom"/>
            <w:hideMark/>
          </w:tcPr>
          <w:p w14:paraId="4936CC92" w14:textId="15D5531E"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15,046</w:t>
            </w:r>
          </w:p>
        </w:tc>
        <w:tc>
          <w:tcPr>
            <w:tcW w:w="1497" w:type="dxa"/>
            <w:tcBorders>
              <w:top w:val="nil"/>
              <w:left w:val="nil"/>
              <w:bottom w:val="nil"/>
              <w:right w:val="nil"/>
            </w:tcBorders>
            <w:shd w:val="clear" w:color="auto" w:fill="auto"/>
            <w:noWrap/>
            <w:vAlign w:val="bottom"/>
            <w:hideMark/>
          </w:tcPr>
          <w:p w14:paraId="5652C63E" w14:textId="0DC7E6D6"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16,560</w:t>
            </w:r>
          </w:p>
        </w:tc>
        <w:tc>
          <w:tcPr>
            <w:tcW w:w="1920" w:type="dxa"/>
            <w:tcBorders>
              <w:top w:val="nil"/>
              <w:left w:val="nil"/>
              <w:bottom w:val="nil"/>
              <w:right w:val="nil"/>
            </w:tcBorders>
            <w:shd w:val="clear" w:color="auto" w:fill="auto"/>
            <w:noWrap/>
            <w:vAlign w:val="bottom"/>
            <w:hideMark/>
          </w:tcPr>
          <w:p w14:paraId="408C241F"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110.1</w:t>
            </w:r>
          </w:p>
        </w:tc>
        <w:tc>
          <w:tcPr>
            <w:tcW w:w="1740" w:type="dxa"/>
            <w:tcBorders>
              <w:top w:val="nil"/>
              <w:left w:val="nil"/>
              <w:bottom w:val="nil"/>
              <w:right w:val="nil"/>
            </w:tcBorders>
            <w:shd w:val="clear" w:color="auto" w:fill="auto"/>
            <w:noWrap/>
            <w:vAlign w:val="bottom"/>
            <w:hideMark/>
          </w:tcPr>
          <w:p w14:paraId="5B528CCE"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4.5</w:t>
            </w:r>
          </w:p>
        </w:tc>
        <w:tc>
          <w:tcPr>
            <w:tcW w:w="1740" w:type="dxa"/>
            <w:tcBorders>
              <w:top w:val="nil"/>
              <w:left w:val="nil"/>
              <w:bottom w:val="nil"/>
              <w:right w:val="nil"/>
            </w:tcBorders>
            <w:shd w:val="clear" w:color="auto" w:fill="auto"/>
            <w:noWrap/>
            <w:vAlign w:val="bottom"/>
            <w:hideMark/>
          </w:tcPr>
          <w:p w14:paraId="08F0A8F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8.6</w:t>
            </w:r>
          </w:p>
        </w:tc>
      </w:tr>
      <w:tr w:rsidR="000F0225" w:rsidRPr="000F0225" w14:paraId="6CCD8EA1" w14:textId="77777777" w:rsidTr="000F0225">
        <w:trPr>
          <w:trHeight w:val="300"/>
        </w:trPr>
        <w:tc>
          <w:tcPr>
            <w:tcW w:w="4860" w:type="dxa"/>
            <w:tcBorders>
              <w:top w:val="nil"/>
              <w:left w:val="nil"/>
              <w:bottom w:val="nil"/>
              <w:right w:val="nil"/>
            </w:tcBorders>
            <w:shd w:val="clear" w:color="auto" w:fill="auto"/>
            <w:noWrap/>
            <w:vAlign w:val="bottom"/>
            <w:hideMark/>
          </w:tcPr>
          <w:p w14:paraId="031A1A14" w14:textId="6649A215" w:rsidR="000F0225" w:rsidRPr="000F0225" w:rsidRDefault="00563197" w:rsidP="000F0225">
            <w:pPr>
              <w:spacing w:after="0" w:line="240" w:lineRule="auto"/>
              <w:ind w:firstLineChars="100" w:firstLine="180"/>
              <w:jc w:val="left"/>
              <w:rPr>
                <w:rFonts w:asciiTheme="majorHAnsi" w:eastAsia="Times New Roman" w:hAnsiTheme="majorHAnsi" w:cstheme="majorHAnsi"/>
                <w:color w:val="000000"/>
                <w:sz w:val="18"/>
                <w:szCs w:val="18"/>
              </w:rPr>
            </w:pPr>
            <w:r w:rsidRPr="00563197">
              <w:rPr>
                <w:rFonts w:asciiTheme="majorHAnsi" w:eastAsia="Times New Roman" w:hAnsiTheme="majorHAnsi" w:cstheme="majorHAnsi"/>
                <w:color w:val="000000"/>
                <w:sz w:val="18"/>
                <w:szCs w:val="18"/>
              </w:rPr>
              <w:t>Basic widow's pensio</w:t>
            </w:r>
            <w:r>
              <w:rPr>
                <w:rFonts w:asciiTheme="majorHAnsi" w:eastAsia="Times New Roman" w:hAnsiTheme="majorHAnsi" w:cstheme="majorHAnsi"/>
                <w:color w:val="000000"/>
                <w:sz w:val="18"/>
                <w:szCs w:val="18"/>
              </w:rPr>
              <w:t>n</w:t>
            </w:r>
            <w:r w:rsidRPr="000F0225">
              <w:rPr>
                <w:rFonts w:asciiTheme="majorHAnsi" w:eastAsia="Times New Roman" w:hAnsiTheme="majorHAnsi" w:cstheme="majorHAnsi"/>
                <w:color w:val="000000"/>
                <w:sz w:val="18"/>
                <w:szCs w:val="18"/>
              </w:rPr>
              <w:t>/child allowance</w:t>
            </w:r>
          </w:p>
        </w:tc>
        <w:tc>
          <w:tcPr>
            <w:tcW w:w="1807" w:type="dxa"/>
            <w:tcBorders>
              <w:top w:val="nil"/>
              <w:left w:val="nil"/>
              <w:bottom w:val="nil"/>
              <w:right w:val="nil"/>
            </w:tcBorders>
            <w:shd w:val="clear" w:color="auto" w:fill="auto"/>
            <w:noWrap/>
            <w:vAlign w:val="bottom"/>
            <w:hideMark/>
          </w:tcPr>
          <w:p w14:paraId="1B6731EE" w14:textId="1ECE8EB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1,652</w:t>
            </w:r>
          </w:p>
        </w:tc>
        <w:tc>
          <w:tcPr>
            <w:tcW w:w="1497" w:type="dxa"/>
            <w:tcBorders>
              <w:top w:val="nil"/>
              <w:left w:val="nil"/>
              <w:bottom w:val="nil"/>
              <w:right w:val="nil"/>
            </w:tcBorders>
            <w:shd w:val="clear" w:color="auto" w:fill="auto"/>
            <w:noWrap/>
            <w:vAlign w:val="bottom"/>
            <w:hideMark/>
          </w:tcPr>
          <w:p w14:paraId="60F347EF" w14:textId="2F2EAFEB"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1,536</w:t>
            </w:r>
          </w:p>
        </w:tc>
        <w:tc>
          <w:tcPr>
            <w:tcW w:w="1920" w:type="dxa"/>
            <w:tcBorders>
              <w:top w:val="nil"/>
              <w:left w:val="nil"/>
              <w:bottom w:val="nil"/>
              <w:right w:val="nil"/>
            </w:tcBorders>
            <w:shd w:val="clear" w:color="auto" w:fill="auto"/>
            <w:noWrap/>
            <w:vAlign w:val="bottom"/>
            <w:hideMark/>
          </w:tcPr>
          <w:p w14:paraId="701B8FD0"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93.0</w:t>
            </w:r>
          </w:p>
        </w:tc>
        <w:tc>
          <w:tcPr>
            <w:tcW w:w="1740" w:type="dxa"/>
            <w:tcBorders>
              <w:top w:val="nil"/>
              <w:left w:val="nil"/>
              <w:bottom w:val="nil"/>
              <w:right w:val="nil"/>
            </w:tcBorders>
            <w:shd w:val="clear" w:color="auto" w:fill="auto"/>
            <w:noWrap/>
            <w:vAlign w:val="bottom"/>
            <w:hideMark/>
          </w:tcPr>
          <w:p w14:paraId="6C68FF4B"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0.5</w:t>
            </w:r>
          </w:p>
        </w:tc>
        <w:tc>
          <w:tcPr>
            <w:tcW w:w="1740" w:type="dxa"/>
            <w:tcBorders>
              <w:top w:val="nil"/>
              <w:left w:val="nil"/>
              <w:bottom w:val="nil"/>
              <w:right w:val="nil"/>
            </w:tcBorders>
            <w:shd w:val="clear" w:color="auto" w:fill="auto"/>
            <w:noWrap/>
            <w:vAlign w:val="bottom"/>
            <w:hideMark/>
          </w:tcPr>
          <w:p w14:paraId="1316CD45"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0.8</w:t>
            </w:r>
          </w:p>
        </w:tc>
      </w:tr>
      <w:tr w:rsidR="000F0225" w:rsidRPr="000F0225" w14:paraId="30C05B3E" w14:textId="77777777" w:rsidTr="000F0225">
        <w:trPr>
          <w:trHeight w:val="300"/>
        </w:trPr>
        <w:tc>
          <w:tcPr>
            <w:tcW w:w="4860" w:type="dxa"/>
            <w:tcBorders>
              <w:top w:val="nil"/>
              <w:left w:val="nil"/>
              <w:bottom w:val="nil"/>
              <w:right w:val="nil"/>
            </w:tcBorders>
            <w:shd w:val="clear" w:color="auto" w:fill="auto"/>
            <w:noWrap/>
            <w:vAlign w:val="bottom"/>
            <w:hideMark/>
          </w:tcPr>
          <w:p w14:paraId="24E5AA08" w14:textId="31DBDF50" w:rsidR="000F0225" w:rsidRPr="000F0225" w:rsidRDefault="00FB0F15" w:rsidP="000F0225">
            <w:pPr>
              <w:spacing w:after="0" w:line="240" w:lineRule="auto"/>
              <w:ind w:firstLineChars="100" w:firstLine="180"/>
              <w:jc w:val="left"/>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B</w:t>
            </w:r>
            <w:r w:rsidRPr="00FB0F15">
              <w:rPr>
                <w:rFonts w:asciiTheme="majorHAnsi" w:eastAsia="Times New Roman" w:hAnsiTheme="majorHAnsi" w:cstheme="majorHAnsi"/>
                <w:color w:val="000000"/>
                <w:sz w:val="18"/>
                <w:szCs w:val="18"/>
              </w:rPr>
              <w:t>asic invalid’s pension</w:t>
            </w:r>
            <w:r w:rsidR="000F0225" w:rsidRPr="000F0225">
              <w:rPr>
                <w:rFonts w:asciiTheme="majorHAnsi" w:eastAsia="Times New Roman" w:hAnsiTheme="majorHAnsi" w:cstheme="majorHAnsi"/>
                <w:color w:val="000000"/>
                <w:sz w:val="18"/>
                <w:szCs w:val="18"/>
              </w:rPr>
              <w:t>/</w:t>
            </w:r>
            <w:r w:rsidR="00563197" w:rsidRPr="000F0225">
              <w:rPr>
                <w:rFonts w:asciiTheme="majorHAnsi" w:eastAsia="Times New Roman" w:hAnsiTheme="majorHAnsi" w:cstheme="majorHAnsi"/>
                <w:color w:val="000000"/>
                <w:sz w:val="18"/>
                <w:szCs w:val="18"/>
              </w:rPr>
              <w:t>care</w:t>
            </w:r>
            <w:r w:rsidR="00563197">
              <w:rPr>
                <w:rFonts w:asciiTheme="majorHAnsi" w:eastAsia="Times New Roman" w:hAnsiTheme="majorHAnsi" w:cstheme="majorHAnsi"/>
                <w:color w:val="000000"/>
                <w:sz w:val="18"/>
                <w:szCs w:val="18"/>
              </w:rPr>
              <w:t>give</w:t>
            </w:r>
            <w:r w:rsidR="00563197" w:rsidRPr="000F0225">
              <w:rPr>
                <w:rFonts w:asciiTheme="majorHAnsi" w:eastAsia="Times New Roman" w:hAnsiTheme="majorHAnsi" w:cstheme="majorHAnsi"/>
                <w:color w:val="000000"/>
                <w:sz w:val="18"/>
                <w:szCs w:val="18"/>
              </w:rPr>
              <w:t>r allowance</w:t>
            </w:r>
          </w:p>
        </w:tc>
        <w:tc>
          <w:tcPr>
            <w:tcW w:w="1807" w:type="dxa"/>
            <w:tcBorders>
              <w:top w:val="nil"/>
              <w:left w:val="nil"/>
              <w:bottom w:val="nil"/>
              <w:right w:val="nil"/>
            </w:tcBorders>
            <w:shd w:val="clear" w:color="auto" w:fill="auto"/>
            <w:noWrap/>
            <w:vAlign w:val="bottom"/>
            <w:hideMark/>
          </w:tcPr>
          <w:p w14:paraId="19B8ABFB" w14:textId="2D62318A"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2,177</w:t>
            </w:r>
          </w:p>
        </w:tc>
        <w:tc>
          <w:tcPr>
            <w:tcW w:w="1497" w:type="dxa"/>
            <w:tcBorders>
              <w:top w:val="nil"/>
              <w:left w:val="nil"/>
              <w:bottom w:val="nil"/>
              <w:right w:val="nil"/>
            </w:tcBorders>
            <w:shd w:val="clear" w:color="auto" w:fill="auto"/>
            <w:noWrap/>
            <w:vAlign w:val="bottom"/>
            <w:hideMark/>
          </w:tcPr>
          <w:p w14:paraId="5CAA8310" w14:textId="1C290EB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1,968</w:t>
            </w:r>
          </w:p>
        </w:tc>
        <w:tc>
          <w:tcPr>
            <w:tcW w:w="1920" w:type="dxa"/>
            <w:tcBorders>
              <w:top w:val="nil"/>
              <w:left w:val="nil"/>
              <w:bottom w:val="nil"/>
              <w:right w:val="nil"/>
            </w:tcBorders>
            <w:shd w:val="clear" w:color="auto" w:fill="auto"/>
            <w:noWrap/>
            <w:vAlign w:val="bottom"/>
            <w:hideMark/>
          </w:tcPr>
          <w:p w14:paraId="1472F69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90.4</w:t>
            </w:r>
          </w:p>
        </w:tc>
        <w:tc>
          <w:tcPr>
            <w:tcW w:w="1740" w:type="dxa"/>
            <w:tcBorders>
              <w:top w:val="nil"/>
              <w:left w:val="nil"/>
              <w:bottom w:val="nil"/>
              <w:right w:val="nil"/>
            </w:tcBorders>
            <w:shd w:val="clear" w:color="auto" w:fill="auto"/>
            <w:noWrap/>
            <w:vAlign w:val="bottom"/>
            <w:hideMark/>
          </w:tcPr>
          <w:p w14:paraId="196A1F40"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0.7</w:t>
            </w:r>
          </w:p>
        </w:tc>
        <w:tc>
          <w:tcPr>
            <w:tcW w:w="1740" w:type="dxa"/>
            <w:tcBorders>
              <w:top w:val="nil"/>
              <w:left w:val="nil"/>
              <w:bottom w:val="nil"/>
              <w:right w:val="nil"/>
            </w:tcBorders>
            <w:shd w:val="clear" w:color="auto" w:fill="auto"/>
            <w:noWrap/>
            <w:vAlign w:val="bottom"/>
            <w:hideMark/>
          </w:tcPr>
          <w:p w14:paraId="173D966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1.0</w:t>
            </w:r>
          </w:p>
        </w:tc>
      </w:tr>
      <w:tr w:rsidR="000F0225" w:rsidRPr="000F0225" w14:paraId="511AD6D2" w14:textId="77777777" w:rsidTr="000F0225">
        <w:trPr>
          <w:trHeight w:val="300"/>
        </w:trPr>
        <w:tc>
          <w:tcPr>
            <w:tcW w:w="4860" w:type="dxa"/>
            <w:tcBorders>
              <w:top w:val="nil"/>
              <w:left w:val="nil"/>
              <w:bottom w:val="nil"/>
              <w:right w:val="nil"/>
            </w:tcBorders>
            <w:shd w:val="clear" w:color="auto" w:fill="auto"/>
            <w:noWrap/>
            <w:vAlign w:val="bottom"/>
            <w:hideMark/>
          </w:tcPr>
          <w:p w14:paraId="5E79213A"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Social Aid</w:t>
            </w:r>
          </w:p>
        </w:tc>
        <w:tc>
          <w:tcPr>
            <w:tcW w:w="1807" w:type="dxa"/>
            <w:tcBorders>
              <w:top w:val="nil"/>
              <w:left w:val="nil"/>
              <w:bottom w:val="nil"/>
              <w:right w:val="nil"/>
            </w:tcBorders>
            <w:shd w:val="clear" w:color="auto" w:fill="auto"/>
            <w:noWrap/>
            <w:vAlign w:val="bottom"/>
            <w:hideMark/>
          </w:tcPr>
          <w:p w14:paraId="67FCA7C0" w14:textId="71910CCB"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909</w:t>
            </w:r>
          </w:p>
        </w:tc>
        <w:tc>
          <w:tcPr>
            <w:tcW w:w="1497" w:type="dxa"/>
            <w:tcBorders>
              <w:top w:val="nil"/>
              <w:left w:val="nil"/>
              <w:bottom w:val="nil"/>
              <w:right w:val="nil"/>
            </w:tcBorders>
            <w:shd w:val="clear" w:color="auto" w:fill="auto"/>
            <w:noWrap/>
            <w:vAlign w:val="bottom"/>
            <w:hideMark/>
          </w:tcPr>
          <w:p w14:paraId="62BC705A" w14:textId="1D7E2AB8"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335</w:t>
            </w:r>
          </w:p>
        </w:tc>
        <w:tc>
          <w:tcPr>
            <w:tcW w:w="1920" w:type="dxa"/>
            <w:tcBorders>
              <w:top w:val="nil"/>
              <w:left w:val="nil"/>
              <w:bottom w:val="nil"/>
              <w:right w:val="nil"/>
            </w:tcBorders>
            <w:shd w:val="clear" w:color="auto" w:fill="auto"/>
            <w:noWrap/>
            <w:vAlign w:val="bottom"/>
            <w:hideMark/>
          </w:tcPr>
          <w:p w14:paraId="722F1358"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36.8</w:t>
            </w:r>
          </w:p>
        </w:tc>
        <w:tc>
          <w:tcPr>
            <w:tcW w:w="1740" w:type="dxa"/>
            <w:tcBorders>
              <w:top w:val="nil"/>
              <w:left w:val="nil"/>
              <w:bottom w:val="nil"/>
              <w:right w:val="nil"/>
            </w:tcBorders>
            <w:shd w:val="clear" w:color="auto" w:fill="auto"/>
            <w:noWrap/>
            <w:vAlign w:val="bottom"/>
            <w:hideMark/>
          </w:tcPr>
          <w:p w14:paraId="13061154"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0.3</w:t>
            </w:r>
          </w:p>
        </w:tc>
        <w:tc>
          <w:tcPr>
            <w:tcW w:w="1740" w:type="dxa"/>
            <w:tcBorders>
              <w:top w:val="nil"/>
              <w:left w:val="nil"/>
              <w:bottom w:val="nil"/>
              <w:right w:val="nil"/>
            </w:tcBorders>
            <w:shd w:val="clear" w:color="auto" w:fill="auto"/>
            <w:noWrap/>
            <w:vAlign w:val="bottom"/>
            <w:hideMark/>
          </w:tcPr>
          <w:p w14:paraId="6AD38ED1"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0.2</w:t>
            </w:r>
          </w:p>
        </w:tc>
      </w:tr>
      <w:tr w:rsidR="000F0225" w:rsidRPr="000F0225" w14:paraId="6D225DE0" w14:textId="77777777" w:rsidTr="000F0225">
        <w:trPr>
          <w:trHeight w:val="300"/>
        </w:trPr>
        <w:tc>
          <w:tcPr>
            <w:tcW w:w="4860" w:type="dxa"/>
            <w:tcBorders>
              <w:top w:val="nil"/>
              <w:left w:val="nil"/>
              <w:bottom w:val="nil"/>
              <w:right w:val="nil"/>
            </w:tcBorders>
            <w:shd w:val="clear" w:color="auto" w:fill="auto"/>
            <w:noWrap/>
            <w:vAlign w:val="bottom"/>
            <w:hideMark/>
          </w:tcPr>
          <w:p w14:paraId="0DB0098A"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Other transfers</w:t>
            </w:r>
          </w:p>
        </w:tc>
        <w:tc>
          <w:tcPr>
            <w:tcW w:w="1807" w:type="dxa"/>
            <w:tcBorders>
              <w:top w:val="nil"/>
              <w:left w:val="nil"/>
              <w:bottom w:val="nil"/>
              <w:right w:val="nil"/>
            </w:tcBorders>
            <w:shd w:val="clear" w:color="auto" w:fill="auto"/>
            <w:noWrap/>
            <w:vAlign w:val="bottom"/>
            <w:hideMark/>
          </w:tcPr>
          <w:p w14:paraId="356A9F0B" w14:textId="1AE3ED47" w:rsidR="000F0225" w:rsidRPr="000F0225" w:rsidRDefault="000F0225" w:rsidP="002A29B1">
            <w:pPr>
              <w:spacing w:after="0" w:line="240" w:lineRule="auto"/>
              <w:jc w:val="center"/>
              <w:rPr>
                <w:rFonts w:asciiTheme="majorHAnsi" w:eastAsia="Times New Roman" w:hAnsiTheme="majorHAnsi" w:cstheme="majorHAnsi"/>
                <w:sz w:val="18"/>
                <w:szCs w:val="18"/>
              </w:rPr>
            </w:pPr>
            <w:r w:rsidRPr="000F0225">
              <w:rPr>
                <w:rFonts w:asciiTheme="majorHAnsi" w:eastAsia="Times New Roman" w:hAnsiTheme="majorHAnsi" w:cstheme="majorHAnsi"/>
                <w:sz w:val="18"/>
                <w:szCs w:val="18"/>
              </w:rPr>
              <w:t>1,570</w:t>
            </w:r>
          </w:p>
        </w:tc>
        <w:tc>
          <w:tcPr>
            <w:tcW w:w="1497" w:type="dxa"/>
            <w:tcBorders>
              <w:top w:val="nil"/>
              <w:left w:val="nil"/>
              <w:bottom w:val="nil"/>
              <w:right w:val="nil"/>
            </w:tcBorders>
            <w:shd w:val="clear" w:color="auto" w:fill="auto"/>
            <w:noWrap/>
            <w:vAlign w:val="bottom"/>
            <w:hideMark/>
          </w:tcPr>
          <w:p w14:paraId="56642D68" w14:textId="1F4A3A2A"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774</w:t>
            </w:r>
          </w:p>
        </w:tc>
        <w:tc>
          <w:tcPr>
            <w:tcW w:w="1920" w:type="dxa"/>
            <w:tcBorders>
              <w:top w:val="nil"/>
              <w:left w:val="nil"/>
              <w:bottom w:val="nil"/>
              <w:right w:val="nil"/>
            </w:tcBorders>
            <w:shd w:val="clear" w:color="auto" w:fill="auto"/>
            <w:noWrap/>
            <w:vAlign w:val="bottom"/>
            <w:hideMark/>
          </w:tcPr>
          <w:p w14:paraId="5C2EC266"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49.3</w:t>
            </w:r>
          </w:p>
        </w:tc>
        <w:tc>
          <w:tcPr>
            <w:tcW w:w="1740" w:type="dxa"/>
            <w:tcBorders>
              <w:top w:val="nil"/>
              <w:left w:val="nil"/>
              <w:bottom w:val="nil"/>
              <w:right w:val="nil"/>
            </w:tcBorders>
            <w:shd w:val="clear" w:color="auto" w:fill="auto"/>
            <w:noWrap/>
            <w:vAlign w:val="bottom"/>
            <w:hideMark/>
          </w:tcPr>
          <w:p w14:paraId="08E4B82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0.5</w:t>
            </w:r>
          </w:p>
        </w:tc>
        <w:tc>
          <w:tcPr>
            <w:tcW w:w="1740" w:type="dxa"/>
            <w:tcBorders>
              <w:top w:val="nil"/>
              <w:left w:val="nil"/>
              <w:bottom w:val="nil"/>
              <w:right w:val="nil"/>
            </w:tcBorders>
            <w:shd w:val="clear" w:color="auto" w:fill="auto"/>
            <w:noWrap/>
            <w:vAlign w:val="bottom"/>
            <w:hideMark/>
          </w:tcPr>
          <w:p w14:paraId="497A1FC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0.4</w:t>
            </w:r>
          </w:p>
        </w:tc>
      </w:tr>
      <w:tr w:rsidR="000F0225" w:rsidRPr="000F0225" w14:paraId="2604A59E" w14:textId="77777777" w:rsidTr="009139BD">
        <w:trPr>
          <w:trHeight w:val="300"/>
        </w:trPr>
        <w:tc>
          <w:tcPr>
            <w:tcW w:w="4860" w:type="dxa"/>
            <w:tcBorders>
              <w:top w:val="nil"/>
              <w:left w:val="nil"/>
              <w:bottom w:val="nil"/>
              <w:right w:val="nil"/>
            </w:tcBorders>
            <w:shd w:val="clear" w:color="auto" w:fill="F4B083" w:themeFill="accent2" w:themeFillTint="99"/>
            <w:noWrap/>
            <w:vAlign w:val="bottom"/>
            <w:hideMark/>
          </w:tcPr>
          <w:p w14:paraId="5A783DE1"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Social Protection Spending</w:t>
            </w:r>
          </w:p>
        </w:tc>
        <w:tc>
          <w:tcPr>
            <w:tcW w:w="1807" w:type="dxa"/>
            <w:tcBorders>
              <w:top w:val="nil"/>
              <w:left w:val="nil"/>
              <w:bottom w:val="nil"/>
              <w:right w:val="nil"/>
            </w:tcBorders>
            <w:shd w:val="clear" w:color="auto" w:fill="F4B083" w:themeFill="accent2" w:themeFillTint="99"/>
            <w:noWrap/>
            <w:vAlign w:val="bottom"/>
            <w:hideMark/>
          </w:tcPr>
          <w:p w14:paraId="51EAC2F8" w14:textId="67D6E2B7"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21,354</w:t>
            </w:r>
          </w:p>
        </w:tc>
        <w:tc>
          <w:tcPr>
            <w:tcW w:w="1497" w:type="dxa"/>
            <w:tcBorders>
              <w:top w:val="nil"/>
              <w:left w:val="nil"/>
              <w:bottom w:val="nil"/>
              <w:right w:val="nil"/>
            </w:tcBorders>
            <w:shd w:val="clear" w:color="auto" w:fill="F4B083" w:themeFill="accent2" w:themeFillTint="99"/>
            <w:noWrap/>
            <w:vAlign w:val="bottom"/>
            <w:hideMark/>
          </w:tcPr>
          <w:p w14:paraId="364682F4" w14:textId="416490C9"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21,173</w:t>
            </w:r>
          </w:p>
        </w:tc>
        <w:tc>
          <w:tcPr>
            <w:tcW w:w="1920" w:type="dxa"/>
            <w:tcBorders>
              <w:top w:val="nil"/>
              <w:left w:val="nil"/>
              <w:bottom w:val="nil"/>
              <w:right w:val="nil"/>
            </w:tcBorders>
            <w:shd w:val="clear" w:color="auto" w:fill="F4B083" w:themeFill="accent2" w:themeFillTint="99"/>
            <w:noWrap/>
            <w:vAlign w:val="bottom"/>
            <w:hideMark/>
          </w:tcPr>
          <w:p w14:paraId="4A1AA2D5"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99.2</w:t>
            </w:r>
          </w:p>
        </w:tc>
        <w:tc>
          <w:tcPr>
            <w:tcW w:w="1740" w:type="dxa"/>
            <w:tcBorders>
              <w:top w:val="nil"/>
              <w:left w:val="nil"/>
              <w:bottom w:val="nil"/>
              <w:right w:val="nil"/>
            </w:tcBorders>
            <w:shd w:val="clear" w:color="auto" w:fill="F4B083" w:themeFill="accent2" w:themeFillTint="99"/>
            <w:noWrap/>
            <w:vAlign w:val="bottom"/>
            <w:hideMark/>
          </w:tcPr>
          <w:p w14:paraId="7AE5973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6.4</w:t>
            </w:r>
          </w:p>
        </w:tc>
        <w:tc>
          <w:tcPr>
            <w:tcW w:w="1740" w:type="dxa"/>
            <w:tcBorders>
              <w:top w:val="nil"/>
              <w:left w:val="nil"/>
              <w:bottom w:val="nil"/>
              <w:right w:val="nil"/>
            </w:tcBorders>
            <w:shd w:val="clear" w:color="auto" w:fill="F4B083" w:themeFill="accent2" w:themeFillTint="99"/>
            <w:noWrap/>
            <w:vAlign w:val="bottom"/>
            <w:hideMark/>
          </w:tcPr>
          <w:p w14:paraId="54E666D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11.0</w:t>
            </w:r>
          </w:p>
        </w:tc>
      </w:tr>
      <w:tr w:rsidR="000F0225" w:rsidRPr="000F0225" w14:paraId="7CA5F2F6" w14:textId="77777777" w:rsidTr="000F0225">
        <w:trPr>
          <w:trHeight w:val="300"/>
        </w:trPr>
        <w:tc>
          <w:tcPr>
            <w:tcW w:w="4860" w:type="dxa"/>
            <w:tcBorders>
              <w:top w:val="nil"/>
              <w:left w:val="nil"/>
              <w:bottom w:val="nil"/>
              <w:right w:val="nil"/>
            </w:tcBorders>
            <w:shd w:val="clear" w:color="auto" w:fill="auto"/>
            <w:noWrap/>
            <w:vAlign w:val="bottom"/>
            <w:hideMark/>
          </w:tcPr>
          <w:p w14:paraId="1B5271DF"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c>
          <w:tcPr>
            <w:tcW w:w="1807" w:type="dxa"/>
            <w:tcBorders>
              <w:top w:val="nil"/>
              <w:left w:val="nil"/>
              <w:bottom w:val="nil"/>
              <w:right w:val="nil"/>
            </w:tcBorders>
            <w:shd w:val="clear" w:color="auto" w:fill="auto"/>
            <w:noWrap/>
            <w:vAlign w:val="bottom"/>
            <w:hideMark/>
          </w:tcPr>
          <w:p w14:paraId="44E738D3"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497" w:type="dxa"/>
            <w:tcBorders>
              <w:top w:val="nil"/>
              <w:left w:val="nil"/>
              <w:bottom w:val="nil"/>
              <w:right w:val="nil"/>
            </w:tcBorders>
            <w:shd w:val="clear" w:color="auto" w:fill="auto"/>
            <w:noWrap/>
            <w:vAlign w:val="bottom"/>
            <w:hideMark/>
          </w:tcPr>
          <w:p w14:paraId="757BD50F"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920" w:type="dxa"/>
            <w:tcBorders>
              <w:top w:val="nil"/>
              <w:left w:val="nil"/>
              <w:bottom w:val="nil"/>
              <w:right w:val="nil"/>
            </w:tcBorders>
            <w:shd w:val="clear" w:color="auto" w:fill="auto"/>
            <w:noWrap/>
            <w:vAlign w:val="bottom"/>
            <w:hideMark/>
          </w:tcPr>
          <w:p w14:paraId="2AA99B8F"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47C18135"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0.0</w:t>
            </w:r>
          </w:p>
        </w:tc>
        <w:tc>
          <w:tcPr>
            <w:tcW w:w="1740" w:type="dxa"/>
            <w:tcBorders>
              <w:top w:val="nil"/>
              <w:left w:val="nil"/>
              <w:bottom w:val="nil"/>
              <w:right w:val="nil"/>
            </w:tcBorders>
            <w:shd w:val="clear" w:color="auto" w:fill="auto"/>
            <w:noWrap/>
            <w:vAlign w:val="bottom"/>
            <w:hideMark/>
          </w:tcPr>
          <w:p w14:paraId="6586BA4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r>
      <w:tr w:rsidR="000F0225" w:rsidRPr="000F0225" w14:paraId="5E14DC64" w14:textId="77777777" w:rsidTr="000F0225">
        <w:trPr>
          <w:trHeight w:val="300"/>
        </w:trPr>
        <w:tc>
          <w:tcPr>
            <w:tcW w:w="4860" w:type="dxa"/>
            <w:tcBorders>
              <w:top w:val="nil"/>
              <w:left w:val="nil"/>
              <w:bottom w:val="nil"/>
              <w:right w:val="nil"/>
            </w:tcBorders>
            <w:shd w:val="clear" w:color="000000" w:fill="F4B084"/>
            <w:noWrap/>
            <w:vAlign w:val="bottom"/>
            <w:hideMark/>
          </w:tcPr>
          <w:p w14:paraId="0566C327"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Indirect subsidies</w:t>
            </w:r>
          </w:p>
        </w:tc>
        <w:tc>
          <w:tcPr>
            <w:tcW w:w="1807" w:type="dxa"/>
            <w:tcBorders>
              <w:top w:val="nil"/>
              <w:left w:val="nil"/>
              <w:bottom w:val="nil"/>
              <w:right w:val="nil"/>
            </w:tcBorders>
            <w:shd w:val="clear" w:color="000000" w:fill="F4B084"/>
            <w:noWrap/>
            <w:vAlign w:val="bottom"/>
            <w:hideMark/>
          </w:tcPr>
          <w:p w14:paraId="52596557" w14:textId="4A13372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497" w:type="dxa"/>
            <w:tcBorders>
              <w:top w:val="nil"/>
              <w:left w:val="nil"/>
              <w:bottom w:val="nil"/>
              <w:right w:val="nil"/>
            </w:tcBorders>
            <w:shd w:val="clear" w:color="000000" w:fill="F4B084"/>
            <w:noWrap/>
            <w:vAlign w:val="bottom"/>
            <w:hideMark/>
          </w:tcPr>
          <w:p w14:paraId="4A91A0F5" w14:textId="5E38901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920" w:type="dxa"/>
            <w:tcBorders>
              <w:top w:val="nil"/>
              <w:left w:val="nil"/>
              <w:bottom w:val="nil"/>
              <w:right w:val="nil"/>
            </w:tcBorders>
            <w:shd w:val="clear" w:color="000000" w:fill="F4B084"/>
            <w:noWrap/>
            <w:vAlign w:val="bottom"/>
            <w:hideMark/>
          </w:tcPr>
          <w:p w14:paraId="4FD8B57D"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47B7581F"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5FBC83B0"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r>
      <w:tr w:rsidR="000F0225" w:rsidRPr="000F0225" w14:paraId="366279C2" w14:textId="77777777" w:rsidTr="000F0225">
        <w:trPr>
          <w:trHeight w:val="300"/>
        </w:trPr>
        <w:tc>
          <w:tcPr>
            <w:tcW w:w="4860" w:type="dxa"/>
            <w:tcBorders>
              <w:top w:val="nil"/>
              <w:left w:val="nil"/>
              <w:bottom w:val="nil"/>
              <w:right w:val="nil"/>
            </w:tcBorders>
            <w:shd w:val="clear" w:color="auto" w:fill="auto"/>
            <w:noWrap/>
            <w:vAlign w:val="bottom"/>
            <w:hideMark/>
          </w:tcPr>
          <w:p w14:paraId="6157BFEB"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Subsidy - Rice</w:t>
            </w:r>
          </w:p>
        </w:tc>
        <w:tc>
          <w:tcPr>
            <w:tcW w:w="1807" w:type="dxa"/>
            <w:tcBorders>
              <w:top w:val="nil"/>
              <w:left w:val="nil"/>
              <w:bottom w:val="nil"/>
              <w:right w:val="nil"/>
            </w:tcBorders>
            <w:shd w:val="clear" w:color="auto" w:fill="auto"/>
            <w:noWrap/>
            <w:vAlign w:val="bottom"/>
            <w:hideMark/>
          </w:tcPr>
          <w:p w14:paraId="7E6A812B" w14:textId="2C73980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110</w:t>
            </w:r>
          </w:p>
        </w:tc>
        <w:tc>
          <w:tcPr>
            <w:tcW w:w="1497" w:type="dxa"/>
            <w:tcBorders>
              <w:top w:val="nil"/>
              <w:left w:val="nil"/>
              <w:bottom w:val="nil"/>
              <w:right w:val="nil"/>
            </w:tcBorders>
            <w:shd w:val="clear" w:color="auto" w:fill="auto"/>
            <w:noWrap/>
            <w:vAlign w:val="bottom"/>
            <w:hideMark/>
          </w:tcPr>
          <w:p w14:paraId="56EA56EA" w14:textId="3DFA4AC2"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51</w:t>
            </w:r>
          </w:p>
        </w:tc>
        <w:tc>
          <w:tcPr>
            <w:tcW w:w="1920" w:type="dxa"/>
            <w:tcBorders>
              <w:top w:val="nil"/>
              <w:left w:val="nil"/>
              <w:bottom w:val="nil"/>
              <w:right w:val="nil"/>
            </w:tcBorders>
            <w:shd w:val="clear" w:color="auto" w:fill="auto"/>
            <w:noWrap/>
            <w:vAlign w:val="bottom"/>
            <w:hideMark/>
          </w:tcPr>
          <w:p w14:paraId="7715386E"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46.5</w:t>
            </w:r>
          </w:p>
        </w:tc>
        <w:tc>
          <w:tcPr>
            <w:tcW w:w="1740" w:type="dxa"/>
            <w:tcBorders>
              <w:top w:val="nil"/>
              <w:left w:val="nil"/>
              <w:bottom w:val="nil"/>
              <w:right w:val="nil"/>
            </w:tcBorders>
            <w:shd w:val="clear" w:color="auto" w:fill="auto"/>
            <w:noWrap/>
            <w:vAlign w:val="bottom"/>
            <w:hideMark/>
          </w:tcPr>
          <w:p w14:paraId="0422C39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0.0</w:t>
            </w:r>
          </w:p>
        </w:tc>
        <w:tc>
          <w:tcPr>
            <w:tcW w:w="1740" w:type="dxa"/>
            <w:tcBorders>
              <w:top w:val="nil"/>
              <w:left w:val="nil"/>
              <w:bottom w:val="nil"/>
              <w:right w:val="nil"/>
            </w:tcBorders>
            <w:shd w:val="clear" w:color="auto" w:fill="auto"/>
            <w:noWrap/>
            <w:vAlign w:val="bottom"/>
            <w:hideMark/>
          </w:tcPr>
          <w:p w14:paraId="44B6DDA9"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0.0</w:t>
            </w:r>
          </w:p>
        </w:tc>
      </w:tr>
      <w:tr w:rsidR="000F0225" w:rsidRPr="000F0225" w14:paraId="346123B7" w14:textId="77777777" w:rsidTr="000F0225">
        <w:trPr>
          <w:trHeight w:val="300"/>
        </w:trPr>
        <w:tc>
          <w:tcPr>
            <w:tcW w:w="4860" w:type="dxa"/>
            <w:tcBorders>
              <w:top w:val="nil"/>
              <w:left w:val="nil"/>
              <w:bottom w:val="nil"/>
              <w:right w:val="nil"/>
            </w:tcBorders>
            <w:shd w:val="clear" w:color="auto" w:fill="auto"/>
            <w:noWrap/>
            <w:vAlign w:val="bottom"/>
            <w:hideMark/>
          </w:tcPr>
          <w:p w14:paraId="7AE5C763"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Subsidy - Flour</w:t>
            </w:r>
          </w:p>
        </w:tc>
        <w:tc>
          <w:tcPr>
            <w:tcW w:w="1807" w:type="dxa"/>
            <w:tcBorders>
              <w:top w:val="nil"/>
              <w:left w:val="nil"/>
              <w:bottom w:val="nil"/>
              <w:right w:val="nil"/>
            </w:tcBorders>
            <w:shd w:val="clear" w:color="auto" w:fill="auto"/>
            <w:noWrap/>
            <w:vAlign w:val="bottom"/>
            <w:hideMark/>
          </w:tcPr>
          <w:p w14:paraId="5C1F1ED8" w14:textId="588DA199"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337</w:t>
            </w:r>
          </w:p>
        </w:tc>
        <w:tc>
          <w:tcPr>
            <w:tcW w:w="1497" w:type="dxa"/>
            <w:tcBorders>
              <w:top w:val="nil"/>
              <w:left w:val="nil"/>
              <w:bottom w:val="nil"/>
              <w:right w:val="nil"/>
            </w:tcBorders>
            <w:shd w:val="clear" w:color="auto" w:fill="auto"/>
            <w:noWrap/>
            <w:vAlign w:val="bottom"/>
            <w:hideMark/>
          </w:tcPr>
          <w:p w14:paraId="30EF244E" w14:textId="009F07E8"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w:t>
            </w:r>
          </w:p>
        </w:tc>
        <w:tc>
          <w:tcPr>
            <w:tcW w:w="1920" w:type="dxa"/>
            <w:tcBorders>
              <w:top w:val="nil"/>
              <w:left w:val="nil"/>
              <w:bottom w:val="nil"/>
              <w:right w:val="nil"/>
            </w:tcBorders>
            <w:shd w:val="clear" w:color="auto" w:fill="auto"/>
            <w:noWrap/>
            <w:vAlign w:val="bottom"/>
            <w:hideMark/>
          </w:tcPr>
          <w:p w14:paraId="61508406"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4.7</w:t>
            </w:r>
          </w:p>
        </w:tc>
        <w:tc>
          <w:tcPr>
            <w:tcW w:w="1740" w:type="dxa"/>
            <w:tcBorders>
              <w:top w:val="nil"/>
              <w:left w:val="nil"/>
              <w:bottom w:val="nil"/>
              <w:right w:val="nil"/>
            </w:tcBorders>
            <w:shd w:val="clear" w:color="auto" w:fill="auto"/>
            <w:noWrap/>
            <w:vAlign w:val="bottom"/>
            <w:hideMark/>
          </w:tcPr>
          <w:p w14:paraId="68E5C327"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0.1</w:t>
            </w:r>
          </w:p>
        </w:tc>
        <w:tc>
          <w:tcPr>
            <w:tcW w:w="1740" w:type="dxa"/>
            <w:tcBorders>
              <w:top w:val="nil"/>
              <w:left w:val="nil"/>
              <w:bottom w:val="nil"/>
              <w:right w:val="nil"/>
            </w:tcBorders>
            <w:shd w:val="clear" w:color="auto" w:fill="auto"/>
            <w:noWrap/>
            <w:vAlign w:val="bottom"/>
            <w:hideMark/>
          </w:tcPr>
          <w:p w14:paraId="517C9B5D"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0.0</w:t>
            </w:r>
          </w:p>
        </w:tc>
      </w:tr>
      <w:tr w:rsidR="000F0225" w:rsidRPr="000F0225" w14:paraId="5FD6F50A" w14:textId="77777777" w:rsidTr="000F0225">
        <w:trPr>
          <w:trHeight w:val="300"/>
        </w:trPr>
        <w:tc>
          <w:tcPr>
            <w:tcW w:w="4860" w:type="dxa"/>
            <w:tcBorders>
              <w:top w:val="nil"/>
              <w:left w:val="nil"/>
              <w:bottom w:val="nil"/>
              <w:right w:val="nil"/>
            </w:tcBorders>
            <w:shd w:val="clear" w:color="auto" w:fill="auto"/>
            <w:noWrap/>
            <w:vAlign w:val="bottom"/>
            <w:hideMark/>
          </w:tcPr>
          <w:p w14:paraId="0DA3F0A9"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Subsidy - LPG</w:t>
            </w:r>
          </w:p>
        </w:tc>
        <w:tc>
          <w:tcPr>
            <w:tcW w:w="1807" w:type="dxa"/>
            <w:tcBorders>
              <w:top w:val="nil"/>
              <w:left w:val="nil"/>
              <w:bottom w:val="nil"/>
              <w:right w:val="nil"/>
            </w:tcBorders>
            <w:shd w:val="clear" w:color="auto" w:fill="auto"/>
            <w:noWrap/>
            <w:vAlign w:val="bottom"/>
            <w:hideMark/>
          </w:tcPr>
          <w:p w14:paraId="65543A51" w14:textId="22D4F847"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229</w:t>
            </w:r>
          </w:p>
        </w:tc>
        <w:tc>
          <w:tcPr>
            <w:tcW w:w="1497" w:type="dxa"/>
            <w:tcBorders>
              <w:top w:val="nil"/>
              <w:left w:val="nil"/>
              <w:bottom w:val="nil"/>
              <w:right w:val="nil"/>
            </w:tcBorders>
            <w:shd w:val="clear" w:color="auto" w:fill="auto"/>
            <w:noWrap/>
            <w:vAlign w:val="bottom"/>
            <w:hideMark/>
          </w:tcPr>
          <w:p w14:paraId="6B4E14BB" w14:textId="05B93C85"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68</w:t>
            </w:r>
          </w:p>
        </w:tc>
        <w:tc>
          <w:tcPr>
            <w:tcW w:w="1920" w:type="dxa"/>
            <w:tcBorders>
              <w:top w:val="nil"/>
              <w:left w:val="nil"/>
              <w:bottom w:val="nil"/>
              <w:right w:val="nil"/>
            </w:tcBorders>
            <w:shd w:val="clear" w:color="auto" w:fill="auto"/>
            <w:noWrap/>
            <w:vAlign w:val="bottom"/>
            <w:hideMark/>
          </w:tcPr>
          <w:p w14:paraId="2D7E4BF0"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29.9</w:t>
            </w:r>
          </w:p>
        </w:tc>
        <w:tc>
          <w:tcPr>
            <w:tcW w:w="1740" w:type="dxa"/>
            <w:tcBorders>
              <w:top w:val="nil"/>
              <w:left w:val="nil"/>
              <w:bottom w:val="nil"/>
              <w:right w:val="nil"/>
            </w:tcBorders>
            <w:shd w:val="clear" w:color="auto" w:fill="auto"/>
            <w:noWrap/>
            <w:vAlign w:val="bottom"/>
            <w:hideMark/>
          </w:tcPr>
          <w:p w14:paraId="6133EF5B"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0.1</w:t>
            </w:r>
          </w:p>
        </w:tc>
        <w:tc>
          <w:tcPr>
            <w:tcW w:w="1740" w:type="dxa"/>
            <w:tcBorders>
              <w:top w:val="nil"/>
              <w:left w:val="nil"/>
              <w:bottom w:val="nil"/>
              <w:right w:val="nil"/>
            </w:tcBorders>
            <w:shd w:val="clear" w:color="auto" w:fill="auto"/>
            <w:noWrap/>
            <w:vAlign w:val="bottom"/>
            <w:hideMark/>
          </w:tcPr>
          <w:p w14:paraId="2072669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0.0</w:t>
            </w:r>
          </w:p>
        </w:tc>
      </w:tr>
      <w:tr w:rsidR="000F0225" w:rsidRPr="000F0225" w14:paraId="2E897AB5" w14:textId="77777777" w:rsidTr="000F0225">
        <w:trPr>
          <w:trHeight w:val="300"/>
        </w:trPr>
        <w:tc>
          <w:tcPr>
            <w:tcW w:w="4860" w:type="dxa"/>
            <w:tcBorders>
              <w:top w:val="nil"/>
              <w:left w:val="nil"/>
              <w:bottom w:val="nil"/>
              <w:right w:val="nil"/>
            </w:tcBorders>
            <w:shd w:val="clear" w:color="auto" w:fill="auto"/>
            <w:noWrap/>
            <w:vAlign w:val="bottom"/>
            <w:hideMark/>
          </w:tcPr>
          <w:p w14:paraId="54836B54" w14:textId="0AF5FF12"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Subsidy - Bus</w:t>
            </w:r>
          </w:p>
        </w:tc>
        <w:tc>
          <w:tcPr>
            <w:tcW w:w="1807" w:type="dxa"/>
            <w:tcBorders>
              <w:top w:val="nil"/>
              <w:left w:val="nil"/>
              <w:bottom w:val="nil"/>
              <w:right w:val="nil"/>
            </w:tcBorders>
            <w:shd w:val="clear" w:color="auto" w:fill="auto"/>
            <w:noWrap/>
            <w:vAlign w:val="bottom"/>
            <w:hideMark/>
          </w:tcPr>
          <w:p w14:paraId="50B96888" w14:textId="4F8B6EBB"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1,260</w:t>
            </w:r>
          </w:p>
        </w:tc>
        <w:tc>
          <w:tcPr>
            <w:tcW w:w="1497" w:type="dxa"/>
            <w:tcBorders>
              <w:top w:val="nil"/>
              <w:left w:val="nil"/>
              <w:bottom w:val="nil"/>
              <w:right w:val="nil"/>
            </w:tcBorders>
            <w:shd w:val="clear" w:color="auto" w:fill="auto"/>
            <w:noWrap/>
            <w:vAlign w:val="bottom"/>
            <w:hideMark/>
          </w:tcPr>
          <w:p w14:paraId="73EBFC46" w14:textId="01DB1273"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728</w:t>
            </w:r>
          </w:p>
        </w:tc>
        <w:tc>
          <w:tcPr>
            <w:tcW w:w="1920" w:type="dxa"/>
            <w:tcBorders>
              <w:top w:val="nil"/>
              <w:left w:val="nil"/>
              <w:bottom w:val="nil"/>
              <w:right w:val="nil"/>
            </w:tcBorders>
            <w:shd w:val="clear" w:color="auto" w:fill="auto"/>
            <w:noWrap/>
            <w:vAlign w:val="bottom"/>
            <w:hideMark/>
          </w:tcPr>
          <w:p w14:paraId="3F3A0596"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57.8</w:t>
            </w:r>
          </w:p>
        </w:tc>
        <w:tc>
          <w:tcPr>
            <w:tcW w:w="1740" w:type="dxa"/>
            <w:tcBorders>
              <w:top w:val="nil"/>
              <w:left w:val="nil"/>
              <w:bottom w:val="nil"/>
              <w:right w:val="nil"/>
            </w:tcBorders>
            <w:shd w:val="clear" w:color="auto" w:fill="auto"/>
            <w:noWrap/>
            <w:vAlign w:val="bottom"/>
            <w:hideMark/>
          </w:tcPr>
          <w:p w14:paraId="2FF52495"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0.4</w:t>
            </w:r>
          </w:p>
        </w:tc>
        <w:tc>
          <w:tcPr>
            <w:tcW w:w="1740" w:type="dxa"/>
            <w:tcBorders>
              <w:top w:val="nil"/>
              <w:left w:val="nil"/>
              <w:bottom w:val="nil"/>
              <w:right w:val="nil"/>
            </w:tcBorders>
            <w:shd w:val="clear" w:color="auto" w:fill="auto"/>
            <w:noWrap/>
            <w:vAlign w:val="bottom"/>
            <w:hideMark/>
          </w:tcPr>
          <w:p w14:paraId="6A8940D7"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0.4</w:t>
            </w:r>
          </w:p>
        </w:tc>
      </w:tr>
      <w:tr w:rsidR="000F0225" w:rsidRPr="000F0225" w14:paraId="40009BE3" w14:textId="77777777" w:rsidTr="009139BD">
        <w:trPr>
          <w:trHeight w:val="300"/>
        </w:trPr>
        <w:tc>
          <w:tcPr>
            <w:tcW w:w="4860" w:type="dxa"/>
            <w:tcBorders>
              <w:top w:val="nil"/>
              <w:left w:val="nil"/>
              <w:bottom w:val="nil"/>
              <w:right w:val="nil"/>
            </w:tcBorders>
            <w:shd w:val="clear" w:color="auto" w:fill="F4B083" w:themeFill="accent2" w:themeFillTint="99"/>
            <w:noWrap/>
            <w:vAlign w:val="bottom"/>
            <w:hideMark/>
          </w:tcPr>
          <w:p w14:paraId="6B353C3B"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Indirect subsidies</w:t>
            </w:r>
          </w:p>
        </w:tc>
        <w:tc>
          <w:tcPr>
            <w:tcW w:w="1807" w:type="dxa"/>
            <w:tcBorders>
              <w:top w:val="nil"/>
              <w:left w:val="nil"/>
              <w:bottom w:val="nil"/>
              <w:right w:val="nil"/>
            </w:tcBorders>
            <w:shd w:val="clear" w:color="auto" w:fill="F4B083" w:themeFill="accent2" w:themeFillTint="99"/>
            <w:noWrap/>
            <w:vAlign w:val="bottom"/>
            <w:hideMark/>
          </w:tcPr>
          <w:p w14:paraId="74549266" w14:textId="051A8B89"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1,936</w:t>
            </w:r>
          </w:p>
        </w:tc>
        <w:tc>
          <w:tcPr>
            <w:tcW w:w="1497" w:type="dxa"/>
            <w:tcBorders>
              <w:top w:val="nil"/>
              <w:left w:val="nil"/>
              <w:bottom w:val="nil"/>
              <w:right w:val="nil"/>
            </w:tcBorders>
            <w:shd w:val="clear" w:color="auto" w:fill="F4B083" w:themeFill="accent2" w:themeFillTint="99"/>
            <w:noWrap/>
            <w:vAlign w:val="bottom"/>
            <w:hideMark/>
          </w:tcPr>
          <w:p w14:paraId="6B8153B4" w14:textId="32194ED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864</w:t>
            </w:r>
          </w:p>
        </w:tc>
        <w:tc>
          <w:tcPr>
            <w:tcW w:w="1920" w:type="dxa"/>
            <w:tcBorders>
              <w:top w:val="nil"/>
              <w:left w:val="nil"/>
              <w:bottom w:val="nil"/>
              <w:right w:val="nil"/>
            </w:tcBorders>
            <w:shd w:val="clear" w:color="auto" w:fill="F4B083" w:themeFill="accent2" w:themeFillTint="99"/>
            <w:noWrap/>
            <w:vAlign w:val="bottom"/>
            <w:hideMark/>
          </w:tcPr>
          <w:p w14:paraId="5B751BF2"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44.6</w:t>
            </w:r>
          </w:p>
        </w:tc>
        <w:tc>
          <w:tcPr>
            <w:tcW w:w="1740" w:type="dxa"/>
            <w:tcBorders>
              <w:top w:val="nil"/>
              <w:left w:val="nil"/>
              <w:bottom w:val="nil"/>
              <w:right w:val="nil"/>
            </w:tcBorders>
            <w:shd w:val="clear" w:color="auto" w:fill="F4B083" w:themeFill="accent2" w:themeFillTint="99"/>
            <w:noWrap/>
            <w:vAlign w:val="bottom"/>
            <w:hideMark/>
          </w:tcPr>
          <w:p w14:paraId="36BE00F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0.6</w:t>
            </w:r>
          </w:p>
        </w:tc>
        <w:tc>
          <w:tcPr>
            <w:tcW w:w="1740" w:type="dxa"/>
            <w:tcBorders>
              <w:top w:val="nil"/>
              <w:left w:val="nil"/>
              <w:bottom w:val="nil"/>
              <w:right w:val="nil"/>
            </w:tcBorders>
            <w:shd w:val="clear" w:color="auto" w:fill="F4B083" w:themeFill="accent2" w:themeFillTint="99"/>
            <w:noWrap/>
            <w:vAlign w:val="bottom"/>
            <w:hideMark/>
          </w:tcPr>
          <w:p w14:paraId="323896DE"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0.4</w:t>
            </w:r>
          </w:p>
        </w:tc>
      </w:tr>
      <w:tr w:rsidR="000F0225" w:rsidRPr="000F0225" w14:paraId="3BEDE684" w14:textId="77777777" w:rsidTr="000F0225">
        <w:trPr>
          <w:trHeight w:val="300"/>
        </w:trPr>
        <w:tc>
          <w:tcPr>
            <w:tcW w:w="4860" w:type="dxa"/>
            <w:tcBorders>
              <w:top w:val="nil"/>
              <w:left w:val="nil"/>
              <w:bottom w:val="nil"/>
              <w:right w:val="nil"/>
            </w:tcBorders>
            <w:shd w:val="clear" w:color="auto" w:fill="auto"/>
            <w:noWrap/>
            <w:vAlign w:val="bottom"/>
            <w:hideMark/>
          </w:tcPr>
          <w:p w14:paraId="72693A1D"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c>
          <w:tcPr>
            <w:tcW w:w="1807" w:type="dxa"/>
            <w:tcBorders>
              <w:top w:val="nil"/>
              <w:left w:val="nil"/>
              <w:bottom w:val="nil"/>
              <w:right w:val="nil"/>
            </w:tcBorders>
            <w:shd w:val="clear" w:color="auto" w:fill="auto"/>
            <w:noWrap/>
            <w:vAlign w:val="bottom"/>
            <w:hideMark/>
          </w:tcPr>
          <w:p w14:paraId="49E764E5"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497" w:type="dxa"/>
            <w:tcBorders>
              <w:top w:val="nil"/>
              <w:left w:val="nil"/>
              <w:bottom w:val="nil"/>
              <w:right w:val="nil"/>
            </w:tcBorders>
            <w:shd w:val="clear" w:color="auto" w:fill="auto"/>
            <w:noWrap/>
            <w:vAlign w:val="bottom"/>
            <w:hideMark/>
          </w:tcPr>
          <w:p w14:paraId="4D16707E"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920" w:type="dxa"/>
            <w:tcBorders>
              <w:top w:val="nil"/>
              <w:left w:val="nil"/>
              <w:bottom w:val="nil"/>
              <w:right w:val="nil"/>
            </w:tcBorders>
            <w:shd w:val="clear" w:color="auto" w:fill="auto"/>
            <w:noWrap/>
            <w:vAlign w:val="bottom"/>
            <w:hideMark/>
          </w:tcPr>
          <w:p w14:paraId="70E680AA"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55E2F35E" w14:textId="77777777" w:rsidR="000F0225" w:rsidRPr="000F0225" w:rsidRDefault="000F0225" w:rsidP="000F0225">
            <w:pPr>
              <w:spacing w:after="0" w:line="240" w:lineRule="auto"/>
              <w:jc w:val="center"/>
              <w:rPr>
                <w:rFonts w:asciiTheme="majorHAnsi" w:eastAsia="Times New Roman" w:hAnsiTheme="majorHAnsi" w:cstheme="majorHAnsi"/>
                <w:sz w:val="18"/>
                <w:szCs w:val="18"/>
              </w:rPr>
            </w:pPr>
          </w:p>
        </w:tc>
        <w:tc>
          <w:tcPr>
            <w:tcW w:w="1740" w:type="dxa"/>
            <w:tcBorders>
              <w:top w:val="nil"/>
              <w:left w:val="nil"/>
              <w:bottom w:val="nil"/>
              <w:right w:val="nil"/>
            </w:tcBorders>
            <w:shd w:val="clear" w:color="auto" w:fill="auto"/>
            <w:noWrap/>
            <w:vAlign w:val="bottom"/>
            <w:hideMark/>
          </w:tcPr>
          <w:p w14:paraId="7E9F2F7E"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r>
      <w:tr w:rsidR="000F0225" w:rsidRPr="000F0225" w14:paraId="19668E11" w14:textId="77777777" w:rsidTr="000F0225">
        <w:trPr>
          <w:trHeight w:val="300"/>
        </w:trPr>
        <w:tc>
          <w:tcPr>
            <w:tcW w:w="4860" w:type="dxa"/>
            <w:tcBorders>
              <w:top w:val="nil"/>
              <w:left w:val="nil"/>
              <w:bottom w:val="nil"/>
              <w:right w:val="nil"/>
            </w:tcBorders>
            <w:shd w:val="clear" w:color="000000" w:fill="F4B084"/>
            <w:noWrap/>
            <w:vAlign w:val="bottom"/>
            <w:hideMark/>
          </w:tcPr>
          <w:p w14:paraId="30B1259A" w14:textId="6369D292"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Social Spending - Health &amp; Edu</w:t>
            </w:r>
            <w:r w:rsidR="00563944">
              <w:rPr>
                <w:rFonts w:asciiTheme="majorHAnsi" w:eastAsia="Times New Roman" w:hAnsiTheme="majorHAnsi" w:cstheme="majorHAnsi"/>
                <w:color w:val="000000"/>
                <w:sz w:val="18"/>
                <w:szCs w:val="18"/>
              </w:rPr>
              <w:t>c</w:t>
            </w:r>
            <w:r w:rsidRPr="000F0225">
              <w:rPr>
                <w:rFonts w:asciiTheme="majorHAnsi" w:eastAsia="Times New Roman" w:hAnsiTheme="majorHAnsi" w:cstheme="majorHAnsi"/>
                <w:color w:val="000000"/>
                <w:sz w:val="18"/>
                <w:szCs w:val="18"/>
              </w:rPr>
              <w:t>ation</w:t>
            </w:r>
          </w:p>
        </w:tc>
        <w:tc>
          <w:tcPr>
            <w:tcW w:w="1807" w:type="dxa"/>
            <w:tcBorders>
              <w:top w:val="nil"/>
              <w:left w:val="nil"/>
              <w:bottom w:val="nil"/>
              <w:right w:val="nil"/>
            </w:tcBorders>
            <w:shd w:val="clear" w:color="000000" w:fill="F4B084"/>
            <w:noWrap/>
            <w:vAlign w:val="bottom"/>
            <w:hideMark/>
          </w:tcPr>
          <w:p w14:paraId="16FC6202" w14:textId="0FF1538A"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497" w:type="dxa"/>
            <w:tcBorders>
              <w:top w:val="nil"/>
              <w:left w:val="nil"/>
              <w:bottom w:val="nil"/>
              <w:right w:val="nil"/>
            </w:tcBorders>
            <w:shd w:val="clear" w:color="000000" w:fill="F4B084"/>
            <w:noWrap/>
            <w:vAlign w:val="bottom"/>
            <w:hideMark/>
          </w:tcPr>
          <w:p w14:paraId="6B48B121" w14:textId="381E7DAB"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p>
        </w:tc>
        <w:tc>
          <w:tcPr>
            <w:tcW w:w="1920" w:type="dxa"/>
            <w:tcBorders>
              <w:top w:val="nil"/>
              <w:left w:val="nil"/>
              <w:bottom w:val="nil"/>
              <w:right w:val="nil"/>
            </w:tcBorders>
            <w:shd w:val="clear" w:color="000000" w:fill="F4B084"/>
            <w:noWrap/>
            <w:vAlign w:val="bottom"/>
            <w:hideMark/>
          </w:tcPr>
          <w:p w14:paraId="5EC026FD"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0CA49640"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c>
          <w:tcPr>
            <w:tcW w:w="1740" w:type="dxa"/>
            <w:tcBorders>
              <w:top w:val="nil"/>
              <w:left w:val="nil"/>
              <w:bottom w:val="nil"/>
              <w:right w:val="nil"/>
            </w:tcBorders>
            <w:shd w:val="clear" w:color="000000" w:fill="F4B084"/>
            <w:noWrap/>
            <w:vAlign w:val="bottom"/>
            <w:hideMark/>
          </w:tcPr>
          <w:p w14:paraId="2124BCAA" w14:textId="77777777" w:rsidR="000F0225" w:rsidRPr="000F0225" w:rsidRDefault="000F0225"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w:t>
            </w:r>
          </w:p>
        </w:tc>
      </w:tr>
      <w:tr w:rsidR="000F0225" w:rsidRPr="000F0225" w14:paraId="4BC76BF3" w14:textId="77777777" w:rsidTr="000F0225">
        <w:trPr>
          <w:trHeight w:val="300"/>
        </w:trPr>
        <w:tc>
          <w:tcPr>
            <w:tcW w:w="4860" w:type="dxa"/>
            <w:tcBorders>
              <w:top w:val="nil"/>
              <w:left w:val="nil"/>
              <w:bottom w:val="nil"/>
              <w:right w:val="nil"/>
            </w:tcBorders>
            <w:shd w:val="clear" w:color="auto" w:fill="auto"/>
            <w:noWrap/>
            <w:vAlign w:val="bottom"/>
            <w:hideMark/>
          </w:tcPr>
          <w:p w14:paraId="0E64E085"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Health</w:t>
            </w:r>
          </w:p>
        </w:tc>
        <w:tc>
          <w:tcPr>
            <w:tcW w:w="1807" w:type="dxa"/>
            <w:tcBorders>
              <w:top w:val="nil"/>
              <w:left w:val="nil"/>
              <w:bottom w:val="nil"/>
              <w:right w:val="nil"/>
            </w:tcBorders>
            <w:shd w:val="clear" w:color="auto" w:fill="auto"/>
            <w:noWrap/>
            <w:vAlign w:val="bottom"/>
            <w:hideMark/>
          </w:tcPr>
          <w:p w14:paraId="4F060696" w14:textId="04E49753"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10,879</w:t>
            </w:r>
          </w:p>
        </w:tc>
        <w:tc>
          <w:tcPr>
            <w:tcW w:w="1497" w:type="dxa"/>
            <w:tcBorders>
              <w:top w:val="nil"/>
              <w:left w:val="nil"/>
              <w:bottom w:val="nil"/>
              <w:right w:val="nil"/>
            </w:tcBorders>
            <w:shd w:val="clear" w:color="auto" w:fill="auto"/>
            <w:noWrap/>
            <w:vAlign w:val="bottom"/>
            <w:hideMark/>
          </w:tcPr>
          <w:p w14:paraId="35379224" w14:textId="73FDC62E"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7,164</w:t>
            </w:r>
          </w:p>
        </w:tc>
        <w:tc>
          <w:tcPr>
            <w:tcW w:w="1920" w:type="dxa"/>
            <w:tcBorders>
              <w:top w:val="nil"/>
              <w:left w:val="nil"/>
              <w:bottom w:val="nil"/>
              <w:right w:val="nil"/>
            </w:tcBorders>
            <w:shd w:val="clear" w:color="auto" w:fill="auto"/>
            <w:noWrap/>
            <w:vAlign w:val="bottom"/>
            <w:hideMark/>
          </w:tcPr>
          <w:p w14:paraId="2FEE4D44"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65.9</w:t>
            </w:r>
          </w:p>
        </w:tc>
        <w:tc>
          <w:tcPr>
            <w:tcW w:w="1740" w:type="dxa"/>
            <w:tcBorders>
              <w:top w:val="nil"/>
              <w:left w:val="nil"/>
              <w:bottom w:val="nil"/>
              <w:right w:val="nil"/>
            </w:tcBorders>
            <w:shd w:val="clear" w:color="auto" w:fill="auto"/>
            <w:noWrap/>
            <w:vAlign w:val="bottom"/>
            <w:hideMark/>
          </w:tcPr>
          <w:p w14:paraId="6416E98A"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3.3</w:t>
            </w:r>
          </w:p>
        </w:tc>
        <w:tc>
          <w:tcPr>
            <w:tcW w:w="1740" w:type="dxa"/>
            <w:tcBorders>
              <w:top w:val="nil"/>
              <w:left w:val="nil"/>
              <w:bottom w:val="nil"/>
              <w:right w:val="nil"/>
            </w:tcBorders>
            <w:shd w:val="clear" w:color="auto" w:fill="auto"/>
            <w:noWrap/>
            <w:vAlign w:val="bottom"/>
            <w:hideMark/>
          </w:tcPr>
          <w:p w14:paraId="5E0A4A0B"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3.7</w:t>
            </w:r>
          </w:p>
        </w:tc>
      </w:tr>
      <w:tr w:rsidR="000F0225" w:rsidRPr="000F0225" w14:paraId="3B50224F" w14:textId="77777777" w:rsidTr="000F0225">
        <w:trPr>
          <w:trHeight w:val="315"/>
        </w:trPr>
        <w:tc>
          <w:tcPr>
            <w:tcW w:w="4860" w:type="dxa"/>
            <w:tcBorders>
              <w:top w:val="nil"/>
              <w:left w:val="nil"/>
              <w:bottom w:val="nil"/>
              <w:right w:val="nil"/>
            </w:tcBorders>
            <w:shd w:val="clear" w:color="auto" w:fill="auto"/>
            <w:noWrap/>
            <w:vAlign w:val="bottom"/>
            <w:hideMark/>
          </w:tcPr>
          <w:p w14:paraId="3C852EF5" w14:textId="77777777" w:rsidR="000F0225" w:rsidRPr="000F0225" w:rsidRDefault="000F0225" w:rsidP="000F0225">
            <w:pPr>
              <w:spacing w:after="0" w:line="240" w:lineRule="auto"/>
              <w:ind w:firstLineChars="100" w:firstLine="180"/>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Education</w:t>
            </w:r>
          </w:p>
        </w:tc>
        <w:tc>
          <w:tcPr>
            <w:tcW w:w="1807" w:type="dxa"/>
            <w:tcBorders>
              <w:top w:val="nil"/>
              <w:left w:val="nil"/>
              <w:bottom w:val="nil"/>
              <w:right w:val="nil"/>
            </w:tcBorders>
            <w:shd w:val="clear" w:color="auto" w:fill="auto"/>
            <w:noWrap/>
            <w:vAlign w:val="bottom"/>
            <w:hideMark/>
          </w:tcPr>
          <w:p w14:paraId="5C673323" w14:textId="0D0388EF"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15,327</w:t>
            </w:r>
          </w:p>
        </w:tc>
        <w:tc>
          <w:tcPr>
            <w:tcW w:w="1497" w:type="dxa"/>
            <w:tcBorders>
              <w:top w:val="nil"/>
              <w:left w:val="nil"/>
              <w:bottom w:val="nil"/>
              <w:right w:val="nil"/>
            </w:tcBorders>
            <w:shd w:val="clear" w:color="auto" w:fill="auto"/>
            <w:noWrap/>
            <w:vAlign w:val="bottom"/>
            <w:hideMark/>
          </w:tcPr>
          <w:p w14:paraId="7E21A026" w14:textId="79C3400C"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8,844</w:t>
            </w:r>
          </w:p>
        </w:tc>
        <w:tc>
          <w:tcPr>
            <w:tcW w:w="1920" w:type="dxa"/>
            <w:tcBorders>
              <w:top w:val="nil"/>
              <w:left w:val="nil"/>
              <w:bottom w:val="nil"/>
              <w:right w:val="nil"/>
            </w:tcBorders>
            <w:shd w:val="clear" w:color="auto" w:fill="auto"/>
            <w:noWrap/>
            <w:vAlign w:val="bottom"/>
            <w:hideMark/>
          </w:tcPr>
          <w:p w14:paraId="6B09DB39"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57.7</w:t>
            </w:r>
          </w:p>
        </w:tc>
        <w:tc>
          <w:tcPr>
            <w:tcW w:w="1740" w:type="dxa"/>
            <w:tcBorders>
              <w:top w:val="nil"/>
              <w:left w:val="nil"/>
              <w:bottom w:val="nil"/>
              <w:right w:val="nil"/>
            </w:tcBorders>
            <w:shd w:val="clear" w:color="auto" w:fill="auto"/>
            <w:noWrap/>
            <w:vAlign w:val="bottom"/>
            <w:hideMark/>
          </w:tcPr>
          <w:p w14:paraId="742BF8A3"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4.6</w:t>
            </w:r>
          </w:p>
        </w:tc>
        <w:tc>
          <w:tcPr>
            <w:tcW w:w="1740" w:type="dxa"/>
            <w:tcBorders>
              <w:top w:val="nil"/>
              <w:left w:val="nil"/>
              <w:bottom w:val="nil"/>
              <w:right w:val="nil"/>
            </w:tcBorders>
            <w:shd w:val="clear" w:color="auto" w:fill="auto"/>
            <w:noWrap/>
            <w:vAlign w:val="bottom"/>
            <w:hideMark/>
          </w:tcPr>
          <w:p w14:paraId="55EE8AD0"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4.6</w:t>
            </w:r>
          </w:p>
        </w:tc>
      </w:tr>
      <w:tr w:rsidR="000F0225" w:rsidRPr="000F0225" w14:paraId="36024316" w14:textId="77777777" w:rsidTr="009139BD">
        <w:trPr>
          <w:trHeight w:val="300"/>
        </w:trPr>
        <w:tc>
          <w:tcPr>
            <w:tcW w:w="4860" w:type="dxa"/>
            <w:tcBorders>
              <w:top w:val="nil"/>
              <w:left w:val="nil"/>
              <w:bottom w:val="nil"/>
              <w:right w:val="nil"/>
            </w:tcBorders>
            <w:shd w:val="clear" w:color="auto" w:fill="F4B083" w:themeFill="accent2" w:themeFillTint="99"/>
            <w:noWrap/>
            <w:vAlign w:val="bottom"/>
            <w:hideMark/>
          </w:tcPr>
          <w:p w14:paraId="0C40F4E3"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Social Spending (Health &amp; Education)</w:t>
            </w:r>
          </w:p>
        </w:tc>
        <w:tc>
          <w:tcPr>
            <w:tcW w:w="1807" w:type="dxa"/>
            <w:tcBorders>
              <w:top w:val="nil"/>
              <w:left w:val="nil"/>
              <w:bottom w:val="nil"/>
              <w:right w:val="nil"/>
            </w:tcBorders>
            <w:shd w:val="clear" w:color="auto" w:fill="F4B083" w:themeFill="accent2" w:themeFillTint="99"/>
            <w:noWrap/>
            <w:vAlign w:val="bottom"/>
            <w:hideMark/>
          </w:tcPr>
          <w:p w14:paraId="32FF672E" w14:textId="222CA3ED"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26,206</w:t>
            </w:r>
          </w:p>
        </w:tc>
        <w:tc>
          <w:tcPr>
            <w:tcW w:w="1497" w:type="dxa"/>
            <w:tcBorders>
              <w:top w:val="nil"/>
              <w:left w:val="nil"/>
              <w:bottom w:val="nil"/>
              <w:right w:val="nil"/>
            </w:tcBorders>
            <w:shd w:val="clear" w:color="auto" w:fill="F4B083" w:themeFill="accent2" w:themeFillTint="99"/>
            <w:noWrap/>
            <w:vAlign w:val="bottom"/>
            <w:hideMark/>
          </w:tcPr>
          <w:p w14:paraId="0B262AD4" w14:textId="0DA64760" w:rsidR="000F0225" w:rsidRPr="000F0225" w:rsidRDefault="000F0225" w:rsidP="002A29B1">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16,008</w:t>
            </w:r>
          </w:p>
        </w:tc>
        <w:tc>
          <w:tcPr>
            <w:tcW w:w="1920" w:type="dxa"/>
            <w:tcBorders>
              <w:top w:val="nil"/>
              <w:left w:val="nil"/>
              <w:bottom w:val="nil"/>
              <w:right w:val="nil"/>
            </w:tcBorders>
            <w:shd w:val="clear" w:color="auto" w:fill="F4B083" w:themeFill="accent2" w:themeFillTint="99"/>
            <w:noWrap/>
            <w:vAlign w:val="bottom"/>
            <w:hideMark/>
          </w:tcPr>
          <w:p w14:paraId="5245B5B2"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61.1</w:t>
            </w:r>
          </w:p>
        </w:tc>
        <w:tc>
          <w:tcPr>
            <w:tcW w:w="1740" w:type="dxa"/>
            <w:tcBorders>
              <w:top w:val="nil"/>
              <w:left w:val="nil"/>
              <w:bottom w:val="nil"/>
              <w:right w:val="nil"/>
            </w:tcBorders>
            <w:shd w:val="clear" w:color="auto" w:fill="F4B083" w:themeFill="accent2" w:themeFillTint="99"/>
            <w:noWrap/>
            <w:vAlign w:val="bottom"/>
            <w:hideMark/>
          </w:tcPr>
          <w:p w14:paraId="57584DB9"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7.8</w:t>
            </w:r>
          </w:p>
        </w:tc>
        <w:tc>
          <w:tcPr>
            <w:tcW w:w="1740" w:type="dxa"/>
            <w:tcBorders>
              <w:top w:val="nil"/>
              <w:left w:val="nil"/>
              <w:bottom w:val="nil"/>
              <w:right w:val="nil"/>
            </w:tcBorders>
            <w:shd w:val="clear" w:color="auto" w:fill="F4B083" w:themeFill="accent2" w:themeFillTint="99"/>
            <w:noWrap/>
            <w:vAlign w:val="bottom"/>
            <w:hideMark/>
          </w:tcPr>
          <w:p w14:paraId="71AA86CC"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8.3</w:t>
            </w:r>
          </w:p>
        </w:tc>
      </w:tr>
      <w:tr w:rsidR="000F0225" w:rsidRPr="000F0225" w14:paraId="4B3C2220" w14:textId="77777777" w:rsidTr="00921D30">
        <w:trPr>
          <w:trHeight w:val="315"/>
        </w:trPr>
        <w:tc>
          <w:tcPr>
            <w:tcW w:w="4860" w:type="dxa"/>
            <w:tcBorders>
              <w:top w:val="nil"/>
              <w:left w:val="nil"/>
              <w:right w:val="nil"/>
            </w:tcBorders>
            <w:shd w:val="clear" w:color="auto" w:fill="auto"/>
            <w:noWrap/>
            <w:vAlign w:val="bottom"/>
            <w:hideMark/>
          </w:tcPr>
          <w:p w14:paraId="0FD469F4" w14:textId="77777777" w:rsidR="000F0225" w:rsidRPr="000F0225" w:rsidRDefault="000F0225" w:rsidP="000F0225">
            <w:pPr>
              <w:spacing w:after="0" w:line="240" w:lineRule="auto"/>
              <w:jc w:val="center"/>
              <w:rPr>
                <w:rFonts w:asciiTheme="majorHAnsi" w:eastAsia="Times New Roman" w:hAnsiTheme="majorHAnsi" w:cstheme="majorHAnsi"/>
                <w:color w:val="000000"/>
                <w:sz w:val="18"/>
                <w:szCs w:val="18"/>
              </w:rPr>
            </w:pPr>
          </w:p>
        </w:tc>
        <w:tc>
          <w:tcPr>
            <w:tcW w:w="1807" w:type="dxa"/>
            <w:tcBorders>
              <w:top w:val="nil"/>
              <w:left w:val="nil"/>
              <w:right w:val="nil"/>
            </w:tcBorders>
            <w:shd w:val="clear" w:color="auto" w:fill="auto"/>
            <w:noWrap/>
            <w:vAlign w:val="bottom"/>
            <w:hideMark/>
          </w:tcPr>
          <w:p w14:paraId="62F169A4"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497" w:type="dxa"/>
            <w:tcBorders>
              <w:top w:val="nil"/>
              <w:left w:val="nil"/>
              <w:right w:val="nil"/>
            </w:tcBorders>
            <w:shd w:val="clear" w:color="auto" w:fill="auto"/>
            <w:noWrap/>
            <w:vAlign w:val="bottom"/>
            <w:hideMark/>
          </w:tcPr>
          <w:p w14:paraId="626E94AA" w14:textId="77777777" w:rsidR="000F0225" w:rsidRPr="000F0225" w:rsidRDefault="000F0225" w:rsidP="002A29B1">
            <w:pPr>
              <w:spacing w:after="0" w:line="240" w:lineRule="auto"/>
              <w:jc w:val="center"/>
              <w:rPr>
                <w:rFonts w:asciiTheme="majorHAnsi" w:eastAsia="Times New Roman" w:hAnsiTheme="majorHAnsi" w:cstheme="majorHAnsi"/>
                <w:sz w:val="18"/>
                <w:szCs w:val="18"/>
              </w:rPr>
            </w:pPr>
          </w:p>
        </w:tc>
        <w:tc>
          <w:tcPr>
            <w:tcW w:w="1920" w:type="dxa"/>
            <w:tcBorders>
              <w:top w:val="nil"/>
              <w:left w:val="nil"/>
              <w:right w:val="nil"/>
            </w:tcBorders>
            <w:shd w:val="clear" w:color="auto" w:fill="auto"/>
            <w:noWrap/>
            <w:vAlign w:val="bottom"/>
            <w:hideMark/>
          </w:tcPr>
          <w:p w14:paraId="474A20AA"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c>
          <w:tcPr>
            <w:tcW w:w="1740" w:type="dxa"/>
            <w:tcBorders>
              <w:top w:val="nil"/>
              <w:left w:val="nil"/>
              <w:right w:val="nil"/>
            </w:tcBorders>
            <w:shd w:val="clear" w:color="auto" w:fill="auto"/>
            <w:noWrap/>
            <w:vAlign w:val="bottom"/>
            <w:hideMark/>
          </w:tcPr>
          <w:p w14:paraId="01D3EA9C" w14:textId="77777777" w:rsidR="000F0225" w:rsidRPr="000F0225" w:rsidRDefault="000F0225" w:rsidP="000F0225">
            <w:pPr>
              <w:spacing w:after="0" w:line="240" w:lineRule="auto"/>
              <w:jc w:val="center"/>
              <w:rPr>
                <w:rFonts w:asciiTheme="majorHAnsi" w:eastAsia="Times New Roman" w:hAnsiTheme="majorHAnsi" w:cstheme="majorHAnsi"/>
                <w:sz w:val="18"/>
                <w:szCs w:val="18"/>
              </w:rPr>
            </w:pPr>
          </w:p>
        </w:tc>
        <w:tc>
          <w:tcPr>
            <w:tcW w:w="1740" w:type="dxa"/>
            <w:tcBorders>
              <w:top w:val="nil"/>
              <w:left w:val="nil"/>
              <w:right w:val="nil"/>
            </w:tcBorders>
            <w:shd w:val="clear" w:color="auto" w:fill="auto"/>
            <w:noWrap/>
            <w:vAlign w:val="bottom"/>
            <w:hideMark/>
          </w:tcPr>
          <w:p w14:paraId="39DC15C6" w14:textId="77777777" w:rsidR="000F0225" w:rsidRPr="000F0225" w:rsidRDefault="000F0225" w:rsidP="000F0225">
            <w:pPr>
              <w:spacing w:after="0" w:line="240" w:lineRule="auto"/>
              <w:jc w:val="left"/>
              <w:rPr>
                <w:rFonts w:asciiTheme="majorHAnsi" w:eastAsia="Times New Roman" w:hAnsiTheme="majorHAnsi" w:cstheme="majorHAnsi"/>
                <w:sz w:val="18"/>
                <w:szCs w:val="18"/>
              </w:rPr>
            </w:pPr>
          </w:p>
        </w:tc>
      </w:tr>
      <w:tr w:rsidR="000F0225" w:rsidRPr="000F0225" w14:paraId="716CB4E6" w14:textId="77777777" w:rsidTr="00921D30">
        <w:trPr>
          <w:trHeight w:val="300"/>
        </w:trPr>
        <w:tc>
          <w:tcPr>
            <w:tcW w:w="4860" w:type="dxa"/>
            <w:tcBorders>
              <w:top w:val="nil"/>
              <w:left w:val="nil"/>
              <w:bottom w:val="single" w:sz="4" w:space="0" w:color="auto"/>
              <w:right w:val="nil"/>
            </w:tcBorders>
            <w:shd w:val="clear" w:color="000000" w:fill="00B0F0"/>
            <w:noWrap/>
            <w:vAlign w:val="bottom"/>
            <w:hideMark/>
          </w:tcPr>
          <w:p w14:paraId="5CF60442" w14:textId="77777777" w:rsidR="000F0225" w:rsidRPr="000F0225" w:rsidRDefault="000F0225" w:rsidP="000F0225">
            <w:pPr>
              <w:spacing w:after="0" w:line="240" w:lineRule="auto"/>
              <w:jc w:val="left"/>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Total Social Spending (excluding contributory pensions)</w:t>
            </w:r>
          </w:p>
        </w:tc>
        <w:tc>
          <w:tcPr>
            <w:tcW w:w="1807" w:type="dxa"/>
            <w:tcBorders>
              <w:top w:val="nil"/>
              <w:left w:val="nil"/>
              <w:bottom w:val="single" w:sz="4" w:space="0" w:color="auto"/>
              <w:right w:val="nil"/>
            </w:tcBorders>
            <w:shd w:val="clear" w:color="000000" w:fill="00B0F0"/>
            <w:noWrap/>
            <w:vAlign w:val="bottom"/>
            <w:hideMark/>
          </w:tcPr>
          <w:p w14:paraId="650E41A0" w14:textId="6C3C6AB8"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49,495</w:t>
            </w:r>
          </w:p>
        </w:tc>
        <w:tc>
          <w:tcPr>
            <w:tcW w:w="1497" w:type="dxa"/>
            <w:tcBorders>
              <w:top w:val="nil"/>
              <w:left w:val="nil"/>
              <w:bottom w:val="single" w:sz="4" w:space="0" w:color="auto"/>
              <w:right w:val="nil"/>
            </w:tcBorders>
            <w:shd w:val="clear" w:color="000000" w:fill="00B0F0"/>
            <w:noWrap/>
            <w:vAlign w:val="bottom"/>
            <w:hideMark/>
          </w:tcPr>
          <w:p w14:paraId="6EF8754F" w14:textId="27278386" w:rsidR="000F0225" w:rsidRPr="000F0225" w:rsidRDefault="000F0225" w:rsidP="002A29B1">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38,044</w:t>
            </w:r>
          </w:p>
        </w:tc>
        <w:tc>
          <w:tcPr>
            <w:tcW w:w="1920" w:type="dxa"/>
            <w:tcBorders>
              <w:top w:val="nil"/>
              <w:left w:val="nil"/>
              <w:bottom w:val="single" w:sz="4" w:space="0" w:color="auto"/>
              <w:right w:val="nil"/>
            </w:tcBorders>
            <w:shd w:val="clear" w:color="000000" w:fill="00B0F0"/>
            <w:noWrap/>
            <w:vAlign w:val="bottom"/>
            <w:hideMark/>
          </w:tcPr>
          <w:p w14:paraId="4CB93DE7"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76.9</w:t>
            </w:r>
          </w:p>
        </w:tc>
        <w:tc>
          <w:tcPr>
            <w:tcW w:w="1740" w:type="dxa"/>
            <w:tcBorders>
              <w:top w:val="nil"/>
              <w:left w:val="nil"/>
              <w:bottom w:val="single" w:sz="4" w:space="0" w:color="auto"/>
              <w:right w:val="nil"/>
            </w:tcBorders>
            <w:shd w:val="clear" w:color="000000" w:fill="00B0F0"/>
            <w:noWrap/>
            <w:vAlign w:val="bottom"/>
            <w:hideMark/>
          </w:tcPr>
          <w:p w14:paraId="79889776"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14.8</w:t>
            </w:r>
          </w:p>
        </w:tc>
        <w:tc>
          <w:tcPr>
            <w:tcW w:w="1740" w:type="dxa"/>
            <w:tcBorders>
              <w:top w:val="nil"/>
              <w:left w:val="nil"/>
              <w:bottom w:val="single" w:sz="4" w:space="0" w:color="auto"/>
              <w:right w:val="nil"/>
            </w:tcBorders>
            <w:shd w:val="clear" w:color="000000" w:fill="00B0F0"/>
            <w:noWrap/>
            <w:vAlign w:val="bottom"/>
            <w:hideMark/>
          </w:tcPr>
          <w:p w14:paraId="08279430" w14:textId="77777777" w:rsidR="000F0225" w:rsidRPr="000F0225" w:rsidRDefault="000F0225" w:rsidP="000F0225">
            <w:pPr>
              <w:spacing w:after="0" w:line="240" w:lineRule="auto"/>
              <w:jc w:val="center"/>
              <w:rPr>
                <w:rFonts w:asciiTheme="majorHAnsi" w:eastAsia="Times New Roman" w:hAnsiTheme="majorHAnsi" w:cstheme="majorHAnsi"/>
                <w:b/>
                <w:bCs/>
                <w:color w:val="000000"/>
                <w:sz w:val="18"/>
                <w:szCs w:val="18"/>
              </w:rPr>
            </w:pPr>
            <w:r w:rsidRPr="000F0225">
              <w:rPr>
                <w:rFonts w:asciiTheme="majorHAnsi" w:eastAsia="Times New Roman" w:hAnsiTheme="majorHAnsi" w:cstheme="majorHAnsi"/>
                <w:b/>
                <w:bCs/>
                <w:color w:val="000000"/>
                <w:sz w:val="18"/>
                <w:szCs w:val="18"/>
              </w:rPr>
              <w:t>19.7</w:t>
            </w:r>
          </w:p>
        </w:tc>
      </w:tr>
      <w:tr w:rsidR="009139BD" w:rsidRPr="000F0225" w14:paraId="20368F5A" w14:textId="77777777" w:rsidTr="00F20968">
        <w:trPr>
          <w:trHeight w:val="315"/>
        </w:trPr>
        <w:tc>
          <w:tcPr>
            <w:tcW w:w="13564" w:type="dxa"/>
            <w:gridSpan w:val="6"/>
            <w:tcBorders>
              <w:top w:val="single" w:sz="4" w:space="0" w:color="auto"/>
              <w:left w:val="nil"/>
              <w:bottom w:val="nil"/>
              <w:right w:val="nil"/>
            </w:tcBorders>
            <w:shd w:val="clear" w:color="auto" w:fill="auto"/>
            <w:noWrap/>
            <w:vAlign w:val="bottom"/>
            <w:hideMark/>
          </w:tcPr>
          <w:p w14:paraId="4591BAF3" w14:textId="184F20FF" w:rsidR="009139BD" w:rsidRDefault="009139BD" w:rsidP="000F0225">
            <w:pPr>
              <w:spacing w:after="0" w:line="240" w:lineRule="auto"/>
              <w:jc w:val="left"/>
              <w:rPr>
                <w:rFonts w:asciiTheme="majorHAnsi" w:eastAsia="Times New Roman" w:hAnsiTheme="majorHAnsi" w:cstheme="majorHAnsi"/>
                <w:color w:val="000000"/>
                <w:sz w:val="18"/>
                <w:szCs w:val="18"/>
              </w:rPr>
            </w:pPr>
            <w:r w:rsidRPr="000F0225">
              <w:rPr>
                <w:rFonts w:asciiTheme="majorHAnsi" w:eastAsia="Times New Roman" w:hAnsiTheme="majorHAnsi" w:cstheme="majorHAnsi"/>
                <w:color w:val="000000"/>
                <w:sz w:val="18"/>
                <w:szCs w:val="18"/>
              </w:rPr>
              <w:t xml:space="preserve">Source: </w:t>
            </w:r>
            <w:r w:rsidR="00F169FA">
              <w:rPr>
                <w:rFonts w:cs="Times New Roman"/>
                <w:sz w:val="18"/>
                <w:szCs w:val="18"/>
              </w:rPr>
              <w:t xml:space="preserve">Based on data of </w:t>
            </w:r>
            <w:r w:rsidR="00F169FA">
              <w:rPr>
                <w:rFonts w:asciiTheme="majorHAnsi" w:eastAsia="Times New Roman" w:hAnsiTheme="majorHAnsi" w:cstheme="majorHAnsi"/>
                <w:color w:val="000000"/>
                <w:sz w:val="18"/>
                <w:szCs w:val="18"/>
              </w:rPr>
              <w:t>National Accounts</w:t>
            </w:r>
            <w:r w:rsidR="001E2F6B">
              <w:rPr>
                <w:rFonts w:asciiTheme="majorHAnsi" w:eastAsia="Times New Roman" w:hAnsiTheme="majorHAnsi" w:cstheme="majorHAnsi"/>
                <w:color w:val="000000"/>
                <w:sz w:val="18"/>
                <w:szCs w:val="18"/>
              </w:rPr>
              <w:t xml:space="preserve">, Mauritius Revenue Authority and </w:t>
            </w:r>
            <w:r w:rsidR="00C24A89">
              <w:rPr>
                <w:rFonts w:asciiTheme="majorHAnsi" w:eastAsia="Times New Roman" w:hAnsiTheme="majorHAnsi" w:cstheme="majorHAnsi"/>
                <w:color w:val="000000"/>
                <w:sz w:val="18"/>
                <w:szCs w:val="18"/>
              </w:rPr>
              <w:t xml:space="preserve">the World Bank </w:t>
            </w:r>
            <w:r w:rsidR="001E2F6B">
              <w:rPr>
                <w:rFonts w:asciiTheme="majorHAnsi" w:eastAsia="Times New Roman" w:hAnsiTheme="majorHAnsi" w:cstheme="majorHAnsi"/>
                <w:color w:val="000000"/>
                <w:sz w:val="18"/>
                <w:szCs w:val="18"/>
              </w:rPr>
              <w:t>BOOST</w:t>
            </w:r>
            <w:r w:rsidR="00C24A89">
              <w:rPr>
                <w:rFonts w:asciiTheme="majorHAnsi" w:eastAsia="Times New Roman" w:hAnsiTheme="majorHAnsi" w:cstheme="majorHAnsi"/>
                <w:color w:val="000000"/>
                <w:sz w:val="18"/>
                <w:szCs w:val="18"/>
              </w:rPr>
              <w:t xml:space="preserve"> Initiative for Mauritius</w:t>
            </w:r>
            <w:r w:rsidR="001E2F6B">
              <w:rPr>
                <w:rFonts w:asciiTheme="majorHAnsi" w:eastAsia="Times New Roman" w:hAnsiTheme="majorHAnsi" w:cstheme="majorHAnsi"/>
                <w:color w:val="000000"/>
                <w:sz w:val="18"/>
                <w:szCs w:val="18"/>
              </w:rPr>
              <w:t>,</w:t>
            </w:r>
            <w:r w:rsidR="00F169FA">
              <w:rPr>
                <w:rFonts w:asciiTheme="majorHAnsi" w:eastAsia="Times New Roman" w:hAnsiTheme="majorHAnsi" w:cstheme="majorHAnsi"/>
                <w:color w:val="000000"/>
                <w:sz w:val="18"/>
                <w:szCs w:val="18"/>
              </w:rPr>
              <w:t xml:space="preserve"> and of the </w:t>
            </w:r>
            <w:r w:rsidR="00F169FA">
              <w:rPr>
                <w:rFonts w:cs="Times New Roman"/>
                <w:sz w:val="18"/>
                <w:szCs w:val="18"/>
              </w:rPr>
              <w:t>2017 Household Budget Survey, Statistics Mauritius.</w:t>
            </w:r>
            <w:r w:rsidR="00F169FA">
              <w:rPr>
                <w:rFonts w:asciiTheme="majorHAnsi" w:eastAsia="Times New Roman" w:hAnsiTheme="majorHAnsi" w:cstheme="majorHAnsi"/>
                <w:color w:val="000000"/>
                <w:sz w:val="18"/>
                <w:szCs w:val="18"/>
              </w:rPr>
              <w:t xml:space="preserve"> </w:t>
            </w:r>
          </w:p>
          <w:p w14:paraId="3FC5BED4" w14:textId="23B6876E" w:rsidR="009139BD" w:rsidRPr="000F0225" w:rsidRDefault="009139BD" w:rsidP="006E1D22">
            <w:pPr>
              <w:keepNext/>
              <w:spacing w:after="0" w:line="240" w:lineRule="auto"/>
              <w:jc w:val="left"/>
              <w:rPr>
                <w:rFonts w:asciiTheme="majorHAnsi" w:eastAsia="Times New Roman" w:hAnsiTheme="majorHAnsi" w:cstheme="majorHAnsi"/>
                <w:sz w:val="18"/>
                <w:szCs w:val="18"/>
              </w:rPr>
            </w:pPr>
            <w:r w:rsidRPr="000F0225">
              <w:rPr>
                <w:rFonts w:asciiTheme="majorHAnsi" w:eastAsia="Times New Roman" w:hAnsiTheme="majorHAnsi" w:cstheme="majorHAnsi"/>
                <w:color w:val="000000"/>
                <w:sz w:val="18"/>
                <w:szCs w:val="18"/>
              </w:rPr>
              <w:t xml:space="preserve">Note: </w:t>
            </w:r>
            <w:r>
              <w:rPr>
                <w:rFonts w:asciiTheme="majorHAnsi" w:eastAsia="Times New Roman" w:hAnsiTheme="majorHAnsi" w:cstheme="majorHAnsi"/>
                <w:color w:val="000000"/>
                <w:sz w:val="18"/>
                <w:szCs w:val="18"/>
              </w:rPr>
              <w:t>Figures are obtained as a</w:t>
            </w:r>
            <w:r w:rsidRPr="000F0225">
              <w:rPr>
                <w:rFonts w:asciiTheme="majorHAnsi" w:eastAsia="Times New Roman" w:hAnsiTheme="majorHAnsi" w:cstheme="majorHAnsi"/>
                <w:color w:val="000000"/>
                <w:sz w:val="18"/>
                <w:szCs w:val="18"/>
              </w:rPr>
              <w:t>verages of values for FY2016/17 and FY2017/18</w:t>
            </w:r>
            <w:r w:rsidR="0085519A">
              <w:rPr>
                <w:rFonts w:asciiTheme="majorHAnsi" w:eastAsia="Times New Roman" w:hAnsiTheme="majorHAnsi" w:cstheme="majorHAnsi"/>
                <w:color w:val="000000"/>
                <w:sz w:val="18"/>
                <w:szCs w:val="18"/>
              </w:rPr>
              <w:t>, except for items noted by subsidy to bus companies that is</w:t>
            </w:r>
            <w:r w:rsidR="00F169FA">
              <w:rPr>
                <w:rFonts w:asciiTheme="majorHAnsi" w:eastAsia="Times New Roman" w:hAnsiTheme="majorHAnsi" w:cstheme="majorHAnsi"/>
                <w:color w:val="000000"/>
                <w:sz w:val="18"/>
                <w:szCs w:val="18"/>
              </w:rPr>
              <w:t xml:space="preserve"> for FY17/18</w:t>
            </w:r>
            <w:r w:rsidRPr="000F0225">
              <w:rPr>
                <w:rFonts w:asciiTheme="majorHAnsi" w:eastAsia="Times New Roman" w:hAnsiTheme="majorHAnsi" w:cstheme="majorHAnsi"/>
                <w:color w:val="000000"/>
                <w:sz w:val="18"/>
                <w:szCs w:val="18"/>
              </w:rPr>
              <w:t>.</w:t>
            </w:r>
            <w:r w:rsidR="00C13056">
              <w:rPr>
                <w:rFonts w:asciiTheme="majorHAnsi" w:eastAsia="Times New Roman" w:hAnsiTheme="majorHAnsi" w:cstheme="majorHAnsi"/>
                <w:color w:val="000000"/>
                <w:sz w:val="18"/>
                <w:szCs w:val="18"/>
              </w:rPr>
              <w:t xml:space="preserve"> Social security contributions</w:t>
            </w:r>
            <w:r w:rsidR="00D8125D">
              <w:rPr>
                <w:rFonts w:asciiTheme="majorHAnsi" w:eastAsia="Times New Roman" w:hAnsiTheme="majorHAnsi" w:cstheme="majorHAnsi"/>
                <w:color w:val="000000"/>
                <w:sz w:val="18"/>
                <w:szCs w:val="18"/>
              </w:rPr>
              <w:t xml:space="preserve"> from N</w:t>
            </w:r>
            <w:r w:rsidR="00290761">
              <w:rPr>
                <w:rFonts w:asciiTheme="majorHAnsi" w:eastAsia="Times New Roman" w:hAnsiTheme="majorHAnsi" w:cstheme="majorHAnsi"/>
                <w:color w:val="000000"/>
                <w:sz w:val="18"/>
                <w:szCs w:val="18"/>
              </w:rPr>
              <w:t>A</w:t>
            </w:r>
            <w:r w:rsidR="00D8125D">
              <w:rPr>
                <w:rFonts w:asciiTheme="majorHAnsi" w:eastAsia="Times New Roman" w:hAnsiTheme="majorHAnsi" w:cstheme="majorHAnsi"/>
                <w:color w:val="000000"/>
                <w:sz w:val="18"/>
                <w:szCs w:val="18"/>
              </w:rPr>
              <w:t xml:space="preserve"> excludes CSP</w:t>
            </w:r>
            <w:r w:rsidR="0025078B">
              <w:rPr>
                <w:rFonts w:asciiTheme="majorHAnsi" w:eastAsia="Times New Roman" w:hAnsiTheme="majorHAnsi" w:cstheme="majorHAnsi"/>
                <w:color w:val="000000"/>
                <w:sz w:val="18"/>
                <w:szCs w:val="18"/>
              </w:rPr>
              <w:t>S</w:t>
            </w:r>
            <w:r w:rsidR="00D8125D">
              <w:rPr>
                <w:rFonts w:asciiTheme="majorHAnsi" w:eastAsia="Times New Roman" w:hAnsiTheme="majorHAnsi" w:cstheme="majorHAnsi"/>
                <w:color w:val="000000"/>
                <w:sz w:val="18"/>
                <w:szCs w:val="18"/>
              </w:rPr>
              <w:t xml:space="preserve"> a</w:t>
            </w:r>
            <w:r w:rsidR="0025078B">
              <w:rPr>
                <w:rFonts w:asciiTheme="majorHAnsi" w:eastAsia="Times New Roman" w:hAnsiTheme="majorHAnsi" w:cstheme="majorHAnsi"/>
                <w:color w:val="000000"/>
                <w:sz w:val="18"/>
                <w:szCs w:val="18"/>
              </w:rPr>
              <w:t>n</w:t>
            </w:r>
            <w:r w:rsidR="00D8125D">
              <w:rPr>
                <w:rFonts w:asciiTheme="majorHAnsi" w:eastAsia="Times New Roman" w:hAnsiTheme="majorHAnsi" w:cstheme="majorHAnsi"/>
                <w:color w:val="000000"/>
                <w:sz w:val="18"/>
                <w:szCs w:val="18"/>
              </w:rPr>
              <w:t>d FP</w:t>
            </w:r>
            <w:r w:rsidR="0025078B">
              <w:rPr>
                <w:rFonts w:asciiTheme="majorHAnsi" w:eastAsia="Times New Roman" w:hAnsiTheme="majorHAnsi" w:cstheme="majorHAnsi"/>
                <w:color w:val="000000"/>
                <w:sz w:val="18"/>
                <w:szCs w:val="18"/>
              </w:rPr>
              <w:t>S</w:t>
            </w:r>
            <w:r w:rsidR="00D8125D">
              <w:rPr>
                <w:rFonts w:asciiTheme="majorHAnsi" w:eastAsia="Times New Roman" w:hAnsiTheme="majorHAnsi" w:cstheme="majorHAnsi"/>
                <w:color w:val="000000"/>
                <w:sz w:val="18"/>
                <w:szCs w:val="18"/>
              </w:rPr>
              <w:t xml:space="preserve"> contributions, and figures from the HBS only include employees’ contributions to the </w:t>
            </w:r>
            <w:r w:rsidR="008536B2">
              <w:rPr>
                <w:rFonts w:asciiTheme="majorHAnsi" w:eastAsia="Times New Roman" w:hAnsiTheme="majorHAnsi" w:cstheme="majorHAnsi"/>
                <w:color w:val="000000"/>
                <w:sz w:val="18"/>
                <w:szCs w:val="18"/>
              </w:rPr>
              <w:t>National Pensions Fund</w:t>
            </w:r>
            <w:r w:rsidR="00D8125D">
              <w:rPr>
                <w:rFonts w:asciiTheme="majorHAnsi" w:eastAsia="Times New Roman" w:hAnsiTheme="majorHAnsi" w:cstheme="majorHAnsi"/>
                <w:color w:val="000000"/>
                <w:sz w:val="18"/>
                <w:szCs w:val="18"/>
              </w:rPr>
              <w:t>.</w:t>
            </w:r>
          </w:p>
        </w:tc>
      </w:tr>
    </w:tbl>
    <w:p w14:paraId="66B6B5E4" w14:textId="77777777" w:rsidR="000F0225" w:rsidRDefault="000F0225" w:rsidP="006E1D22">
      <w:pPr>
        <w:pStyle w:val="Caption"/>
        <w:rPr>
          <w:rFonts w:cs="Times New Roman"/>
          <w:szCs w:val="22"/>
        </w:rPr>
      </w:pPr>
    </w:p>
    <w:p w14:paraId="4C7FBB23" w14:textId="612F17F3" w:rsidR="00EF4282" w:rsidRPr="00727D48" w:rsidRDefault="00EF4282" w:rsidP="00727D48">
      <w:pPr>
        <w:sectPr w:rsidR="00EF4282" w:rsidRPr="00727D48" w:rsidSect="000F0225">
          <w:footerReference w:type="default" r:id="rId44"/>
          <w:pgSz w:w="15840" w:h="12240" w:orient="landscape"/>
          <w:pgMar w:top="1440" w:right="1440" w:bottom="1440" w:left="1440" w:header="720" w:footer="720" w:gutter="0"/>
          <w:cols w:space="720"/>
          <w:titlePg/>
          <w:docGrid w:linePitch="360"/>
        </w:sectPr>
      </w:pPr>
    </w:p>
    <w:p w14:paraId="666F4108" w14:textId="26A91559" w:rsidR="003C3A42" w:rsidRPr="003C3A42" w:rsidRDefault="000212CA" w:rsidP="000212CA">
      <w:pPr>
        <w:pStyle w:val="Caption"/>
        <w:rPr>
          <w:rFonts w:cs="Times New Roman"/>
          <w:color w:val="auto"/>
          <w:sz w:val="18"/>
          <w:szCs w:val="18"/>
        </w:rPr>
      </w:pPr>
      <w:bookmarkStart w:id="167" w:name="_Toc11256364"/>
      <w:bookmarkStart w:id="168" w:name="_Toc11256427"/>
      <w:bookmarkStart w:id="169" w:name="_Toc11256504"/>
      <w:r w:rsidRPr="000212CA">
        <w:rPr>
          <w:color w:val="auto"/>
          <w:sz w:val="18"/>
          <w:szCs w:val="18"/>
        </w:rPr>
        <w:t xml:space="preserve">Table B </w:t>
      </w:r>
      <w:r w:rsidRPr="000212CA">
        <w:rPr>
          <w:color w:val="auto"/>
          <w:sz w:val="18"/>
          <w:szCs w:val="18"/>
        </w:rPr>
        <w:fldChar w:fldCharType="begin"/>
      </w:r>
      <w:r w:rsidRPr="000212CA">
        <w:rPr>
          <w:color w:val="auto"/>
          <w:sz w:val="18"/>
          <w:szCs w:val="18"/>
        </w:rPr>
        <w:instrText xml:space="preserve"> SEQ Table_B \* ARABIC </w:instrText>
      </w:r>
      <w:r w:rsidRPr="000212CA">
        <w:rPr>
          <w:color w:val="auto"/>
          <w:sz w:val="18"/>
          <w:szCs w:val="18"/>
        </w:rPr>
        <w:fldChar w:fldCharType="separate"/>
      </w:r>
      <w:r w:rsidR="006E1D22">
        <w:rPr>
          <w:noProof/>
          <w:color w:val="auto"/>
          <w:sz w:val="18"/>
          <w:szCs w:val="18"/>
        </w:rPr>
        <w:t>2</w:t>
      </w:r>
      <w:r w:rsidRPr="000212CA">
        <w:rPr>
          <w:color w:val="auto"/>
          <w:sz w:val="18"/>
          <w:szCs w:val="18"/>
        </w:rPr>
        <w:fldChar w:fldCharType="end"/>
      </w:r>
      <w:r w:rsidR="003C3A42" w:rsidRPr="003C3A42">
        <w:rPr>
          <w:color w:val="auto"/>
          <w:sz w:val="18"/>
          <w:szCs w:val="18"/>
        </w:rPr>
        <w:t xml:space="preserve">. </w:t>
      </w:r>
      <w:r w:rsidR="00CB19E2">
        <w:rPr>
          <w:color w:val="auto"/>
          <w:sz w:val="18"/>
          <w:szCs w:val="18"/>
        </w:rPr>
        <w:t>Personal Income Tax D</w:t>
      </w:r>
      <w:r w:rsidR="003C3A42" w:rsidRPr="003C3A42">
        <w:rPr>
          <w:color w:val="auto"/>
          <w:sz w:val="18"/>
          <w:szCs w:val="18"/>
        </w:rPr>
        <w:t>eductions</w:t>
      </w:r>
      <w:bookmarkEnd w:id="167"/>
      <w:bookmarkEnd w:id="168"/>
      <w:bookmarkEnd w:id="169"/>
    </w:p>
    <w:tbl>
      <w:tblPr>
        <w:tblStyle w:val="PlainTable2"/>
        <w:tblW w:w="9560" w:type="dxa"/>
        <w:tblLook w:val="04A0" w:firstRow="1" w:lastRow="0" w:firstColumn="1" w:lastColumn="0" w:noHBand="0" w:noVBand="1"/>
      </w:tblPr>
      <w:tblGrid>
        <w:gridCol w:w="5220"/>
        <w:gridCol w:w="2160"/>
        <w:gridCol w:w="2180"/>
      </w:tblGrid>
      <w:tr w:rsidR="00587A7F" w:rsidRPr="00587A7F" w14:paraId="23BC67F7" w14:textId="77777777" w:rsidTr="00587A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28F3D9D" w14:textId="7DAE4941" w:rsidR="00587A7F" w:rsidRPr="00587A7F" w:rsidRDefault="00587A7F" w:rsidP="00587A7F">
            <w:pPr>
              <w:jc w:val="left"/>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Deductions</w:t>
            </w:r>
          </w:p>
        </w:tc>
        <w:tc>
          <w:tcPr>
            <w:tcW w:w="2160" w:type="dxa"/>
            <w:noWrap/>
            <w:hideMark/>
          </w:tcPr>
          <w:p w14:paraId="0C3B8023" w14:textId="77777777" w:rsidR="00587A7F" w:rsidRPr="00587A7F" w:rsidRDefault="00587A7F" w:rsidP="00587A7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2016/17</w:t>
            </w:r>
          </w:p>
        </w:tc>
        <w:tc>
          <w:tcPr>
            <w:tcW w:w="2180" w:type="dxa"/>
            <w:noWrap/>
            <w:hideMark/>
          </w:tcPr>
          <w:p w14:paraId="61AF78DC" w14:textId="77777777" w:rsidR="00587A7F" w:rsidRPr="00587A7F" w:rsidRDefault="00587A7F" w:rsidP="00587A7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2017/18</w:t>
            </w:r>
          </w:p>
        </w:tc>
      </w:tr>
      <w:tr w:rsidR="00587A7F" w:rsidRPr="00587A7F" w14:paraId="5E7FEB0A" w14:textId="77777777" w:rsidTr="00587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20" w:type="dxa"/>
            <w:tcBorders>
              <w:bottom w:val="nil"/>
            </w:tcBorders>
            <w:noWrap/>
            <w:hideMark/>
          </w:tcPr>
          <w:p w14:paraId="0DED329E" w14:textId="77777777" w:rsidR="00587A7F" w:rsidRPr="00587A7F" w:rsidRDefault="00587A7F" w:rsidP="00587A7F">
            <w:pPr>
              <w:jc w:val="center"/>
              <w:rPr>
                <w:rFonts w:asciiTheme="majorHAnsi" w:eastAsia="Times New Roman" w:hAnsiTheme="majorHAnsi" w:cstheme="majorHAnsi"/>
                <w:color w:val="000000"/>
                <w:sz w:val="18"/>
                <w:szCs w:val="18"/>
              </w:rPr>
            </w:pPr>
          </w:p>
        </w:tc>
        <w:tc>
          <w:tcPr>
            <w:tcW w:w="2160" w:type="dxa"/>
            <w:tcBorders>
              <w:bottom w:val="nil"/>
            </w:tcBorders>
            <w:noWrap/>
            <w:hideMark/>
          </w:tcPr>
          <w:p w14:paraId="5FBBA09A"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p>
        </w:tc>
        <w:tc>
          <w:tcPr>
            <w:tcW w:w="2180" w:type="dxa"/>
            <w:tcBorders>
              <w:bottom w:val="nil"/>
            </w:tcBorders>
            <w:noWrap/>
            <w:hideMark/>
          </w:tcPr>
          <w:p w14:paraId="3C0D1F8B"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rPr>
            </w:pPr>
          </w:p>
        </w:tc>
      </w:tr>
      <w:tr w:rsidR="00587A7F" w:rsidRPr="00587A7F" w14:paraId="79DE24C8" w14:textId="77777777" w:rsidTr="00587A7F">
        <w:trPr>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noWrap/>
            <w:hideMark/>
          </w:tcPr>
          <w:p w14:paraId="6C68CCC6" w14:textId="32429AAB"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 xml:space="preserve">interest on </w:t>
            </w:r>
            <w:r w:rsidR="00AF51EB" w:rsidRPr="00CB19E2">
              <w:rPr>
                <w:rFonts w:asciiTheme="majorHAnsi" w:eastAsia="Times New Roman" w:hAnsiTheme="majorHAnsi" w:cstheme="majorHAnsi"/>
                <w:b w:val="0"/>
                <w:color w:val="000000"/>
                <w:sz w:val="18"/>
                <w:szCs w:val="18"/>
              </w:rPr>
              <w:t>mortgage</w:t>
            </w:r>
            <w:r w:rsidRPr="00587A7F">
              <w:rPr>
                <w:rFonts w:asciiTheme="majorHAnsi" w:eastAsia="Times New Roman" w:hAnsiTheme="majorHAnsi" w:cstheme="majorHAnsi"/>
                <w:b w:val="0"/>
                <w:color w:val="000000"/>
                <w:sz w:val="18"/>
                <w:szCs w:val="18"/>
              </w:rPr>
              <w:t xml:space="preserve"> loans</w:t>
            </w:r>
          </w:p>
        </w:tc>
        <w:tc>
          <w:tcPr>
            <w:tcW w:w="2160" w:type="dxa"/>
            <w:tcBorders>
              <w:top w:val="nil"/>
              <w:bottom w:val="nil"/>
            </w:tcBorders>
            <w:hideMark/>
          </w:tcPr>
          <w:p w14:paraId="0B84C896"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full</w:t>
            </w:r>
          </w:p>
        </w:tc>
        <w:tc>
          <w:tcPr>
            <w:tcW w:w="2180" w:type="dxa"/>
            <w:tcBorders>
              <w:top w:val="nil"/>
              <w:bottom w:val="nil"/>
            </w:tcBorders>
            <w:hideMark/>
          </w:tcPr>
          <w:p w14:paraId="000FD154"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full</w:t>
            </w:r>
          </w:p>
        </w:tc>
      </w:tr>
      <w:tr w:rsidR="00587A7F" w:rsidRPr="00587A7F" w14:paraId="3F48A964" w14:textId="77777777" w:rsidTr="00587A7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hideMark/>
          </w:tcPr>
          <w:p w14:paraId="5A35FF5F" w14:textId="304A4405"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tertiary education tuition fee exemption per dep</w:t>
            </w:r>
            <w:r w:rsidR="00AF51EB" w:rsidRPr="00CB19E2">
              <w:rPr>
                <w:rFonts w:asciiTheme="majorHAnsi" w:eastAsia="Times New Roman" w:hAnsiTheme="majorHAnsi" w:cstheme="majorHAnsi"/>
                <w:b w:val="0"/>
                <w:color w:val="000000"/>
                <w:sz w:val="18"/>
                <w:szCs w:val="18"/>
              </w:rPr>
              <w:t>endent</w:t>
            </w:r>
            <w:r w:rsidRPr="00587A7F">
              <w:rPr>
                <w:rFonts w:asciiTheme="majorHAnsi" w:eastAsia="Times New Roman" w:hAnsiTheme="majorHAnsi" w:cstheme="majorHAnsi"/>
                <w:b w:val="0"/>
                <w:color w:val="000000"/>
                <w:sz w:val="18"/>
                <w:szCs w:val="18"/>
              </w:rPr>
              <w:t xml:space="preserve"> child</w:t>
            </w:r>
            <w:r w:rsidR="00E80B08" w:rsidRPr="00CB19E2">
              <w:rPr>
                <w:rFonts w:asciiTheme="majorHAnsi" w:eastAsia="Times New Roman" w:hAnsiTheme="majorHAnsi" w:cstheme="majorHAnsi"/>
                <w:b w:val="0"/>
                <w:color w:val="000000"/>
                <w:sz w:val="18"/>
                <w:szCs w:val="18"/>
              </w:rPr>
              <w:t>ren (max 3)</w:t>
            </w:r>
            <w:r w:rsidRPr="00587A7F">
              <w:rPr>
                <w:rFonts w:asciiTheme="majorHAnsi" w:eastAsia="Times New Roman" w:hAnsiTheme="majorHAnsi" w:cstheme="majorHAnsi"/>
                <w:b w:val="0"/>
                <w:color w:val="000000"/>
                <w:sz w:val="18"/>
                <w:szCs w:val="18"/>
              </w:rPr>
              <w:t xml:space="preserve"> </w:t>
            </w:r>
            <w:r w:rsidRPr="00587A7F">
              <w:rPr>
                <w:rFonts w:asciiTheme="majorHAnsi" w:eastAsia="Times New Roman" w:hAnsiTheme="majorHAnsi" w:cstheme="majorHAnsi"/>
                <w:b w:val="0"/>
                <w:color w:val="000000"/>
                <w:sz w:val="18"/>
                <w:szCs w:val="18"/>
              </w:rPr>
              <w:br/>
            </w:r>
          </w:p>
        </w:tc>
        <w:tc>
          <w:tcPr>
            <w:tcW w:w="2160" w:type="dxa"/>
            <w:tcBorders>
              <w:top w:val="nil"/>
              <w:bottom w:val="nil"/>
            </w:tcBorders>
            <w:hideMark/>
          </w:tcPr>
          <w:p w14:paraId="6492CA95"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135,000</w:t>
            </w:r>
          </w:p>
        </w:tc>
        <w:tc>
          <w:tcPr>
            <w:tcW w:w="2180" w:type="dxa"/>
            <w:tcBorders>
              <w:top w:val="nil"/>
              <w:bottom w:val="nil"/>
            </w:tcBorders>
            <w:hideMark/>
          </w:tcPr>
          <w:p w14:paraId="6E72A59F"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135,000</w:t>
            </w:r>
          </w:p>
        </w:tc>
      </w:tr>
      <w:tr w:rsidR="00587A7F" w:rsidRPr="00587A7F" w14:paraId="507335C3" w14:textId="77777777" w:rsidTr="00587A7F">
        <w:trPr>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noWrap/>
            <w:hideMark/>
          </w:tcPr>
          <w:p w14:paraId="61973911" w14:textId="77777777"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lump sum received as commutation of pension or retiring allowance</w:t>
            </w:r>
          </w:p>
        </w:tc>
        <w:tc>
          <w:tcPr>
            <w:tcW w:w="2160" w:type="dxa"/>
            <w:tcBorders>
              <w:top w:val="nil"/>
              <w:bottom w:val="nil"/>
            </w:tcBorders>
            <w:hideMark/>
          </w:tcPr>
          <w:p w14:paraId="017535EB"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2mln</w:t>
            </w:r>
          </w:p>
        </w:tc>
        <w:tc>
          <w:tcPr>
            <w:tcW w:w="2180" w:type="dxa"/>
            <w:tcBorders>
              <w:top w:val="nil"/>
              <w:bottom w:val="nil"/>
            </w:tcBorders>
            <w:hideMark/>
          </w:tcPr>
          <w:p w14:paraId="08A22BB3"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2mln</w:t>
            </w:r>
          </w:p>
        </w:tc>
      </w:tr>
      <w:tr w:rsidR="00587A7F" w:rsidRPr="00587A7F" w14:paraId="3ACE6EF9" w14:textId="77777777" w:rsidTr="00587A7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hideMark/>
          </w:tcPr>
          <w:p w14:paraId="6EE266F8" w14:textId="77777777"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 xml:space="preserve">relief for healthy/medical insurance premium </w:t>
            </w:r>
            <w:r w:rsidRPr="00587A7F">
              <w:rPr>
                <w:rFonts w:asciiTheme="majorHAnsi" w:eastAsia="Times New Roman" w:hAnsiTheme="majorHAnsi" w:cstheme="majorHAnsi"/>
                <w:b w:val="0"/>
                <w:color w:val="000000"/>
                <w:sz w:val="18"/>
                <w:szCs w:val="18"/>
              </w:rPr>
              <w:br/>
              <w:t xml:space="preserve">category A </w:t>
            </w:r>
            <w:r w:rsidRPr="00587A7F">
              <w:rPr>
                <w:rFonts w:asciiTheme="majorHAnsi" w:eastAsia="Times New Roman" w:hAnsiTheme="majorHAnsi" w:cstheme="majorHAnsi"/>
                <w:b w:val="0"/>
                <w:color w:val="000000"/>
                <w:sz w:val="18"/>
                <w:szCs w:val="18"/>
              </w:rPr>
              <w:br/>
              <w:t>category E/F</w:t>
            </w:r>
          </w:p>
        </w:tc>
        <w:tc>
          <w:tcPr>
            <w:tcW w:w="2160" w:type="dxa"/>
            <w:tcBorders>
              <w:top w:val="nil"/>
              <w:bottom w:val="nil"/>
            </w:tcBorders>
            <w:hideMark/>
          </w:tcPr>
          <w:p w14:paraId="7E953A9E"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up to 12,000</w:t>
            </w:r>
          </w:p>
        </w:tc>
        <w:tc>
          <w:tcPr>
            <w:tcW w:w="2180" w:type="dxa"/>
            <w:tcBorders>
              <w:top w:val="nil"/>
              <w:bottom w:val="nil"/>
            </w:tcBorders>
            <w:hideMark/>
          </w:tcPr>
          <w:p w14:paraId="3DF6A96C" w14:textId="77777777"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up to 15,000</w:t>
            </w:r>
          </w:p>
        </w:tc>
      </w:tr>
      <w:tr w:rsidR="00587A7F" w:rsidRPr="00587A7F" w14:paraId="148FE9A4" w14:textId="77777777" w:rsidTr="00587A7F">
        <w:trPr>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hideMark/>
          </w:tcPr>
          <w:p w14:paraId="1C841F06" w14:textId="77777777"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 xml:space="preserve">relief for healthy/medical insurance premium </w:t>
            </w:r>
            <w:r w:rsidRPr="00587A7F">
              <w:rPr>
                <w:rFonts w:asciiTheme="majorHAnsi" w:eastAsia="Times New Roman" w:hAnsiTheme="majorHAnsi" w:cstheme="majorHAnsi"/>
                <w:b w:val="0"/>
                <w:color w:val="000000"/>
                <w:sz w:val="18"/>
                <w:szCs w:val="18"/>
              </w:rPr>
              <w:br/>
              <w:t xml:space="preserve">category B </w:t>
            </w:r>
            <w:r w:rsidRPr="00587A7F">
              <w:rPr>
                <w:rFonts w:asciiTheme="majorHAnsi" w:eastAsia="Times New Roman" w:hAnsiTheme="majorHAnsi" w:cstheme="majorHAnsi"/>
                <w:b w:val="0"/>
                <w:color w:val="000000"/>
                <w:sz w:val="18"/>
                <w:szCs w:val="18"/>
              </w:rPr>
              <w:br/>
              <w:t>category F/G</w:t>
            </w:r>
          </w:p>
        </w:tc>
        <w:tc>
          <w:tcPr>
            <w:tcW w:w="2160" w:type="dxa"/>
            <w:tcBorders>
              <w:top w:val="nil"/>
              <w:bottom w:val="nil"/>
            </w:tcBorders>
            <w:hideMark/>
          </w:tcPr>
          <w:p w14:paraId="13A6F77C" w14:textId="63D0E03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 xml:space="preserve">up to 12,000 </w:t>
            </w:r>
            <w:r w:rsidRPr="00587A7F">
              <w:rPr>
                <w:rFonts w:asciiTheme="majorHAnsi" w:eastAsia="Times New Roman" w:hAnsiTheme="majorHAnsi" w:cstheme="majorHAnsi"/>
                <w:color w:val="000000"/>
                <w:sz w:val="18"/>
                <w:szCs w:val="18"/>
              </w:rPr>
              <w:br/>
              <w:t>for self and 1st dep</w:t>
            </w:r>
            <w:r w:rsidR="009F0923">
              <w:rPr>
                <w:rFonts w:asciiTheme="majorHAnsi" w:eastAsia="Times New Roman" w:hAnsiTheme="majorHAnsi" w:cstheme="majorHAnsi"/>
                <w:color w:val="000000"/>
                <w:sz w:val="18"/>
                <w:szCs w:val="18"/>
              </w:rPr>
              <w:t>endent</w:t>
            </w:r>
          </w:p>
        </w:tc>
        <w:tc>
          <w:tcPr>
            <w:tcW w:w="2180" w:type="dxa"/>
            <w:tcBorders>
              <w:top w:val="nil"/>
              <w:bottom w:val="nil"/>
            </w:tcBorders>
            <w:hideMark/>
          </w:tcPr>
          <w:p w14:paraId="0770FC69" w14:textId="4CE2DF02"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 xml:space="preserve">up to 15,000 </w:t>
            </w:r>
            <w:r w:rsidRPr="00587A7F">
              <w:rPr>
                <w:rFonts w:asciiTheme="majorHAnsi" w:eastAsia="Times New Roman" w:hAnsiTheme="majorHAnsi" w:cstheme="majorHAnsi"/>
                <w:color w:val="000000"/>
                <w:sz w:val="18"/>
                <w:szCs w:val="18"/>
              </w:rPr>
              <w:br/>
              <w:t xml:space="preserve">for self and 1st </w:t>
            </w:r>
            <w:r w:rsidR="009F0923" w:rsidRPr="00587A7F">
              <w:rPr>
                <w:rFonts w:asciiTheme="majorHAnsi" w:eastAsia="Times New Roman" w:hAnsiTheme="majorHAnsi" w:cstheme="majorHAnsi"/>
                <w:color w:val="000000"/>
                <w:sz w:val="18"/>
                <w:szCs w:val="18"/>
              </w:rPr>
              <w:t>dep</w:t>
            </w:r>
            <w:r w:rsidR="009F0923">
              <w:rPr>
                <w:rFonts w:asciiTheme="majorHAnsi" w:eastAsia="Times New Roman" w:hAnsiTheme="majorHAnsi" w:cstheme="majorHAnsi"/>
                <w:color w:val="000000"/>
                <w:sz w:val="18"/>
                <w:szCs w:val="18"/>
              </w:rPr>
              <w:t>endent</w:t>
            </w:r>
          </w:p>
        </w:tc>
      </w:tr>
      <w:tr w:rsidR="00587A7F" w:rsidRPr="00587A7F" w14:paraId="4CB6ABD1" w14:textId="77777777" w:rsidTr="00587A7F">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220" w:type="dxa"/>
            <w:tcBorders>
              <w:top w:val="nil"/>
              <w:bottom w:val="nil"/>
            </w:tcBorders>
            <w:hideMark/>
          </w:tcPr>
          <w:p w14:paraId="7002F378" w14:textId="77777777"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 xml:space="preserve">relief for healthy/medical insurance premium </w:t>
            </w:r>
            <w:r w:rsidRPr="00587A7F">
              <w:rPr>
                <w:rFonts w:asciiTheme="majorHAnsi" w:eastAsia="Times New Roman" w:hAnsiTheme="majorHAnsi" w:cstheme="majorHAnsi"/>
                <w:b w:val="0"/>
                <w:color w:val="000000"/>
                <w:sz w:val="18"/>
                <w:szCs w:val="18"/>
              </w:rPr>
              <w:br/>
              <w:t xml:space="preserve">category D </w:t>
            </w:r>
            <w:r w:rsidRPr="00587A7F">
              <w:rPr>
                <w:rFonts w:asciiTheme="majorHAnsi" w:eastAsia="Times New Roman" w:hAnsiTheme="majorHAnsi" w:cstheme="majorHAnsi"/>
                <w:b w:val="0"/>
                <w:color w:val="000000"/>
                <w:sz w:val="18"/>
                <w:szCs w:val="18"/>
              </w:rPr>
              <w:br/>
              <w:t>category E</w:t>
            </w:r>
          </w:p>
        </w:tc>
        <w:tc>
          <w:tcPr>
            <w:tcW w:w="2160" w:type="dxa"/>
            <w:tcBorders>
              <w:top w:val="nil"/>
              <w:bottom w:val="nil"/>
            </w:tcBorders>
            <w:hideMark/>
          </w:tcPr>
          <w:p w14:paraId="3C4339F4" w14:textId="0CAFB782"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 xml:space="preserve">up to 12,000 </w:t>
            </w:r>
            <w:r w:rsidRPr="00587A7F">
              <w:rPr>
                <w:rFonts w:asciiTheme="majorHAnsi" w:eastAsia="Times New Roman" w:hAnsiTheme="majorHAnsi" w:cstheme="majorHAnsi"/>
                <w:color w:val="000000"/>
                <w:sz w:val="18"/>
                <w:szCs w:val="18"/>
              </w:rPr>
              <w:br/>
              <w:t xml:space="preserve">for self and 1st </w:t>
            </w:r>
            <w:r w:rsidR="009F0923" w:rsidRPr="00587A7F">
              <w:rPr>
                <w:rFonts w:asciiTheme="majorHAnsi" w:eastAsia="Times New Roman" w:hAnsiTheme="majorHAnsi" w:cstheme="majorHAnsi"/>
                <w:color w:val="000000"/>
                <w:sz w:val="18"/>
                <w:szCs w:val="18"/>
              </w:rPr>
              <w:t>dep</w:t>
            </w:r>
            <w:r w:rsidR="009F0923">
              <w:rPr>
                <w:rFonts w:asciiTheme="majorHAnsi" w:eastAsia="Times New Roman" w:hAnsiTheme="majorHAnsi" w:cstheme="majorHAnsi"/>
                <w:color w:val="000000"/>
                <w:sz w:val="18"/>
                <w:szCs w:val="18"/>
              </w:rPr>
              <w:t>endent</w:t>
            </w:r>
            <w:r w:rsidR="009F0923" w:rsidRPr="00587A7F">
              <w:rPr>
                <w:rFonts w:asciiTheme="majorHAnsi" w:eastAsia="Times New Roman" w:hAnsiTheme="majorHAnsi" w:cstheme="majorHAnsi"/>
                <w:color w:val="000000"/>
                <w:sz w:val="18"/>
                <w:szCs w:val="18"/>
              </w:rPr>
              <w:t xml:space="preserve"> </w:t>
            </w:r>
            <w:r w:rsidRPr="00587A7F">
              <w:rPr>
                <w:rFonts w:asciiTheme="majorHAnsi" w:eastAsia="Times New Roman" w:hAnsiTheme="majorHAnsi" w:cstheme="majorHAnsi"/>
                <w:color w:val="000000"/>
                <w:sz w:val="18"/>
                <w:szCs w:val="18"/>
              </w:rPr>
              <w:t xml:space="preserve">+ </w:t>
            </w:r>
            <w:r w:rsidRPr="00587A7F">
              <w:rPr>
                <w:rFonts w:asciiTheme="majorHAnsi" w:eastAsia="Times New Roman" w:hAnsiTheme="majorHAnsi" w:cstheme="majorHAnsi"/>
                <w:color w:val="000000"/>
                <w:sz w:val="18"/>
                <w:szCs w:val="18"/>
              </w:rPr>
              <w:br/>
              <w:t xml:space="preserve">6,000 for 2nd and 3rd </w:t>
            </w:r>
            <w:r w:rsidR="009F0923" w:rsidRPr="00587A7F">
              <w:rPr>
                <w:rFonts w:asciiTheme="majorHAnsi" w:eastAsia="Times New Roman" w:hAnsiTheme="majorHAnsi" w:cstheme="majorHAnsi"/>
                <w:color w:val="000000"/>
                <w:sz w:val="18"/>
                <w:szCs w:val="18"/>
              </w:rPr>
              <w:t>dep</w:t>
            </w:r>
            <w:r w:rsidR="009F0923">
              <w:rPr>
                <w:rFonts w:asciiTheme="majorHAnsi" w:eastAsia="Times New Roman" w:hAnsiTheme="majorHAnsi" w:cstheme="majorHAnsi"/>
                <w:color w:val="000000"/>
                <w:sz w:val="18"/>
                <w:szCs w:val="18"/>
              </w:rPr>
              <w:t>endent</w:t>
            </w:r>
          </w:p>
        </w:tc>
        <w:tc>
          <w:tcPr>
            <w:tcW w:w="2180" w:type="dxa"/>
            <w:tcBorders>
              <w:top w:val="nil"/>
              <w:bottom w:val="nil"/>
            </w:tcBorders>
            <w:hideMark/>
          </w:tcPr>
          <w:p w14:paraId="7A132D1D" w14:textId="778FDB1C" w:rsidR="00587A7F" w:rsidRPr="00587A7F" w:rsidRDefault="00587A7F" w:rsidP="00587A7F">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 xml:space="preserve">up to 15,000 </w:t>
            </w:r>
            <w:r w:rsidRPr="00587A7F">
              <w:rPr>
                <w:rFonts w:asciiTheme="majorHAnsi" w:eastAsia="Times New Roman" w:hAnsiTheme="majorHAnsi" w:cstheme="majorHAnsi"/>
                <w:color w:val="000000"/>
                <w:sz w:val="18"/>
                <w:szCs w:val="18"/>
              </w:rPr>
              <w:br/>
              <w:t xml:space="preserve">for self and 1st </w:t>
            </w:r>
            <w:r w:rsidR="009F0923" w:rsidRPr="00587A7F">
              <w:rPr>
                <w:rFonts w:asciiTheme="majorHAnsi" w:eastAsia="Times New Roman" w:hAnsiTheme="majorHAnsi" w:cstheme="majorHAnsi"/>
                <w:color w:val="000000"/>
                <w:sz w:val="18"/>
                <w:szCs w:val="18"/>
              </w:rPr>
              <w:t>dep</w:t>
            </w:r>
            <w:r w:rsidR="009F0923">
              <w:rPr>
                <w:rFonts w:asciiTheme="majorHAnsi" w:eastAsia="Times New Roman" w:hAnsiTheme="majorHAnsi" w:cstheme="majorHAnsi"/>
                <w:color w:val="000000"/>
                <w:sz w:val="18"/>
                <w:szCs w:val="18"/>
              </w:rPr>
              <w:t>endent</w:t>
            </w:r>
            <w:r w:rsidR="009F0923" w:rsidRPr="00587A7F">
              <w:rPr>
                <w:rFonts w:asciiTheme="majorHAnsi" w:eastAsia="Times New Roman" w:hAnsiTheme="majorHAnsi" w:cstheme="majorHAnsi"/>
                <w:color w:val="000000"/>
                <w:sz w:val="18"/>
                <w:szCs w:val="18"/>
              </w:rPr>
              <w:t xml:space="preserve"> </w:t>
            </w:r>
            <w:r w:rsidRPr="00587A7F">
              <w:rPr>
                <w:rFonts w:asciiTheme="majorHAnsi" w:eastAsia="Times New Roman" w:hAnsiTheme="majorHAnsi" w:cstheme="majorHAnsi"/>
                <w:color w:val="000000"/>
                <w:sz w:val="18"/>
                <w:szCs w:val="18"/>
              </w:rPr>
              <w:t xml:space="preserve">+ </w:t>
            </w:r>
            <w:r w:rsidRPr="00587A7F">
              <w:rPr>
                <w:rFonts w:asciiTheme="majorHAnsi" w:eastAsia="Times New Roman" w:hAnsiTheme="majorHAnsi" w:cstheme="majorHAnsi"/>
                <w:color w:val="000000"/>
                <w:sz w:val="18"/>
                <w:szCs w:val="18"/>
              </w:rPr>
              <w:br/>
              <w:t xml:space="preserve">10,000 for 2nd and 3rd </w:t>
            </w:r>
            <w:r w:rsidR="009F0923" w:rsidRPr="00587A7F">
              <w:rPr>
                <w:rFonts w:asciiTheme="majorHAnsi" w:eastAsia="Times New Roman" w:hAnsiTheme="majorHAnsi" w:cstheme="majorHAnsi"/>
                <w:color w:val="000000"/>
                <w:sz w:val="18"/>
                <w:szCs w:val="18"/>
              </w:rPr>
              <w:t>dep</w:t>
            </w:r>
            <w:r w:rsidR="009F0923">
              <w:rPr>
                <w:rFonts w:asciiTheme="majorHAnsi" w:eastAsia="Times New Roman" w:hAnsiTheme="majorHAnsi" w:cstheme="majorHAnsi"/>
                <w:color w:val="000000"/>
                <w:sz w:val="18"/>
                <w:szCs w:val="18"/>
              </w:rPr>
              <w:t>endent</w:t>
            </w:r>
          </w:p>
        </w:tc>
      </w:tr>
      <w:tr w:rsidR="00587A7F" w:rsidRPr="00587A7F" w14:paraId="057BFEDA" w14:textId="77777777" w:rsidTr="00E80B08">
        <w:trPr>
          <w:trHeight w:val="360"/>
        </w:trPr>
        <w:tc>
          <w:tcPr>
            <w:cnfStyle w:val="001000000000" w:firstRow="0" w:lastRow="0" w:firstColumn="1" w:lastColumn="0" w:oddVBand="0" w:evenVBand="0" w:oddHBand="0" w:evenHBand="0" w:firstRowFirstColumn="0" w:firstRowLastColumn="0" w:lastRowFirstColumn="0" w:lastRowLastColumn="0"/>
            <w:tcW w:w="5220" w:type="dxa"/>
            <w:tcBorders>
              <w:top w:val="nil"/>
              <w:bottom w:val="single" w:sz="4" w:space="0" w:color="auto"/>
            </w:tcBorders>
            <w:noWrap/>
            <w:hideMark/>
          </w:tcPr>
          <w:p w14:paraId="16EA5B8D" w14:textId="742D7763" w:rsidR="00587A7F" w:rsidRPr="00587A7F" w:rsidRDefault="00587A7F" w:rsidP="00587A7F">
            <w:pPr>
              <w:jc w:val="left"/>
              <w:rPr>
                <w:rFonts w:asciiTheme="majorHAnsi" w:eastAsia="Times New Roman" w:hAnsiTheme="majorHAnsi" w:cstheme="majorHAnsi"/>
                <w:b w:val="0"/>
                <w:color w:val="000000"/>
                <w:sz w:val="18"/>
                <w:szCs w:val="18"/>
              </w:rPr>
            </w:pPr>
            <w:r w:rsidRPr="00587A7F">
              <w:rPr>
                <w:rFonts w:asciiTheme="majorHAnsi" w:eastAsia="Times New Roman" w:hAnsiTheme="majorHAnsi" w:cstheme="majorHAnsi"/>
                <w:b w:val="0"/>
                <w:color w:val="000000"/>
                <w:sz w:val="18"/>
                <w:szCs w:val="18"/>
              </w:rPr>
              <w:t xml:space="preserve">relief for wages paid during a year to </w:t>
            </w:r>
            <w:r w:rsidRPr="00CB19E2">
              <w:rPr>
                <w:rFonts w:asciiTheme="majorHAnsi" w:eastAsia="Times New Roman" w:hAnsiTheme="majorHAnsi" w:cstheme="majorHAnsi"/>
                <w:b w:val="0"/>
                <w:color w:val="000000"/>
                <w:sz w:val="18"/>
                <w:szCs w:val="18"/>
              </w:rPr>
              <w:t>household</w:t>
            </w:r>
            <w:r w:rsidRPr="00587A7F">
              <w:rPr>
                <w:rFonts w:asciiTheme="majorHAnsi" w:eastAsia="Times New Roman" w:hAnsiTheme="majorHAnsi" w:cstheme="majorHAnsi"/>
                <w:b w:val="0"/>
                <w:color w:val="000000"/>
                <w:sz w:val="18"/>
                <w:szCs w:val="18"/>
              </w:rPr>
              <w:t xml:space="preserve"> employees</w:t>
            </w:r>
          </w:p>
        </w:tc>
        <w:tc>
          <w:tcPr>
            <w:tcW w:w="2160" w:type="dxa"/>
            <w:tcBorders>
              <w:top w:val="nil"/>
              <w:bottom w:val="single" w:sz="4" w:space="0" w:color="auto"/>
            </w:tcBorders>
            <w:hideMark/>
          </w:tcPr>
          <w:p w14:paraId="37C6F5E8"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N/A</w:t>
            </w:r>
          </w:p>
        </w:tc>
        <w:tc>
          <w:tcPr>
            <w:tcW w:w="2180" w:type="dxa"/>
            <w:tcBorders>
              <w:top w:val="nil"/>
              <w:bottom w:val="single" w:sz="4" w:space="0" w:color="auto"/>
            </w:tcBorders>
            <w:hideMark/>
          </w:tcPr>
          <w:p w14:paraId="66D49C45" w14:textId="77777777" w:rsidR="00587A7F" w:rsidRPr="00587A7F" w:rsidRDefault="00587A7F" w:rsidP="00587A7F">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587A7F">
              <w:rPr>
                <w:rFonts w:asciiTheme="majorHAnsi" w:eastAsia="Times New Roman" w:hAnsiTheme="majorHAnsi" w:cstheme="majorHAnsi"/>
                <w:color w:val="000000"/>
                <w:sz w:val="18"/>
                <w:szCs w:val="18"/>
              </w:rPr>
              <w:t>up to 30,000</w:t>
            </w:r>
          </w:p>
        </w:tc>
      </w:tr>
      <w:tr w:rsidR="00587A7F" w:rsidRPr="004F4F65" w14:paraId="7BF225C2" w14:textId="77777777" w:rsidTr="00AE7E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60" w:type="dxa"/>
            <w:gridSpan w:val="3"/>
            <w:tcBorders>
              <w:top w:val="single" w:sz="4" w:space="0" w:color="auto"/>
              <w:bottom w:val="nil"/>
            </w:tcBorders>
            <w:noWrap/>
            <w:hideMark/>
          </w:tcPr>
          <w:p w14:paraId="7F6FB7FB" w14:textId="06BCB624" w:rsidR="00587A7F" w:rsidRPr="00587A7F" w:rsidRDefault="004F4F65" w:rsidP="00587A7F">
            <w:pPr>
              <w:jc w:val="left"/>
              <w:rPr>
                <w:rFonts w:asciiTheme="majorHAnsi" w:eastAsia="Times New Roman" w:hAnsiTheme="majorHAnsi" w:cstheme="majorHAnsi"/>
                <w:b w:val="0"/>
                <w:sz w:val="18"/>
                <w:szCs w:val="18"/>
              </w:rPr>
            </w:pPr>
            <w:r w:rsidRPr="004F4F65">
              <w:rPr>
                <w:rFonts w:asciiTheme="majorHAnsi" w:eastAsia="Times New Roman" w:hAnsiTheme="majorHAnsi" w:cstheme="majorHAnsi"/>
                <w:b w:val="0"/>
                <w:i/>
                <w:sz w:val="18"/>
                <w:szCs w:val="18"/>
              </w:rPr>
              <w:t>Source</w:t>
            </w:r>
            <w:r w:rsidRPr="004F4F65">
              <w:rPr>
                <w:rFonts w:asciiTheme="majorHAnsi" w:eastAsia="Times New Roman" w:hAnsiTheme="majorHAnsi" w:cstheme="majorHAnsi"/>
                <w:b w:val="0"/>
                <w:sz w:val="18"/>
                <w:szCs w:val="18"/>
              </w:rPr>
              <w:t>: Mauritius Revenue Authority.</w:t>
            </w:r>
          </w:p>
        </w:tc>
      </w:tr>
    </w:tbl>
    <w:p w14:paraId="20FF52B1" w14:textId="7E1404F9" w:rsidR="0064566A" w:rsidRDefault="0064566A" w:rsidP="00AF23DE">
      <w:pPr>
        <w:autoSpaceDE w:val="0"/>
        <w:autoSpaceDN w:val="0"/>
        <w:adjustRightInd w:val="0"/>
        <w:spacing w:after="0" w:line="240" w:lineRule="auto"/>
        <w:rPr>
          <w:rFonts w:cs="Times New Roman"/>
          <w:szCs w:val="22"/>
        </w:rPr>
      </w:pPr>
    </w:p>
    <w:p w14:paraId="6DE86724" w14:textId="0127DB00" w:rsidR="0064566A" w:rsidRDefault="008333B2" w:rsidP="008333B2">
      <w:pPr>
        <w:jc w:val="left"/>
        <w:rPr>
          <w:rFonts w:cs="Times New Roman"/>
          <w:szCs w:val="22"/>
        </w:rPr>
      </w:pPr>
      <w:r>
        <w:rPr>
          <w:rFonts w:cs="Times New Roman"/>
          <w:szCs w:val="22"/>
        </w:rPr>
        <w:br w:type="page"/>
      </w:r>
    </w:p>
    <w:p w14:paraId="63063A63" w14:textId="2DCEC8DA" w:rsidR="0064566A" w:rsidRPr="0064566A" w:rsidRDefault="000212CA" w:rsidP="0064566A">
      <w:pPr>
        <w:pStyle w:val="Caption"/>
        <w:rPr>
          <w:color w:val="auto"/>
          <w:sz w:val="18"/>
          <w:szCs w:val="18"/>
        </w:rPr>
      </w:pPr>
      <w:bookmarkStart w:id="170" w:name="_Toc11256365"/>
      <w:bookmarkStart w:id="171" w:name="_Toc11256428"/>
      <w:bookmarkStart w:id="172" w:name="_Toc11256505"/>
      <w:r w:rsidRPr="000212CA">
        <w:rPr>
          <w:color w:val="auto"/>
          <w:sz w:val="18"/>
          <w:szCs w:val="18"/>
        </w:rPr>
        <w:t xml:space="preserve">Table B </w:t>
      </w:r>
      <w:r w:rsidRPr="000212CA">
        <w:rPr>
          <w:color w:val="auto"/>
          <w:sz w:val="18"/>
          <w:szCs w:val="18"/>
        </w:rPr>
        <w:fldChar w:fldCharType="begin"/>
      </w:r>
      <w:r w:rsidRPr="000212CA">
        <w:rPr>
          <w:color w:val="auto"/>
          <w:sz w:val="18"/>
          <w:szCs w:val="18"/>
        </w:rPr>
        <w:instrText xml:space="preserve"> SEQ Table_B \* ARABIC </w:instrText>
      </w:r>
      <w:r w:rsidRPr="000212CA">
        <w:rPr>
          <w:color w:val="auto"/>
          <w:sz w:val="18"/>
          <w:szCs w:val="18"/>
        </w:rPr>
        <w:fldChar w:fldCharType="separate"/>
      </w:r>
      <w:r w:rsidR="006E1D22">
        <w:rPr>
          <w:noProof/>
          <w:color w:val="auto"/>
          <w:sz w:val="18"/>
          <w:szCs w:val="18"/>
        </w:rPr>
        <w:t>3</w:t>
      </w:r>
      <w:r w:rsidRPr="000212CA">
        <w:rPr>
          <w:color w:val="auto"/>
          <w:sz w:val="18"/>
          <w:szCs w:val="18"/>
        </w:rPr>
        <w:fldChar w:fldCharType="end"/>
      </w:r>
      <w:r w:rsidR="00962BE2">
        <w:rPr>
          <w:color w:val="auto"/>
          <w:sz w:val="18"/>
          <w:szCs w:val="18"/>
        </w:rPr>
        <w:t>. Contributions rate to National Pension Fund</w:t>
      </w:r>
      <w:r w:rsidR="00932BC5">
        <w:rPr>
          <w:color w:val="auto"/>
          <w:sz w:val="18"/>
          <w:szCs w:val="18"/>
        </w:rPr>
        <w:t>, National Saving Fund, and Training Levy</w:t>
      </w:r>
      <w:bookmarkEnd w:id="170"/>
      <w:bookmarkEnd w:id="171"/>
      <w:bookmarkEnd w:id="172"/>
    </w:p>
    <w:tbl>
      <w:tblPr>
        <w:tblStyle w:val="PlainTable2"/>
        <w:tblW w:w="9500" w:type="dxa"/>
        <w:tblLook w:val="04A0" w:firstRow="1" w:lastRow="0" w:firstColumn="1" w:lastColumn="0" w:noHBand="0" w:noVBand="1"/>
      </w:tblPr>
      <w:tblGrid>
        <w:gridCol w:w="5660"/>
        <w:gridCol w:w="1280"/>
        <w:gridCol w:w="1280"/>
        <w:gridCol w:w="1280"/>
      </w:tblGrid>
      <w:tr w:rsidR="0064566A" w:rsidRPr="0064566A" w14:paraId="3837E8C2" w14:textId="77777777" w:rsidTr="0064566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60" w:type="dxa"/>
            <w:hideMark/>
          </w:tcPr>
          <w:p w14:paraId="2A8B6DA1" w14:textId="0C3AC9AD" w:rsidR="0064566A" w:rsidRPr="00727D48" w:rsidRDefault="00D256CF" w:rsidP="00727D48">
            <w:pPr>
              <w:jc w:val="left"/>
              <w:rPr>
                <w:rFonts w:asciiTheme="majorHAnsi" w:eastAsia="Times New Roman" w:hAnsiTheme="majorHAnsi" w:cstheme="majorHAnsi"/>
                <w:b w:val="0"/>
                <w:i/>
                <w:color w:val="000000"/>
                <w:sz w:val="18"/>
                <w:szCs w:val="18"/>
              </w:rPr>
            </w:pPr>
            <w:r w:rsidRPr="00D256CF">
              <w:rPr>
                <w:rFonts w:asciiTheme="majorHAnsi" w:eastAsia="Times New Roman" w:hAnsiTheme="majorHAnsi" w:cstheme="majorHAnsi"/>
                <w:i/>
                <w:color w:val="000000"/>
                <w:sz w:val="18"/>
                <w:szCs w:val="18"/>
              </w:rPr>
              <w:t>Insured person</w:t>
            </w:r>
          </w:p>
        </w:tc>
        <w:tc>
          <w:tcPr>
            <w:tcW w:w="1280" w:type="dxa"/>
            <w:hideMark/>
          </w:tcPr>
          <w:p w14:paraId="41F98637" w14:textId="77777777" w:rsidR="0064566A" w:rsidRPr="00727D48" w:rsidRDefault="0064566A" w:rsidP="006456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color w:val="000000"/>
                <w:sz w:val="18"/>
                <w:szCs w:val="18"/>
              </w:rPr>
            </w:pPr>
            <w:r w:rsidRPr="00727D48">
              <w:rPr>
                <w:rFonts w:asciiTheme="majorHAnsi" w:eastAsia="Times New Roman" w:hAnsiTheme="majorHAnsi" w:cstheme="majorHAnsi"/>
                <w:i/>
                <w:color w:val="000000"/>
                <w:sz w:val="18"/>
                <w:szCs w:val="18"/>
              </w:rPr>
              <w:t>Employee share</w:t>
            </w:r>
          </w:p>
        </w:tc>
        <w:tc>
          <w:tcPr>
            <w:tcW w:w="1280" w:type="dxa"/>
            <w:hideMark/>
          </w:tcPr>
          <w:p w14:paraId="1C9EC5D2" w14:textId="77777777" w:rsidR="0064566A" w:rsidRPr="00727D48" w:rsidRDefault="0064566A" w:rsidP="006456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color w:val="000000"/>
                <w:sz w:val="18"/>
                <w:szCs w:val="18"/>
              </w:rPr>
            </w:pPr>
            <w:r w:rsidRPr="00727D48">
              <w:rPr>
                <w:rFonts w:asciiTheme="majorHAnsi" w:eastAsia="Times New Roman" w:hAnsiTheme="majorHAnsi" w:cstheme="majorHAnsi"/>
                <w:i/>
                <w:color w:val="000000"/>
                <w:sz w:val="18"/>
                <w:szCs w:val="18"/>
              </w:rPr>
              <w:t>Employer share</w:t>
            </w:r>
          </w:p>
        </w:tc>
        <w:tc>
          <w:tcPr>
            <w:tcW w:w="1280" w:type="dxa"/>
            <w:hideMark/>
          </w:tcPr>
          <w:p w14:paraId="1217DAF7" w14:textId="77777777" w:rsidR="0064566A" w:rsidRPr="00727D48" w:rsidRDefault="0064566A" w:rsidP="006456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color w:val="000000"/>
                <w:sz w:val="18"/>
                <w:szCs w:val="18"/>
              </w:rPr>
            </w:pPr>
            <w:r w:rsidRPr="00727D48">
              <w:rPr>
                <w:rFonts w:asciiTheme="majorHAnsi" w:eastAsia="Times New Roman" w:hAnsiTheme="majorHAnsi" w:cstheme="majorHAnsi"/>
                <w:i/>
                <w:color w:val="000000"/>
                <w:sz w:val="18"/>
                <w:szCs w:val="18"/>
              </w:rPr>
              <w:t>Government share</w:t>
            </w:r>
          </w:p>
        </w:tc>
      </w:tr>
      <w:tr w:rsidR="0064566A" w:rsidRPr="0064566A" w14:paraId="3D0235A2" w14:textId="77777777" w:rsidTr="00121E3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660" w:type="dxa"/>
            <w:tcBorders>
              <w:bottom w:val="nil"/>
            </w:tcBorders>
            <w:hideMark/>
          </w:tcPr>
          <w:p w14:paraId="53E928B3" w14:textId="77777777" w:rsidR="0064566A" w:rsidRPr="0064566A" w:rsidRDefault="0064566A" w:rsidP="0064566A">
            <w:pPr>
              <w:jc w:val="left"/>
              <w:rPr>
                <w:rFonts w:asciiTheme="majorHAnsi" w:eastAsia="Times New Roman" w:hAnsiTheme="majorHAnsi" w:cstheme="majorHAnsi"/>
                <w:b w:val="0"/>
                <w:color w:val="000000"/>
                <w:sz w:val="18"/>
                <w:szCs w:val="18"/>
              </w:rPr>
            </w:pPr>
            <w:r w:rsidRPr="0064566A">
              <w:rPr>
                <w:rFonts w:asciiTheme="majorHAnsi" w:eastAsia="Times New Roman" w:hAnsiTheme="majorHAnsi" w:cstheme="majorHAnsi"/>
                <w:b w:val="0"/>
                <w:color w:val="000000"/>
                <w:sz w:val="18"/>
                <w:szCs w:val="18"/>
              </w:rPr>
              <w:t>Every prescribed employee in the Sugar Industry</w:t>
            </w:r>
          </w:p>
        </w:tc>
        <w:tc>
          <w:tcPr>
            <w:tcW w:w="1280" w:type="dxa"/>
            <w:tcBorders>
              <w:bottom w:val="nil"/>
            </w:tcBorders>
            <w:hideMark/>
          </w:tcPr>
          <w:p w14:paraId="32CB4D25"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3%</w:t>
            </w:r>
          </w:p>
        </w:tc>
        <w:tc>
          <w:tcPr>
            <w:tcW w:w="1280" w:type="dxa"/>
            <w:tcBorders>
              <w:bottom w:val="nil"/>
            </w:tcBorders>
            <w:hideMark/>
          </w:tcPr>
          <w:p w14:paraId="3C5B506B" w14:textId="2C76412F"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10.5%</w:t>
            </w:r>
          </w:p>
        </w:tc>
        <w:tc>
          <w:tcPr>
            <w:tcW w:w="1280" w:type="dxa"/>
            <w:tcBorders>
              <w:bottom w:val="nil"/>
            </w:tcBorders>
            <w:hideMark/>
          </w:tcPr>
          <w:p w14:paraId="1628F9C2"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r>
      <w:tr w:rsidR="0064566A" w:rsidRPr="0064566A" w14:paraId="6D332A89" w14:textId="77777777" w:rsidTr="00121E3A">
        <w:trPr>
          <w:trHeight w:val="450"/>
        </w:trPr>
        <w:tc>
          <w:tcPr>
            <w:cnfStyle w:val="001000000000" w:firstRow="0" w:lastRow="0" w:firstColumn="1" w:lastColumn="0" w:oddVBand="0" w:evenVBand="0" w:oddHBand="0" w:evenHBand="0" w:firstRowFirstColumn="0" w:firstRowLastColumn="0" w:lastRowFirstColumn="0" w:lastRowLastColumn="0"/>
            <w:tcW w:w="5660" w:type="dxa"/>
            <w:tcBorders>
              <w:top w:val="nil"/>
              <w:bottom w:val="nil"/>
            </w:tcBorders>
            <w:hideMark/>
          </w:tcPr>
          <w:p w14:paraId="18D05D7F" w14:textId="77777777" w:rsidR="0064566A" w:rsidRPr="0064566A" w:rsidRDefault="0064566A" w:rsidP="0064566A">
            <w:pPr>
              <w:jc w:val="left"/>
              <w:rPr>
                <w:rFonts w:asciiTheme="majorHAnsi" w:eastAsia="Times New Roman" w:hAnsiTheme="majorHAnsi" w:cstheme="majorHAnsi"/>
                <w:b w:val="0"/>
                <w:color w:val="000000"/>
                <w:sz w:val="18"/>
                <w:szCs w:val="18"/>
              </w:rPr>
            </w:pPr>
            <w:r w:rsidRPr="0064566A">
              <w:rPr>
                <w:rFonts w:asciiTheme="majorHAnsi" w:eastAsia="Times New Roman" w:hAnsiTheme="majorHAnsi" w:cstheme="majorHAnsi"/>
                <w:b w:val="0"/>
                <w:color w:val="000000"/>
                <w:sz w:val="18"/>
                <w:szCs w:val="18"/>
              </w:rPr>
              <w:t>Every other prescribed employee (higher rate)</w:t>
            </w:r>
          </w:p>
        </w:tc>
        <w:tc>
          <w:tcPr>
            <w:tcW w:w="1280" w:type="dxa"/>
            <w:tcBorders>
              <w:top w:val="nil"/>
              <w:bottom w:val="nil"/>
            </w:tcBorders>
            <w:hideMark/>
          </w:tcPr>
          <w:p w14:paraId="0C9F9C38" w14:textId="77777777"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5%</w:t>
            </w:r>
          </w:p>
        </w:tc>
        <w:tc>
          <w:tcPr>
            <w:tcW w:w="1280" w:type="dxa"/>
            <w:tcBorders>
              <w:top w:val="nil"/>
              <w:bottom w:val="nil"/>
            </w:tcBorders>
            <w:hideMark/>
          </w:tcPr>
          <w:p w14:paraId="6238C3F8" w14:textId="4FAF60B8"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8.5%</w:t>
            </w:r>
          </w:p>
        </w:tc>
        <w:tc>
          <w:tcPr>
            <w:tcW w:w="1280" w:type="dxa"/>
            <w:tcBorders>
              <w:top w:val="nil"/>
              <w:bottom w:val="nil"/>
            </w:tcBorders>
            <w:hideMark/>
          </w:tcPr>
          <w:p w14:paraId="36C2E0B4" w14:textId="77777777"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r>
      <w:tr w:rsidR="0064566A" w:rsidRPr="0064566A" w14:paraId="14BE05F6" w14:textId="77777777" w:rsidTr="0064566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5660" w:type="dxa"/>
            <w:tcBorders>
              <w:top w:val="nil"/>
              <w:bottom w:val="nil"/>
            </w:tcBorders>
            <w:hideMark/>
          </w:tcPr>
          <w:p w14:paraId="5EF3BF1B" w14:textId="19C15256" w:rsidR="0064566A" w:rsidRPr="0064566A" w:rsidRDefault="0064566A" w:rsidP="0064566A">
            <w:pPr>
              <w:jc w:val="left"/>
              <w:rPr>
                <w:rFonts w:asciiTheme="majorHAnsi" w:eastAsia="Times New Roman" w:hAnsiTheme="majorHAnsi" w:cstheme="majorHAnsi"/>
                <w:b w:val="0"/>
                <w:color w:val="000000"/>
                <w:sz w:val="18"/>
                <w:szCs w:val="18"/>
              </w:rPr>
            </w:pPr>
            <w:r w:rsidRPr="0064566A">
              <w:rPr>
                <w:rFonts w:asciiTheme="majorHAnsi" w:eastAsia="Times New Roman" w:hAnsiTheme="majorHAnsi" w:cstheme="majorHAnsi"/>
                <w:b w:val="0"/>
                <w:color w:val="000000"/>
                <w:sz w:val="18"/>
                <w:szCs w:val="18"/>
              </w:rPr>
              <w:t xml:space="preserve">An employee in domestic service or an agricultural worker whose remuneration from all his employers does not exceed </w:t>
            </w:r>
            <w:r w:rsidR="00C11058">
              <w:rPr>
                <w:rFonts w:asciiTheme="majorHAnsi" w:eastAsia="Times New Roman" w:hAnsiTheme="majorHAnsi" w:cstheme="majorHAnsi"/>
                <w:b w:val="0"/>
                <w:color w:val="000000"/>
                <w:sz w:val="18"/>
                <w:szCs w:val="18"/>
              </w:rPr>
              <w:t>MUR</w:t>
            </w:r>
            <w:r w:rsidRPr="0064566A">
              <w:rPr>
                <w:rFonts w:asciiTheme="majorHAnsi" w:eastAsia="Times New Roman" w:hAnsiTheme="majorHAnsi" w:cstheme="majorHAnsi"/>
                <w:b w:val="0"/>
                <w:color w:val="000000"/>
                <w:sz w:val="18"/>
                <w:szCs w:val="18"/>
              </w:rPr>
              <w:t xml:space="preserve"> 3,000, is not required to pay the employee share of contribution which will be paid by the government.</w:t>
            </w:r>
          </w:p>
        </w:tc>
        <w:tc>
          <w:tcPr>
            <w:tcW w:w="1280" w:type="dxa"/>
            <w:tcBorders>
              <w:top w:val="nil"/>
              <w:bottom w:val="nil"/>
            </w:tcBorders>
            <w:hideMark/>
          </w:tcPr>
          <w:p w14:paraId="47F75A08"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c>
          <w:tcPr>
            <w:tcW w:w="1280" w:type="dxa"/>
            <w:tcBorders>
              <w:top w:val="nil"/>
              <w:bottom w:val="nil"/>
            </w:tcBorders>
            <w:hideMark/>
          </w:tcPr>
          <w:p w14:paraId="7745BBF8"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6%</w:t>
            </w:r>
          </w:p>
        </w:tc>
        <w:tc>
          <w:tcPr>
            <w:tcW w:w="1280" w:type="dxa"/>
            <w:tcBorders>
              <w:top w:val="nil"/>
              <w:bottom w:val="nil"/>
            </w:tcBorders>
            <w:hideMark/>
          </w:tcPr>
          <w:p w14:paraId="49491BD8"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3%</w:t>
            </w:r>
          </w:p>
        </w:tc>
      </w:tr>
      <w:tr w:rsidR="0064566A" w:rsidRPr="0064566A" w14:paraId="0E2808D4" w14:textId="77777777" w:rsidTr="00932BC5">
        <w:trPr>
          <w:trHeight w:val="549"/>
        </w:trPr>
        <w:tc>
          <w:tcPr>
            <w:cnfStyle w:val="001000000000" w:firstRow="0" w:lastRow="0" w:firstColumn="1" w:lastColumn="0" w:oddVBand="0" w:evenVBand="0" w:oddHBand="0" w:evenHBand="0" w:firstRowFirstColumn="0" w:firstRowLastColumn="0" w:lastRowFirstColumn="0" w:lastRowLastColumn="0"/>
            <w:tcW w:w="5660" w:type="dxa"/>
            <w:tcBorders>
              <w:top w:val="nil"/>
              <w:bottom w:val="nil"/>
            </w:tcBorders>
            <w:hideMark/>
          </w:tcPr>
          <w:p w14:paraId="58F775B3" w14:textId="77777777" w:rsidR="0064566A" w:rsidRPr="0064566A" w:rsidRDefault="0064566A" w:rsidP="0064566A">
            <w:pPr>
              <w:jc w:val="left"/>
              <w:rPr>
                <w:rFonts w:asciiTheme="majorHAnsi" w:eastAsia="Times New Roman" w:hAnsiTheme="majorHAnsi" w:cstheme="majorHAnsi"/>
                <w:b w:val="0"/>
                <w:color w:val="000000"/>
                <w:sz w:val="18"/>
                <w:szCs w:val="18"/>
              </w:rPr>
            </w:pPr>
            <w:r w:rsidRPr="0064566A">
              <w:rPr>
                <w:rFonts w:asciiTheme="majorHAnsi" w:eastAsia="Times New Roman" w:hAnsiTheme="majorHAnsi" w:cstheme="majorHAnsi"/>
                <w:b w:val="0"/>
                <w:color w:val="000000"/>
                <w:sz w:val="18"/>
                <w:szCs w:val="18"/>
              </w:rPr>
              <w:t>Every other employee other than a public officer or an employee entitled to pension under pension law</w:t>
            </w:r>
          </w:p>
        </w:tc>
        <w:tc>
          <w:tcPr>
            <w:tcW w:w="1280" w:type="dxa"/>
            <w:tcBorders>
              <w:top w:val="nil"/>
              <w:bottom w:val="nil"/>
            </w:tcBorders>
            <w:hideMark/>
          </w:tcPr>
          <w:p w14:paraId="286B2ADF" w14:textId="77777777"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3%</w:t>
            </w:r>
          </w:p>
        </w:tc>
        <w:tc>
          <w:tcPr>
            <w:tcW w:w="1280" w:type="dxa"/>
            <w:tcBorders>
              <w:top w:val="nil"/>
              <w:bottom w:val="nil"/>
            </w:tcBorders>
            <w:hideMark/>
          </w:tcPr>
          <w:p w14:paraId="3258747F" w14:textId="77777777"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6%</w:t>
            </w:r>
          </w:p>
        </w:tc>
        <w:tc>
          <w:tcPr>
            <w:tcW w:w="1280" w:type="dxa"/>
            <w:tcBorders>
              <w:top w:val="nil"/>
              <w:bottom w:val="nil"/>
            </w:tcBorders>
            <w:hideMark/>
          </w:tcPr>
          <w:p w14:paraId="0679EA8E" w14:textId="77777777" w:rsidR="0064566A" w:rsidRPr="0064566A" w:rsidRDefault="0064566A" w:rsidP="006456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r>
      <w:tr w:rsidR="0064566A" w:rsidRPr="0064566A" w14:paraId="4DD00521" w14:textId="77777777" w:rsidTr="00932BC5">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660" w:type="dxa"/>
            <w:tcBorders>
              <w:top w:val="nil"/>
              <w:bottom w:val="single" w:sz="4" w:space="0" w:color="auto"/>
            </w:tcBorders>
            <w:hideMark/>
          </w:tcPr>
          <w:p w14:paraId="30E76C2E" w14:textId="44CEFE8A" w:rsidR="0064566A" w:rsidRPr="0064566A" w:rsidRDefault="0064566A" w:rsidP="0064566A">
            <w:pPr>
              <w:jc w:val="left"/>
              <w:rPr>
                <w:rFonts w:asciiTheme="majorHAnsi" w:eastAsia="Times New Roman" w:hAnsiTheme="majorHAnsi" w:cstheme="majorHAnsi"/>
                <w:b w:val="0"/>
                <w:color w:val="000000"/>
                <w:sz w:val="18"/>
                <w:szCs w:val="18"/>
              </w:rPr>
            </w:pPr>
            <w:r w:rsidRPr="0064566A">
              <w:rPr>
                <w:rFonts w:asciiTheme="majorHAnsi" w:eastAsia="Times New Roman" w:hAnsiTheme="majorHAnsi" w:cstheme="majorHAnsi"/>
                <w:b w:val="0"/>
                <w:color w:val="000000"/>
                <w:sz w:val="18"/>
                <w:szCs w:val="18"/>
              </w:rPr>
              <w:t>Every self-employed or n</w:t>
            </w:r>
            <w:r w:rsidR="004C6E0D">
              <w:rPr>
                <w:rFonts w:asciiTheme="majorHAnsi" w:eastAsia="Times New Roman" w:hAnsiTheme="majorHAnsi" w:cstheme="majorHAnsi"/>
                <w:b w:val="0"/>
                <w:color w:val="000000"/>
                <w:sz w:val="18"/>
                <w:szCs w:val="18"/>
              </w:rPr>
              <w:t>on</w:t>
            </w:r>
            <w:r w:rsidRPr="0064566A">
              <w:rPr>
                <w:rFonts w:asciiTheme="majorHAnsi" w:eastAsia="Times New Roman" w:hAnsiTheme="majorHAnsi" w:cstheme="majorHAnsi"/>
                <w:b w:val="0"/>
                <w:color w:val="000000"/>
                <w:sz w:val="18"/>
                <w:szCs w:val="18"/>
              </w:rPr>
              <w:t xml:space="preserve">employed or prescribed person approved by Minister may contribute in multiples of </w:t>
            </w:r>
            <w:r w:rsidR="00C11058">
              <w:rPr>
                <w:rFonts w:asciiTheme="majorHAnsi" w:eastAsia="Times New Roman" w:hAnsiTheme="majorHAnsi" w:cstheme="majorHAnsi"/>
                <w:b w:val="0"/>
                <w:color w:val="000000"/>
                <w:sz w:val="18"/>
                <w:szCs w:val="18"/>
              </w:rPr>
              <w:t>MUR</w:t>
            </w:r>
            <w:r w:rsidRPr="0064566A">
              <w:rPr>
                <w:rFonts w:asciiTheme="majorHAnsi" w:eastAsia="Times New Roman" w:hAnsiTheme="majorHAnsi" w:cstheme="majorHAnsi"/>
                <w:b w:val="0"/>
                <w:color w:val="000000"/>
                <w:sz w:val="18"/>
                <w:szCs w:val="18"/>
              </w:rPr>
              <w:t xml:space="preserve"> 5 not below </w:t>
            </w:r>
            <w:r w:rsidR="00C11058">
              <w:rPr>
                <w:rFonts w:asciiTheme="majorHAnsi" w:eastAsia="Times New Roman" w:hAnsiTheme="majorHAnsi" w:cstheme="majorHAnsi"/>
                <w:b w:val="0"/>
                <w:color w:val="000000"/>
                <w:sz w:val="18"/>
                <w:szCs w:val="18"/>
              </w:rPr>
              <w:t>MUR</w:t>
            </w:r>
            <w:r w:rsidRPr="0064566A">
              <w:rPr>
                <w:rFonts w:asciiTheme="majorHAnsi" w:eastAsia="Times New Roman" w:hAnsiTheme="majorHAnsi" w:cstheme="majorHAnsi"/>
                <w:b w:val="0"/>
                <w:color w:val="000000"/>
                <w:sz w:val="18"/>
                <w:szCs w:val="18"/>
              </w:rPr>
              <w:t xml:space="preserve"> 170 and not exceeding </w:t>
            </w:r>
            <w:r w:rsidR="00C11058">
              <w:rPr>
                <w:rFonts w:asciiTheme="majorHAnsi" w:eastAsia="Times New Roman" w:hAnsiTheme="majorHAnsi" w:cstheme="majorHAnsi"/>
                <w:b w:val="0"/>
                <w:color w:val="000000"/>
                <w:sz w:val="18"/>
                <w:szCs w:val="18"/>
              </w:rPr>
              <w:t>MUR</w:t>
            </w:r>
            <w:r w:rsidRPr="0064566A">
              <w:rPr>
                <w:rFonts w:asciiTheme="majorHAnsi" w:eastAsia="Times New Roman" w:hAnsiTheme="majorHAnsi" w:cstheme="majorHAnsi"/>
                <w:b w:val="0"/>
                <w:color w:val="000000"/>
                <w:sz w:val="18"/>
                <w:szCs w:val="18"/>
              </w:rPr>
              <w:t xml:space="preserve"> 990 for a month</w:t>
            </w:r>
          </w:p>
        </w:tc>
        <w:tc>
          <w:tcPr>
            <w:tcW w:w="1280" w:type="dxa"/>
            <w:tcBorders>
              <w:top w:val="nil"/>
              <w:bottom w:val="single" w:sz="4" w:space="0" w:color="auto"/>
            </w:tcBorders>
            <w:hideMark/>
          </w:tcPr>
          <w:p w14:paraId="392DFF45"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c>
          <w:tcPr>
            <w:tcW w:w="1280" w:type="dxa"/>
            <w:tcBorders>
              <w:top w:val="nil"/>
              <w:bottom w:val="single" w:sz="4" w:space="0" w:color="auto"/>
            </w:tcBorders>
            <w:hideMark/>
          </w:tcPr>
          <w:p w14:paraId="34A6DCBF"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c>
          <w:tcPr>
            <w:tcW w:w="1280" w:type="dxa"/>
            <w:tcBorders>
              <w:top w:val="nil"/>
              <w:bottom w:val="single" w:sz="4" w:space="0" w:color="auto"/>
            </w:tcBorders>
            <w:hideMark/>
          </w:tcPr>
          <w:p w14:paraId="006F6DB2" w14:textId="77777777" w:rsidR="0064566A" w:rsidRPr="0064566A" w:rsidRDefault="0064566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64566A">
              <w:rPr>
                <w:rFonts w:asciiTheme="majorHAnsi" w:eastAsia="Times New Roman" w:hAnsiTheme="majorHAnsi" w:cstheme="majorHAnsi"/>
                <w:color w:val="000000"/>
                <w:sz w:val="18"/>
                <w:szCs w:val="18"/>
              </w:rPr>
              <w:t>-</w:t>
            </w:r>
          </w:p>
        </w:tc>
      </w:tr>
      <w:tr w:rsidR="00932BC5" w:rsidRPr="00240006" w14:paraId="6E8229D1" w14:textId="77777777" w:rsidTr="00932BC5">
        <w:trPr>
          <w:trHeight w:val="495"/>
        </w:trPr>
        <w:tc>
          <w:tcPr>
            <w:cnfStyle w:val="001000000000" w:firstRow="0" w:lastRow="0" w:firstColumn="1" w:lastColumn="0" w:oddVBand="0" w:evenVBand="0" w:oddHBand="0" w:evenHBand="0" w:firstRowFirstColumn="0" w:firstRowLastColumn="0" w:lastRowFirstColumn="0" w:lastRowLastColumn="0"/>
            <w:tcW w:w="5660" w:type="dxa"/>
            <w:tcBorders>
              <w:top w:val="nil"/>
              <w:bottom w:val="single" w:sz="4" w:space="0" w:color="auto"/>
            </w:tcBorders>
          </w:tcPr>
          <w:p w14:paraId="4ED9DAC2" w14:textId="5407CE58" w:rsidR="00932BC5" w:rsidRPr="00240006" w:rsidRDefault="00D256CF" w:rsidP="00AE7E4B">
            <w:pPr>
              <w:jc w:val="left"/>
              <w:rPr>
                <w:rFonts w:asciiTheme="majorHAnsi" w:eastAsia="Times New Roman" w:hAnsiTheme="majorHAnsi" w:cstheme="majorHAnsi"/>
                <w:b w:val="0"/>
                <w:color w:val="000000"/>
                <w:sz w:val="18"/>
                <w:szCs w:val="18"/>
              </w:rPr>
            </w:pPr>
            <w:r>
              <w:rPr>
                <w:rFonts w:asciiTheme="majorHAnsi" w:eastAsia="Times New Roman" w:hAnsiTheme="majorHAnsi" w:cstheme="majorHAnsi"/>
                <w:b w:val="0"/>
                <w:color w:val="000000"/>
                <w:sz w:val="18"/>
                <w:szCs w:val="18"/>
              </w:rPr>
              <w:t>National Savings Fund</w:t>
            </w:r>
          </w:p>
        </w:tc>
        <w:tc>
          <w:tcPr>
            <w:tcW w:w="1280" w:type="dxa"/>
            <w:tcBorders>
              <w:top w:val="nil"/>
              <w:bottom w:val="single" w:sz="4" w:space="0" w:color="auto"/>
            </w:tcBorders>
          </w:tcPr>
          <w:p w14:paraId="16AA2F8D" w14:textId="77777777" w:rsidR="00932BC5" w:rsidRPr="00240006" w:rsidRDefault="00932BC5"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w:t>
            </w:r>
          </w:p>
        </w:tc>
        <w:tc>
          <w:tcPr>
            <w:tcW w:w="1280" w:type="dxa"/>
            <w:tcBorders>
              <w:top w:val="nil"/>
              <w:bottom w:val="single" w:sz="4" w:space="0" w:color="auto"/>
            </w:tcBorders>
          </w:tcPr>
          <w:p w14:paraId="19EEFD5B" w14:textId="77777777" w:rsidR="00932BC5" w:rsidRPr="00240006" w:rsidRDefault="00932BC5"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2.5%</w:t>
            </w:r>
          </w:p>
        </w:tc>
        <w:tc>
          <w:tcPr>
            <w:tcW w:w="1280" w:type="dxa"/>
            <w:tcBorders>
              <w:top w:val="nil"/>
              <w:bottom w:val="single" w:sz="4" w:space="0" w:color="auto"/>
            </w:tcBorders>
          </w:tcPr>
          <w:p w14:paraId="007A4A54" w14:textId="77777777" w:rsidR="00932BC5" w:rsidRPr="00240006" w:rsidRDefault="00932BC5" w:rsidP="00AE7E4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p>
        </w:tc>
      </w:tr>
      <w:tr w:rsidR="0017374A" w:rsidRPr="00240006" w14:paraId="0FBAA037" w14:textId="77777777" w:rsidTr="00932BC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60" w:type="dxa"/>
            <w:tcBorders>
              <w:top w:val="single" w:sz="4" w:space="0" w:color="auto"/>
              <w:bottom w:val="single" w:sz="4" w:space="0" w:color="auto"/>
            </w:tcBorders>
          </w:tcPr>
          <w:p w14:paraId="55428F53" w14:textId="34965F2B" w:rsidR="0017374A" w:rsidRPr="00240006" w:rsidRDefault="00240006" w:rsidP="0064566A">
            <w:pPr>
              <w:jc w:val="left"/>
              <w:rPr>
                <w:rFonts w:asciiTheme="majorHAnsi" w:eastAsia="Times New Roman" w:hAnsiTheme="majorHAnsi" w:cstheme="majorHAnsi"/>
                <w:b w:val="0"/>
                <w:color w:val="000000"/>
                <w:sz w:val="18"/>
                <w:szCs w:val="18"/>
              </w:rPr>
            </w:pPr>
            <w:r w:rsidRPr="00240006">
              <w:rPr>
                <w:rFonts w:asciiTheme="majorHAnsi" w:eastAsia="Times New Roman" w:hAnsiTheme="majorHAnsi" w:cstheme="majorHAnsi"/>
                <w:b w:val="0"/>
                <w:color w:val="000000"/>
                <w:sz w:val="18"/>
                <w:szCs w:val="18"/>
              </w:rPr>
              <w:t>Training</w:t>
            </w:r>
            <w:r w:rsidR="0017374A" w:rsidRPr="00240006">
              <w:rPr>
                <w:rFonts w:asciiTheme="majorHAnsi" w:eastAsia="Times New Roman" w:hAnsiTheme="majorHAnsi" w:cstheme="majorHAnsi"/>
                <w:b w:val="0"/>
                <w:color w:val="000000"/>
                <w:sz w:val="18"/>
                <w:szCs w:val="18"/>
              </w:rPr>
              <w:t xml:space="preserve"> Levy</w:t>
            </w:r>
            <w:r w:rsidR="005E5718">
              <w:rPr>
                <w:rFonts w:asciiTheme="majorHAnsi" w:eastAsia="Times New Roman" w:hAnsiTheme="majorHAnsi" w:cstheme="majorHAnsi"/>
                <w:b w:val="0"/>
                <w:color w:val="000000"/>
                <w:sz w:val="18"/>
                <w:szCs w:val="18"/>
              </w:rPr>
              <w:t xml:space="preserve"> (except for household worker)</w:t>
            </w:r>
          </w:p>
        </w:tc>
        <w:tc>
          <w:tcPr>
            <w:tcW w:w="1280" w:type="dxa"/>
            <w:tcBorders>
              <w:top w:val="single" w:sz="4" w:space="0" w:color="auto"/>
              <w:bottom w:val="single" w:sz="4" w:space="0" w:color="auto"/>
            </w:tcBorders>
          </w:tcPr>
          <w:p w14:paraId="75815018" w14:textId="4841DE9E" w:rsidR="0017374A" w:rsidRPr="00240006" w:rsidRDefault="0017374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c>
          <w:tcPr>
            <w:tcW w:w="1280" w:type="dxa"/>
            <w:tcBorders>
              <w:top w:val="single" w:sz="4" w:space="0" w:color="auto"/>
              <w:bottom w:val="single" w:sz="4" w:space="0" w:color="auto"/>
            </w:tcBorders>
          </w:tcPr>
          <w:p w14:paraId="7CEAACF7" w14:textId="705A3AAD" w:rsidR="0017374A" w:rsidRPr="00240006" w:rsidRDefault="005E5718"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w:t>
            </w:r>
            <w:r w:rsidR="00240006">
              <w:rPr>
                <w:rFonts w:asciiTheme="majorHAnsi" w:eastAsia="Times New Roman" w:hAnsiTheme="majorHAnsi" w:cstheme="majorHAnsi"/>
                <w:color w:val="000000"/>
                <w:sz w:val="18"/>
                <w:szCs w:val="18"/>
              </w:rPr>
              <w:t>%</w:t>
            </w:r>
          </w:p>
        </w:tc>
        <w:tc>
          <w:tcPr>
            <w:tcW w:w="1280" w:type="dxa"/>
            <w:tcBorders>
              <w:top w:val="single" w:sz="4" w:space="0" w:color="auto"/>
              <w:bottom w:val="single" w:sz="4" w:space="0" w:color="auto"/>
            </w:tcBorders>
          </w:tcPr>
          <w:p w14:paraId="51FA707F" w14:textId="77777777" w:rsidR="0017374A" w:rsidRPr="00240006" w:rsidRDefault="0017374A" w:rsidP="006456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p>
        </w:tc>
      </w:tr>
    </w:tbl>
    <w:p w14:paraId="3011E030" w14:textId="616750AB" w:rsidR="0064566A" w:rsidRDefault="004F4F65" w:rsidP="00AF23DE">
      <w:pPr>
        <w:autoSpaceDE w:val="0"/>
        <w:autoSpaceDN w:val="0"/>
        <w:adjustRightInd w:val="0"/>
        <w:spacing w:after="0" w:line="240" w:lineRule="auto"/>
        <w:rPr>
          <w:rFonts w:asciiTheme="majorHAnsi" w:eastAsia="Times New Roman" w:hAnsiTheme="majorHAnsi" w:cstheme="majorHAnsi"/>
          <w:sz w:val="18"/>
          <w:szCs w:val="18"/>
        </w:rPr>
      </w:pPr>
      <w:r w:rsidRPr="004F4F65">
        <w:rPr>
          <w:rFonts w:asciiTheme="majorHAnsi" w:eastAsia="Times New Roman" w:hAnsiTheme="majorHAnsi" w:cstheme="majorHAnsi"/>
          <w:i/>
          <w:sz w:val="18"/>
          <w:szCs w:val="18"/>
        </w:rPr>
        <w:t>Source</w:t>
      </w:r>
      <w:r w:rsidRPr="004F4F65">
        <w:rPr>
          <w:rFonts w:asciiTheme="majorHAnsi" w:eastAsia="Times New Roman" w:hAnsiTheme="majorHAnsi" w:cstheme="majorHAnsi"/>
          <w:sz w:val="18"/>
          <w:szCs w:val="18"/>
        </w:rPr>
        <w:t>: Mauritius Revenue Authority.</w:t>
      </w:r>
    </w:p>
    <w:p w14:paraId="781E0E60" w14:textId="341A787B" w:rsidR="002E6764" w:rsidRDefault="002E6764" w:rsidP="00AF23DE">
      <w:pPr>
        <w:autoSpaceDE w:val="0"/>
        <w:autoSpaceDN w:val="0"/>
        <w:adjustRightInd w:val="0"/>
        <w:spacing w:after="0" w:line="240" w:lineRule="auto"/>
        <w:rPr>
          <w:rFonts w:cs="Times New Roman"/>
          <w:szCs w:val="22"/>
        </w:rPr>
      </w:pPr>
    </w:p>
    <w:p w14:paraId="768CC70B" w14:textId="4A83FA7B" w:rsidR="002E6764" w:rsidRPr="00121E3A" w:rsidRDefault="000212CA" w:rsidP="00121E3A">
      <w:pPr>
        <w:pStyle w:val="Caption"/>
        <w:rPr>
          <w:color w:val="auto"/>
          <w:sz w:val="18"/>
          <w:szCs w:val="18"/>
        </w:rPr>
      </w:pPr>
      <w:bookmarkStart w:id="173" w:name="_Toc11256366"/>
      <w:bookmarkStart w:id="174" w:name="_Toc11256429"/>
      <w:bookmarkStart w:id="175" w:name="_Toc11256506"/>
      <w:r w:rsidRPr="000212CA">
        <w:rPr>
          <w:color w:val="auto"/>
          <w:sz w:val="18"/>
          <w:szCs w:val="18"/>
        </w:rPr>
        <w:t xml:space="preserve">Table B </w:t>
      </w:r>
      <w:r w:rsidRPr="000212CA">
        <w:rPr>
          <w:color w:val="auto"/>
          <w:sz w:val="18"/>
          <w:szCs w:val="18"/>
        </w:rPr>
        <w:fldChar w:fldCharType="begin"/>
      </w:r>
      <w:r w:rsidRPr="000212CA">
        <w:rPr>
          <w:color w:val="auto"/>
          <w:sz w:val="18"/>
          <w:szCs w:val="18"/>
        </w:rPr>
        <w:instrText xml:space="preserve"> SEQ Table_B \* ARABIC </w:instrText>
      </w:r>
      <w:r w:rsidRPr="000212CA">
        <w:rPr>
          <w:color w:val="auto"/>
          <w:sz w:val="18"/>
          <w:szCs w:val="18"/>
        </w:rPr>
        <w:fldChar w:fldCharType="separate"/>
      </w:r>
      <w:r w:rsidR="006E1D22">
        <w:rPr>
          <w:noProof/>
          <w:color w:val="auto"/>
          <w:sz w:val="18"/>
          <w:szCs w:val="18"/>
        </w:rPr>
        <w:t>4</w:t>
      </w:r>
      <w:r w:rsidRPr="000212CA">
        <w:rPr>
          <w:color w:val="auto"/>
          <w:sz w:val="18"/>
          <w:szCs w:val="18"/>
        </w:rPr>
        <w:fldChar w:fldCharType="end"/>
      </w:r>
      <w:r w:rsidR="000C54BC">
        <w:rPr>
          <w:color w:val="auto"/>
          <w:sz w:val="18"/>
          <w:szCs w:val="18"/>
        </w:rPr>
        <w:t xml:space="preserve">. Insurable salary </w:t>
      </w:r>
      <w:r w:rsidR="00962BE2">
        <w:rPr>
          <w:color w:val="auto"/>
          <w:sz w:val="18"/>
          <w:szCs w:val="18"/>
        </w:rPr>
        <w:t>thresholds (</w:t>
      </w:r>
      <w:r w:rsidR="00C11058">
        <w:rPr>
          <w:color w:val="auto"/>
          <w:sz w:val="18"/>
          <w:szCs w:val="18"/>
        </w:rPr>
        <w:t>MUR</w:t>
      </w:r>
      <w:r w:rsidR="00962BE2">
        <w:rPr>
          <w:color w:val="auto"/>
          <w:sz w:val="18"/>
          <w:szCs w:val="18"/>
        </w:rPr>
        <w:t>)</w:t>
      </w:r>
      <w:bookmarkEnd w:id="173"/>
      <w:bookmarkEnd w:id="174"/>
      <w:bookmarkEnd w:id="175"/>
    </w:p>
    <w:tbl>
      <w:tblPr>
        <w:tblStyle w:val="PlainTable2"/>
        <w:tblW w:w="6710" w:type="dxa"/>
        <w:tblLook w:val="04A0" w:firstRow="1" w:lastRow="0" w:firstColumn="1" w:lastColumn="0" w:noHBand="0" w:noVBand="1"/>
      </w:tblPr>
      <w:tblGrid>
        <w:gridCol w:w="2870"/>
        <w:gridCol w:w="1280"/>
        <w:gridCol w:w="1280"/>
        <w:gridCol w:w="1280"/>
      </w:tblGrid>
      <w:tr w:rsidR="002E6764" w:rsidRPr="002E6764" w14:paraId="200C6443" w14:textId="77777777" w:rsidTr="00121E3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870" w:type="dxa"/>
            <w:vMerge w:val="restart"/>
            <w:hideMark/>
          </w:tcPr>
          <w:p w14:paraId="4AC97ED6" w14:textId="77777777" w:rsidR="002E6764" w:rsidRPr="002E6764" w:rsidRDefault="002E6764" w:rsidP="002E6764">
            <w:pPr>
              <w:jc w:val="center"/>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 Pay period</w:t>
            </w:r>
          </w:p>
        </w:tc>
        <w:tc>
          <w:tcPr>
            <w:tcW w:w="3840" w:type="dxa"/>
            <w:gridSpan w:val="3"/>
            <w:hideMark/>
          </w:tcPr>
          <w:p w14:paraId="2F13A778" w14:textId="77777777" w:rsidR="002E6764" w:rsidRPr="002E6764" w:rsidRDefault="002E6764" w:rsidP="002E676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INSURABLE SALARY </w:t>
            </w:r>
            <w:r w:rsidRPr="002E6764">
              <w:rPr>
                <w:rFonts w:asciiTheme="majorHAnsi" w:eastAsia="Times New Roman" w:hAnsiTheme="majorHAnsi" w:cstheme="majorHAnsi"/>
                <w:i/>
                <w:iCs/>
                <w:color w:val="000000"/>
                <w:sz w:val="18"/>
                <w:szCs w:val="18"/>
              </w:rPr>
              <w:t>(Effective as from 01 July 2018)</w:t>
            </w:r>
          </w:p>
        </w:tc>
      </w:tr>
      <w:tr w:rsidR="002E6764" w:rsidRPr="002E6764" w14:paraId="43597F94" w14:textId="77777777" w:rsidTr="00121E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70" w:type="dxa"/>
            <w:vMerge/>
            <w:hideMark/>
          </w:tcPr>
          <w:p w14:paraId="166F24A0" w14:textId="77777777" w:rsidR="002E6764" w:rsidRPr="002E6764" w:rsidRDefault="002E6764" w:rsidP="002E6764">
            <w:pPr>
              <w:jc w:val="left"/>
              <w:rPr>
                <w:rFonts w:asciiTheme="majorHAnsi" w:eastAsia="Times New Roman" w:hAnsiTheme="majorHAnsi" w:cstheme="majorHAnsi"/>
                <w:color w:val="000000"/>
                <w:sz w:val="18"/>
                <w:szCs w:val="18"/>
              </w:rPr>
            </w:pPr>
          </w:p>
        </w:tc>
        <w:tc>
          <w:tcPr>
            <w:tcW w:w="2560" w:type="dxa"/>
            <w:gridSpan w:val="2"/>
            <w:hideMark/>
          </w:tcPr>
          <w:p w14:paraId="40DCD023"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rPr>
            </w:pPr>
            <w:r w:rsidRPr="002E6764">
              <w:rPr>
                <w:rFonts w:asciiTheme="majorHAnsi" w:eastAsia="Times New Roman" w:hAnsiTheme="majorHAnsi" w:cstheme="majorHAnsi"/>
                <w:b/>
                <w:bCs/>
                <w:color w:val="000000"/>
                <w:sz w:val="18"/>
                <w:szCs w:val="18"/>
              </w:rPr>
              <w:t>MINIMUM WAGE</w:t>
            </w:r>
          </w:p>
        </w:tc>
        <w:tc>
          <w:tcPr>
            <w:tcW w:w="1280" w:type="dxa"/>
            <w:vMerge w:val="restart"/>
            <w:hideMark/>
          </w:tcPr>
          <w:p w14:paraId="7229A986"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18"/>
                <w:szCs w:val="18"/>
              </w:rPr>
            </w:pPr>
            <w:r w:rsidRPr="002E6764">
              <w:rPr>
                <w:rFonts w:asciiTheme="majorHAnsi" w:eastAsia="Times New Roman" w:hAnsiTheme="majorHAnsi" w:cstheme="majorHAnsi"/>
                <w:b/>
                <w:bCs/>
                <w:color w:val="000000"/>
                <w:sz w:val="18"/>
                <w:szCs w:val="18"/>
              </w:rPr>
              <w:t>MAXIMUM WAGE</w:t>
            </w:r>
          </w:p>
        </w:tc>
      </w:tr>
      <w:tr w:rsidR="002E6764" w:rsidRPr="002E6764" w14:paraId="2B4C777E" w14:textId="77777777" w:rsidTr="00962BE2">
        <w:trPr>
          <w:trHeight w:val="953"/>
        </w:trPr>
        <w:tc>
          <w:tcPr>
            <w:cnfStyle w:val="001000000000" w:firstRow="0" w:lastRow="0" w:firstColumn="1" w:lastColumn="0" w:oddVBand="0" w:evenVBand="0" w:oddHBand="0" w:evenHBand="0" w:firstRowFirstColumn="0" w:firstRowLastColumn="0" w:lastRowFirstColumn="0" w:lastRowLastColumn="0"/>
            <w:tcW w:w="2870" w:type="dxa"/>
            <w:vMerge/>
            <w:hideMark/>
          </w:tcPr>
          <w:p w14:paraId="5B801B05" w14:textId="77777777" w:rsidR="002E6764" w:rsidRPr="002E6764" w:rsidRDefault="002E6764" w:rsidP="002E6764">
            <w:pPr>
              <w:jc w:val="left"/>
              <w:rPr>
                <w:rFonts w:asciiTheme="majorHAnsi" w:eastAsia="Times New Roman" w:hAnsiTheme="majorHAnsi" w:cstheme="majorHAnsi"/>
                <w:color w:val="000000"/>
                <w:sz w:val="18"/>
                <w:szCs w:val="18"/>
              </w:rPr>
            </w:pPr>
          </w:p>
        </w:tc>
        <w:tc>
          <w:tcPr>
            <w:tcW w:w="1280" w:type="dxa"/>
            <w:hideMark/>
          </w:tcPr>
          <w:p w14:paraId="5C9968E1"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rPr>
            </w:pPr>
            <w:r w:rsidRPr="002E6764">
              <w:rPr>
                <w:rFonts w:asciiTheme="majorHAnsi" w:eastAsia="Times New Roman" w:hAnsiTheme="majorHAnsi" w:cstheme="majorHAnsi"/>
                <w:b/>
                <w:bCs/>
                <w:color w:val="000000"/>
                <w:sz w:val="18"/>
                <w:szCs w:val="18"/>
              </w:rPr>
              <w:t>Private Household employees (only)</w:t>
            </w:r>
          </w:p>
        </w:tc>
        <w:tc>
          <w:tcPr>
            <w:tcW w:w="1280" w:type="dxa"/>
            <w:hideMark/>
          </w:tcPr>
          <w:p w14:paraId="04596652"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rPr>
            </w:pPr>
            <w:r w:rsidRPr="002E6764">
              <w:rPr>
                <w:rFonts w:asciiTheme="majorHAnsi" w:eastAsia="Times New Roman" w:hAnsiTheme="majorHAnsi" w:cstheme="majorHAnsi"/>
                <w:b/>
                <w:bCs/>
                <w:color w:val="000000"/>
                <w:sz w:val="18"/>
                <w:szCs w:val="18"/>
              </w:rPr>
              <w:t>Employees in other sectors</w:t>
            </w:r>
          </w:p>
        </w:tc>
        <w:tc>
          <w:tcPr>
            <w:tcW w:w="1280" w:type="dxa"/>
            <w:vMerge/>
            <w:hideMark/>
          </w:tcPr>
          <w:p w14:paraId="74B6FE73" w14:textId="77777777" w:rsidR="002E6764" w:rsidRPr="002E6764" w:rsidRDefault="002E6764" w:rsidP="002E676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rPr>
            </w:pPr>
          </w:p>
        </w:tc>
      </w:tr>
      <w:tr w:rsidR="002E6764" w:rsidRPr="002E6764" w14:paraId="24F2DED8" w14:textId="77777777" w:rsidTr="00121E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70" w:type="dxa"/>
            <w:tcBorders>
              <w:bottom w:val="nil"/>
            </w:tcBorders>
            <w:hideMark/>
          </w:tcPr>
          <w:p w14:paraId="2F90DE0A" w14:textId="77777777" w:rsidR="002E6764" w:rsidRPr="002E6764" w:rsidRDefault="002E6764" w:rsidP="002E6764">
            <w:pPr>
              <w:jc w:val="left"/>
              <w:rPr>
                <w:rFonts w:asciiTheme="majorHAnsi" w:eastAsia="Times New Roman" w:hAnsiTheme="majorHAnsi" w:cstheme="majorHAnsi"/>
                <w:b w:val="0"/>
                <w:color w:val="000000"/>
                <w:sz w:val="18"/>
                <w:szCs w:val="18"/>
              </w:rPr>
            </w:pPr>
            <w:r w:rsidRPr="002E6764">
              <w:rPr>
                <w:rFonts w:asciiTheme="majorHAnsi" w:eastAsia="Times New Roman" w:hAnsiTheme="majorHAnsi" w:cstheme="majorHAnsi"/>
                <w:b w:val="0"/>
                <w:color w:val="000000"/>
                <w:sz w:val="18"/>
                <w:szCs w:val="18"/>
              </w:rPr>
              <w:t>Daily</w:t>
            </w:r>
          </w:p>
        </w:tc>
        <w:tc>
          <w:tcPr>
            <w:tcW w:w="1280" w:type="dxa"/>
            <w:tcBorders>
              <w:bottom w:val="nil"/>
            </w:tcBorders>
            <w:hideMark/>
          </w:tcPr>
          <w:p w14:paraId="63A2E120"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65</w:t>
            </w:r>
          </w:p>
        </w:tc>
        <w:tc>
          <w:tcPr>
            <w:tcW w:w="1280" w:type="dxa"/>
            <w:tcBorders>
              <w:bottom w:val="nil"/>
            </w:tcBorders>
            <w:hideMark/>
          </w:tcPr>
          <w:p w14:paraId="7AA36B01"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103</w:t>
            </w:r>
          </w:p>
        </w:tc>
        <w:tc>
          <w:tcPr>
            <w:tcW w:w="1280" w:type="dxa"/>
            <w:tcBorders>
              <w:bottom w:val="nil"/>
            </w:tcBorders>
            <w:hideMark/>
          </w:tcPr>
          <w:p w14:paraId="6A4CF228"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672</w:t>
            </w:r>
          </w:p>
        </w:tc>
      </w:tr>
      <w:tr w:rsidR="002E6764" w:rsidRPr="002E6764" w14:paraId="0C34FB68" w14:textId="77777777" w:rsidTr="00121E3A">
        <w:trPr>
          <w:trHeight w:val="315"/>
        </w:trPr>
        <w:tc>
          <w:tcPr>
            <w:cnfStyle w:val="001000000000" w:firstRow="0" w:lastRow="0" w:firstColumn="1" w:lastColumn="0" w:oddVBand="0" w:evenVBand="0" w:oddHBand="0" w:evenHBand="0" w:firstRowFirstColumn="0" w:firstRowLastColumn="0" w:lastRowFirstColumn="0" w:lastRowLastColumn="0"/>
            <w:tcW w:w="2870" w:type="dxa"/>
            <w:tcBorders>
              <w:top w:val="nil"/>
              <w:bottom w:val="nil"/>
            </w:tcBorders>
            <w:hideMark/>
          </w:tcPr>
          <w:p w14:paraId="145BD70B" w14:textId="77777777" w:rsidR="002E6764" w:rsidRPr="002E6764" w:rsidRDefault="002E6764" w:rsidP="002E6764">
            <w:pPr>
              <w:jc w:val="left"/>
              <w:rPr>
                <w:rFonts w:asciiTheme="majorHAnsi" w:eastAsia="Times New Roman" w:hAnsiTheme="majorHAnsi" w:cstheme="majorHAnsi"/>
                <w:b w:val="0"/>
                <w:color w:val="000000"/>
                <w:sz w:val="18"/>
                <w:szCs w:val="18"/>
              </w:rPr>
            </w:pPr>
            <w:r w:rsidRPr="002E6764">
              <w:rPr>
                <w:rFonts w:asciiTheme="majorHAnsi" w:eastAsia="Times New Roman" w:hAnsiTheme="majorHAnsi" w:cstheme="majorHAnsi"/>
                <w:b w:val="0"/>
                <w:color w:val="000000"/>
                <w:sz w:val="18"/>
                <w:szCs w:val="18"/>
              </w:rPr>
              <w:t>Weekly</w:t>
            </w:r>
          </w:p>
        </w:tc>
        <w:tc>
          <w:tcPr>
            <w:tcW w:w="1280" w:type="dxa"/>
            <w:tcBorders>
              <w:top w:val="nil"/>
              <w:bottom w:val="nil"/>
            </w:tcBorders>
            <w:hideMark/>
          </w:tcPr>
          <w:p w14:paraId="22557AEB"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391</w:t>
            </w:r>
          </w:p>
        </w:tc>
        <w:tc>
          <w:tcPr>
            <w:tcW w:w="1280" w:type="dxa"/>
            <w:tcBorders>
              <w:top w:val="nil"/>
              <w:bottom w:val="nil"/>
            </w:tcBorders>
            <w:hideMark/>
          </w:tcPr>
          <w:p w14:paraId="44594C82"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618</w:t>
            </w:r>
          </w:p>
        </w:tc>
        <w:tc>
          <w:tcPr>
            <w:tcW w:w="1280" w:type="dxa"/>
            <w:tcBorders>
              <w:top w:val="nil"/>
              <w:bottom w:val="nil"/>
            </w:tcBorders>
            <w:hideMark/>
          </w:tcPr>
          <w:p w14:paraId="30D8E77A"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4,032</w:t>
            </w:r>
          </w:p>
        </w:tc>
      </w:tr>
      <w:tr w:rsidR="002E6764" w:rsidRPr="002E6764" w14:paraId="74554F22" w14:textId="77777777" w:rsidTr="00121E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70" w:type="dxa"/>
            <w:tcBorders>
              <w:top w:val="nil"/>
              <w:bottom w:val="nil"/>
            </w:tcBorders>
            <w:hideMark/>
          </w:tcPr>
          <w:p w14:paraId="679D6E37" w14:textId="77777777" w:rsidR="002E6764" w:rsidRPr="002E6764" w:rsidRDefault="002E6764" w:rsidP="002E6764">
            <w:pPr>
              <w:jc w:val="left"/>
              <w:rPr>
                <w:rFonts w:asciiTheme="majorHAnsi" w:eastAsia="Times New Roman" w:hAnsiTheme="majorHAnsi" w:cstheme="majorHAnsi"/>
                <w:b w:val="0"/>
                <w:color w:val="000000"/>
                <w:sz w:val="18"/>
                <w:szCs w:val="18"/>
              </w:rPr>
            </w:pPr>
            <w:r w:rsidRPr="002E6764">
              <w:rPr>
                <w:rFonts w:asciiTheme="majorHAnsi" w:eastAsia="Times New Roman" w:hAnsiTheme="majorHAnsi" w:cstheme="majorHAnsi"/>
                <w:b w:val="0"/>
                <w:color w:val="000000"/>
                <w:sz w:val="18"/>
                <w:szCs w:val="18"/>
              </w:rPr>
              <w:t>Fortnightly</w:t>
            </w:r>
          </w:p>
        </w:tc>
        <w:tc>
          <w:tcPr>
            <w:tcW w:w="1280" w:type="dxa"/>
            <w:tcBorders>
              <w:top w:val="nil"/>
              <w:bottom w:val="nil"/>
            </w:tcBorders>
            <w:hideMark/>
          </w:tcPr>
          <w:p w14:paraId="1D9A1EFB"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782</w:t>
            </w:r>
          </w:p>
        </w:tc>
        <w:tc>
          <w:tcPr>
            <w:tcW w:w="1280" w:type="dxa"/>
            <w:tcBorders>
              <w:top w:val="nil"/>
              <w:bottom w:val="nil"/>
            </w:tcBorders>
            <w:hideMark/>
          </w:tcPr>
          <w:p w14:paraId="3CA34559"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1,237</w:t>
            </w:r>
          </w:p>
        </w:tc>
        <w:tc>
          <w:tcPr>
            <w:tcW w:w="1280" w:type="dxa"/>
            <w:tcBorders>
              <w:top w:val="nil"/>
              <w:bottom w:val="nil"/>
            </w:tcBorders>
            <w:hideMark/>
          </w:tcPr>
          <w:p w14:paraId="5EA829B8"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8,063</w:t>
            </w:r>
          </w:p>
        </w:tc>
      </w:tr>
      <w:tr w:rsidR="002E6764" w:rsidRPr="002E6764" w14:paraId="0EB23533" w14:textId="77777777" w:rsidTr="00121E3A">
        <w:trPr>
          <w:trHeight w:val="315"/>
        </w:trPr>
        <w:tc>
          <w:tcPr>
            <w:cnfStyle w:val="001000000000" w:firstRow="0" w:lastRow="0" w:firstColumn="1" w:lastColumn="0" w:oddVBand="0" w:evenVBand="0" w:oddHBand="0" w:evenHBand="0" w:firstRowFirstColumn="0" w:firstRowLastColumn="0" w:lastRowFirstColumn="0" w:lastRowLastColumn="0"/>
            <w:tcW w:w="2870" w:type="dxa"/>
            <w:tcBorders>
              <w:top w:val="nil"/>
              <w:bottom w:val="nil"/>
            </w:tcBorders>
            <w:hideMark/>
          </w:tcPr>
          <w:p w14:paraId="07C9BCA6" w14:textId="77777777" w:rsidR="002E6764" w:rsidRPr="002E6764" w:rsidRDefault="002E6764" w:rsidP="002E6764">
            <w:pPr>
              <w:jc w:val="left"/>
              <w:rPr>
                <w:rFonts w:asciiTheme="majorHAnsi" w:eastAsia="Times New Roman" w:hAnsiTheme="majorHAnsi" w:cstheme="majorHAnsi"/>
                <w:b w:val="0"/>
                <w:color w:val="000000"/>
                <w:sz w:val="18"/>
                <w:szCs w:val="18"/>
              </w:rPr>
            </w:pPr>
            <w:r w:rsidRPr="002E6764">
              <w:rPr>
                <w:rFonts w:asciiTheme="majorHAnsi" w:eastAsia="Times New Roman" w:hAnsiTheme="majorHAnsi" w:cstheme="majorHAnsi"/>
                <w:b w:val="0"/>
                <w:color w:val="000000"/>
                <w:sz w:val="18"/>
                <w:szCs w:val="18"/>
              </w:rPr>
              <w:t>Half Monthly</w:t>
            </w:r>
          </w:p>
        </w:tc>
        <w:tc>
          <w:tcPr>
            <w:tcW w:w="1280" w:type="dxa"/>
            <w:tcBorders>
              <w:top w:val="nil"/>
              <w:bottom w:val="nil"/>
            </w:tcBorders>
            <w:hideMark/>
          </w:tcPr>
          <w:p w14:paraId="6156D1FE"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848</w:t>
            </w:r>
          </w:p>
        </w:tc>
        <w:tc>
          <w:tcPr>
            <w:tcW w:w="1280" w:type="dxa"/>
            <w:tcBorders>
              <w:top w:val="nil"/>
              <w:bottom w:val="nil"/>
            </w:tcBorders>
            <w:hideMark/>
          </w:tcPr>
          <w:p w14:paraId="5AC2E51F"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1,340</w:t>
            </w:r>
          </w:p>
        </w:tc>
        <w:tc>
          <w:tcPr>
            <w:tcW w:w="1280" w:type="dxa"/>
            <w:tcBorders>
              <w:top w:val="nil"/>
              <w:bottom w:val="nil"/>
            </w:tcBorders>
            <w:hideMark/>
          </w:tcPr>
          <w:p w14:paraId="01DCCD07" w14:textId="77777777" w:rsidR="002E6764" w:rsidRPr="002E6764" w:rsidRDefault="002E6764" w:rsidP="002E676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8,735</w:t>
            </w:r>
          </w:p>
        </w:tc>
      </w:tr>
      <w:tr w:rsidR="002E6764" w:rsidRPr="002E6764" w14:paraId="68C544BA" w14:textId="77777777" w:rsidTr="00121E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70" w:type="dxa"/>
            <w:tcBorders>
              <w:top w:val="nil"/>
            </w:tcBorders>
            <w:hideMark/>
          </w:tcPr>
          <w:p w14:paraId="65AFAD16" w14:textId="77777777" w:rsidR="002E6764" w:rsidRPr="002E6764" w:rsidRDefault="002E6764" w:rsidP="002E6764">
            <w:pPr>
              <w:jc w:val="left"/>
              <w:rPr>
                <w:rFonts w:asciiTheme="majorHAnsi" w:eastAsia="Times New Roman" w:hAnsiTheme="majorHAnsi" w:cstheme="majorHAnsi"/>
                <w:b w:val="0"/>
                <w:color w:val="000000"/>
                <w:sz w:val="18"/>
                <w:szCs w:val="18"/>
              </w:rPr>
            </w:pPr>
            <w:r w:rsidRPr="002E6764">
              <w:rPr>
                <w:rFonts w:asciiTheme="majorHAnsi" w:eastAsia="Times New Roman" w:hAnsiTheme="majorHAnsi" w:cstheme="majorHAnsi"/>
                <w:b w:val="0"/>
                <w:color w:val="000000"/>
                <w:sz w:val="18"/>
                <w:szCs w:val="18"/>
              </w:rPr>
              <w:t>Monthly</w:t>
            </w:r>
          </w:p>
        </w:tc>
        <w:tc>
          <w:tcPr>
            <w:tcW w:w="1280" w:type="dxa"/>
            <w:tcBorders>
              <w:top w:val="nil"/>
            </w:tcBorders>
            <w:hideMark/>
          </w:tcPr>
          <w:p w14:paraId="1F900162"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1,695</w:t>
            </w:r>
          </w:p>
        </w:tc>
        <w:tc>
          <w:tcPr>
            <w:tcW w:w="1280" w:type="dxa"/>
            <w:tcBorders>
              <w:top w:val="nil"/>
            </w:tcBorders>
            <w:hideMark/>
          </w:tcPr>
          <w:p w14:paraId="7291BEA7"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2,680</w:t>
            </w:r>
          </w:p>
        </w:tc>
        <w:tc>
          <w:tcPr>
            <w:tcW w:w="1280" w:type="dxa"/>
            <w:tcBorders>
              <w:top w:val="nil"/>
            </w:tcBorders>
            <w:hideMark/>
          </w:tcPr>
          <w:p w14:paraId="5C4BF365" w14:textId="77777777" w:rsidR="002E6764" w:rsidRPr="002E6764" w:rsidRDefault="002E6764" w:rsidP="002E67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2E6764">
              <w:rPr>
                <w:rFonts w:asciiTheme="majorHAnsi" w:eastAsia="Times New Roman" w:hAnsiTheme="majorHAnsi" w:cstheme="majorHAnsi"/>
                <w:color w:val="000000"/>
                <w:sz w:val="18"/>
                <w:szCs w:val="18"/>
              </w:rPr>
              <w:t>17,470</w:t>
            </w:r>
          </w:p>
        </w:tc>
      </w:tr>
    </w:tbl>
    <w:p w14:paraId="18A92169" w14:textId="10D7A3B3" w:rsidR="002E6764" w:rsidRDefault="004F4F65" w:rsidP="00AF23DE">
      <w:pPr>
        <w:autoSpaceDE w:val="0"/>
        <w:autoSpaceDN w:val="0"/>
        <w:adjustRightInd w:val="0"/>
        <w:spacing w:after="0" w:line="240" w:lineRule="auto"/>
        <w:rPr>
          <w:rFonts w:asciiTheme="majorHAnsi" w:eastAsia="Times New Roman" w:hAnsiTheme="majorHAnsi" w:cstheme="majorHAnsi"/>
          <w:sz w:val="18"/>
          <w:szCs w:val="18"/>
        </w:rPr>
      </w:pPr>
      <w:r w:rsidRPr="004F4F65">
        <w:rPr>
          <w:rFonts w:asciiTheme="majorHAnsi" w:eastAsia="Times New Roman" w:hAnsiTheme="majorHAnsi" w:cstheme="majorHAnsi"/>
          <w:i/>
          <w:sz w:val="18"/>
          <w:szCs w:val="18"/>
        </w:rPr>
        <w:t>Source</w:t>
      </w:r>
      <w:r w:rsidRPr="004F4F65">
        <w:rPr>
          <w:rFonts w:asciiTheme="majorHAnsi" w:eastAsia="Times New Roman" w:hAnsiTheme="majorHAnsi" w:cstheme="majorHAnsi"/>
          <w:sz w:val="18"/>
          <w:szCs w:val="18"/>
        </w:rPr>
        <w:t>: Mauritius Revenue Authority.</w:t>
      </w:r>
    </w:p>
    <w:p w14:paraId="3BAFC5E5" w14:textId="286BA73D" w:rsidR="00446DDA" w:rsidRPr="00446DDA" w:rsidRDefault="00446DDA" w:rsidP="00AF23DE">
      <w:pPr>
        <w:autoSpaceDE w:val="0"/>
        <w:autoSpaceDN w:val="0"/>
        <w:adjustRightInd w:val="0"/>
        <w:spacing w:after="0" w:line="240" w:lineRule="auto"/>
        <w:rPr>
          <w:rFonts w:asciiTheme="majorHAnsi" w:eastAsia="Times New Roman" w:hAnsiTheme="majorHAnsi" w:cstheme="majorHAnsi"/>
          <w:sz w:val="18"/>
          <w:szCs w:val="18"/>
        </w:rPr>
      </w:pPr>
      <w:r w:rsidRPr="00446DDA">
        <w:rPr>
          <w:rFonts w:asciiTheme="majorHAnsi" w:eastAsia="Times New Roman" w:hAnsiTheme="majorHAnsi" w:cstheme="majorHAnsi"/>
          <w:i/>
          <w:sz w:val="18"/>
          <w:szCs w:val="18"/>
        </w:rPr>
        <w:t>Note</w:t>
      </w:r>
      <w:r w:rsidRPr="00446DDA">
        <w:rPr>
          <w:rFonts w:asciiTheme="majorHAnsi" w:eastAsia="Times New Roman" w:hAnsiTheme="majorHAnsi" w:cstheme="majorHAnsi"/>
          <w:sz w:val="18"/>
          <w:szCs w:val="18"/>
        </w:rPr>
        <w:t xml:space="preserve">: </w:t>
      </w:r>
      <w:r w:rsidR="00D256CF">
        <w:rPr>
          <w:rFonts w:asciiTheme="majorHAnsi" w:eastAsia="Times New Roman" w:hAnsiTheme="majorHAnsi" w:cstheme="majorHAnsi"/>
          <w:sz w:val="18"/>
          <w:szCs w:val="18"/>
        </w:rPr>
        <w:t xml:space="preserve">The </w:t>
      </w:r>
      <w:r w:rsidR="008536B2">
        <w:rPr>
          <w:rFonts w:asciiTheme="majorHAnsi" w:eastAsia="Times New Roman" w:hAnsiTheme="majorHAnsi" w:cstheme="majorHAnsi"/>
          <w:sz w:val="18"/>
          <w:szCs w:val="18"/>
        </w:rPr>
        <w:t>National Pensions Fund</w:t>
      </w:r>
      <w:r w:rsidRPr="00446DDA">
        <w:rPr>
          <w:rFonts w:asciiTheme="majorHAnsi" w:eastAsia="Times New Roman" w:hAnsiTheme="majorHAnsi" w:cstheme="majorHAnsi"/>
          <w:sz w:val="18"/>
          <w:szCs w:val="18"/>
        </w:rPr>
        <w:t xml:space="preserve"> and </w:t>
      </w:r>
      <w:r w:rsidR="00D256CF">
        <w:rPr>
          <w:rFonts w:asciiTheme="majorHAnsi" w:eastAsia="Times New Roman" w:hAnsiTheme="majorHAnsi" w:cstheme="majorHAnsi"/>
          <w:sz w:val="18"/>
          <w:szCs w:val="18"/>
        </w:rPr>
        <w:t>National Savings Fund</w:t>
      </w:r>
      <w:r w:rsidRPr="00446DDA">
        <w:rPr>
          <w:rFonts w:asciiTheme="majorHAnsi" w:eastAsia="Times New Roman" w:hAnsiTheme="majorHAnsi" w:cstheme="majorHAnsi"/>
          <w:sz w:val="18"/>
          <w:szCs w:val="18"/>
        </w:rPr>
        <w:t xml:space="preserve"> are payable at the prescribed rate on an employee’s basic wage/salary. Basic wage/salary includes yearly salary compensation but excludes bonus and any other allowance paid in cash or given to the employee in kind. </w:t>
      </w:r>
      <w:r w:rsidR="00D561F0">
        <w:rPr>
          <w:rFonts w:asciiTheme="majorHAnsi" w:eastAsia="Times New Roman" w:hAnsiTheme="majorHAnsi" w:cstheme="majorHAnsi"/>
          <w:sz w:val="18"/>
          <w:szCs w:val="18"/>
        </w:rPr>
        <w:t>Training L</w:t>
      </w:r>
      <w:r w:rsidR="00D561F0" w:rsidRPr="00D561F0">
        <w:rPr>
          <w:rFonts w:asciiTheme="majorHAnsi" w:eastAsia="Times New Roman" w:hAnsiTheme="majorHAnsi" w:cstheme="majorHAnsi"/>
          <w:sz w:val="18"/>
          <w:szCs w:val="18"/>
        </w:rPr>
        <w:t>evy is also applicable on the basic wage/salary of an employee. However, the above ceilings do not apply and the employer is required to calculate the levy payable on the full basic wage/salary payable.</w:t>
      </w:r>
    </w:p>
    <w:p w14:paraId="191E28B9" w14:textId="350CFBBA" w:rsidR="00121E3A" w:rsidRDefault="00121E3A" w:rsidP="00AF23DE">
      <w:pPr>
        <w:autoSpaceDE w:val="0"/>
        <w:autoSpaceDN w:val="0"/>
        <w:adjustRightInd w:val="0"/>
        <w:spacing w:after="0" w:line="240" w:lineRule="auto"/>
        <w:rPr>
          <w:rFonts w:cs="Times New Roman"/>
          <w:szCs w:val="22"/>
        </w:rPr>
      </w:pPr>
    </w:p>
    <w:p w14:paraId="4E21E317" w14:textId="0511BF01" w:rsidR="00121E3A" w:rsidRDefault="00121E3A" w:rsidP="00AF23DE">
      <w:pPr>
        <w:autoSpaceDE w:val="0"/>
        <w:autoSpaceDN w:val="0"/>
        <w:adjustRightInd w:val="0"/>
        <w:spacing w:after="0" w:line="240" w:lineRule="auto"/>
        <w:rPr>
          <w:rFonts w:cs="Times New Roman"/>
          <w:szCs w:val="22"/>
        </w:rPr>
      </w:pPr>
    </w:p>
    <w:p w14:paraId="14D92E15" w14:textId="6AC98F41" w:rsidR="00121E3A" w:rsidRDefault="00121E3A" w:rsidP="00AF23DE">
      <w:pPr>
        <w:autoSpaceDE w:val="0"/>
        <w:autoSpaceDN w:val="0"/>
        <w:adjustRightInd w:val="0"/>
        <w:spacing w:after="0" w:line="240" w:lineRule="auto"/>
        <w:rPr>
          <w:rFonts w:cs="Times New Roman"/>
          <w:szCs w:val="22"/>
        </w:rPr>
      </w:pPr>
    </w:p>
    <w:p w14:paraId="51899039" w14:textId="1347BC31" w:rsidR="00121E3A" w:rsidRDefault="00121E3A" w:rsidP="00AF23DE">
      <w:pPr>
        <w:autoSpaceDE w:val="0"/>
        <w:autoSpaceDN w:val="0"/>
        <w:adjustRightInd w:val="0"/>
        <w:spacing w:after="0" w:line="240" w:lineRule="auto"/>
        <w:rPr>
          <w:rFonts w:cs="Times New Roman"/>
          <w:szCs w:val="22"/>
        </w:rPr>
      </w:pPr>
    </w:p>
    <w:p w14:paraId="420B64D7" w14:textId="4A28590E" w:rsidR="00121E3A" w:rsidRDefault="00121E3A" w:rsidP="00AF23DE">
      <w:pPr>
        <w:autoSpaceDE w:val="0"/>
        <w:autoSpaceDN w:val="0"/>
        <w:adjustRightInd w:val="0"/>
        <w:spacing w:after="0" w:line="240" w:lineRule="auto"/>
        <w:rPr>
          <w:rFonts w:cs="Times New Roman"/>
          <w:szCs w:val="22"/>
        </w:rPr>
      </w:pPr>
    </w:p>
    <w:p w14:paraId="08ED5CD5" w14:textId="150F1CB1" w:rsidR="00121E3A" w:rsidRDefault="00121E3A" w:rsidP="00AF23DE">
      <w:pPr>
        <w:autoSpaceDE w:val="0"/>
        <w:autoSpaceDN w:val="0"/>
        <w:adjustRightInd w:val="0"/>
        <w:spacing w:after="0" w:line="240" w:lineRule="auto"/>
        <w:rPr>
          <w:rFonts w:cs="Times New Roman"/>
          <w:szCs w:val="22"/>
        </w:rPr>
      </w:pPr>
    </w:p>
    <w:p w14:paraId="7FCC6673" w14:textId="5F8333CD" w:rsidR="00121E3A" w:rsidRDefault="00121E3A" w:rsidP="00AF23DE">
      <w:pPr>
        <w:autoSpaceDE w:val="0"/>
        <w:autoSpaceDN w:val="0"/>
        <w:adjustRightInd w:val="0"/>
        <w:spacing w:after="0" w:line="240" w:lineRule="auto"/>
        <w:rPr>
          <w:rFonts w:cs="Times New Roman"/>
          <w:szCs w:val="22"/>
        </w:rPr>
      </w:pPr>
    </w:p>
    <w:p w14:paraId="5FBFBEEC" w14:textId="2177C060" w:rsidR="00121E3A" w:rsidRDefault="00121E3A" w:rsidP="00AF23DE">
      <w:pPr>
        <w:autoSpaceDE w:val="0"/>
        <w:autoSpaceDN w:val="0"/>
        <w:adjustRightInd w:val="0"/>
        <w:spacing w:after="0" w:line="240" w:lineRule="auto"/>
        <w:rPr>
          <w:rFonts w:cs="Times New Roman"/>
          <w:szCs w:val="22"/>
        </w:rPr>
      </w:pPr>
    </w:p>
    <w:p w14:paraId="0A1BEA96" w14:textId="77777777" w:rsidR="00CB19E2" w:rsidRDefault="00CB19E2" w:rsidP="00AF23DE">
      <w:pPr>
        <w:autoSpaceDE w:val="0"/>
        <w:autoSpaceDN w:val="0"/>
        <w:adjustRightInd w:val="0"/>
        <w:spacing w:after="0" w:line="240" w:lineRule="auto"/>
        <w:rPr>
          <w:rFonts w:cs="Times New Roman"/>
          <w:szCs w:val="22"/>
        </w:rPr>
      </w:pPr>
    </w:p>
    <w:p w14:paraId="226984AA" w14:textId="49CC2FDC" w:rsidR="00121E3A" w:rsidRPr="00121E3A" w:rsidRDefault="000212CA" w:rsidP="00121E3A">
      <w:pPr>
        <w:pStyle w:val="Caption"/>
        <w:rPr>
          <w:color w:val="auto"/>
          <w:sz w:val="18"/>
          <w:szCs w:val="18"/>
        </w:rPr>
      </w:pPr>
      <w:bookmarkStart w:id="176" w:name="_Toc11256367"/>
      <w:bookmarkStart w:id="177" w:name="_Toc11256430"/>
      <w:bookmarkStart w:id="178" w:name="_Toc11256507"/>
      <w:r w:rsidRPr="000212CA">
        <w:rPr>
          <w:color w:val="auto"/>
          <w:sz w:val="18"/>
          <w:szCs w:val="18"/>
        </w:rPr>
        <w:t xml:space="preserve">Table B </w:t>
      </w:r>
      <w:r w:rsidRPr="000212CA">
        <w:rPr>
          <w:color w:val="auto"/>
          <w:sz w:val="18"/>
          <w:szCs w:val="18"/>
        </w:rPr>
        <w:fldChar w:fldCharType="begin"/>
      </w:r>
      <w:r w:rsidRPr="000212CA">
        <w:rPr>
          <w:color w:val="auto"/>
          <w:sz w:val="18"/>
          <w:szCs w:val="18"/>
        </w:rPr>
        <w:instrText xml:space="preserve"> SEQ Table_B \* ARABIC </w:instrText>
      </w:r>
      <w:r w:rsidRPr="000212CA">
        <w:rPr>
          <w:color w:val="auto"/>
          <w:sz w:val="18"/>
          <w:szCs w:val="18"/>
        </w:rPr>
        <w:fldChar w:fldCharType="separate"/>
      </w:r>
      <w:r w:rsidR="006E1D22">
        <w:rPr>
          <w:noProof/>
          <w:color w:val="auto"/>
          <w:sz w:val="18"/>
          <w:szCs w:val="18"/>
        </w:rPr>
        <w:t>5</w:t>
      </w:r>
      <w:r w:rsidRPr="000212CA">
        <w:rPr>
          <w:color w:val="auto"/>
          <w:sz w:val="18"/>
          <w:szCs w:val="18"/>
        </w:rPr>
        <w:fldChar w:fldCharType="end"/>
      </w:r>
      <w:r w:rsidR="00CB19E2">
        <w:rPr>
          <w:color w:val="auto"/>
          <w:sz w:val="18"/>
          <w:szCs w:val="18"/>
        </w:rPr>
        <w:t>. N</w:t>
      </w:r>
      <w:r w:rsidR="002E0328">
        <w:rPr>
          <w:color w:val="auto"/>
          <w:sz w:val="18"/>
          <w:szCs w:val="18"/>
        </w:rPr>
        <w:t xml:space="preserve">ational </w:t>
      </w:r>
      <w:r w:rsidR="00CB19E2">
        <w:rPr>
          <w:color w:val="auto"/>
          <w:sz w:val="18"/>
          <w:szCs w:val="18"/>
        </w:rPr>
        <w:t>P</w:t>
      </w:r>
      <w:r w:rsidR="002E0328">
        <w:rPr>
          <w:color w:val="auto"/>
          <w:sz w:val="18"/>
          <w:szCs w:val="18"/>
        </w:rPr>
        <w:t xml:space="preserve">ension </w:t>
      </w:r>
      <w:r w:rsidR="00CB19E2">
        <w:rPr>
          <w:color w:val="auto"/>
          <w:sz w:val="18"/>
          <w:szCs w:val="18"/>
        </w:rPr>
        <w:t>F</w:t>
      </w:r>
      <w:r w:rsidR="002E0328">
        <w:rPr>
          <w:color w:val="auto"/>
          <w:sz w:val="18"/>
          <w:szCs w:val="18"/>
        </w:rPr>
        <w:t>und</w:t>
      </w:r>
      <w:r w:rsidR="00CB19E2">
        <w:rPr>
          <w:color w:val="auto"/>
          <w:sz w:val="18"/>
          <w:szCs w:val="18"/>
        </w:rPr>
        <w:t xml:space="preserve"> c</w:t>
      </w:r>
      <w:r w:rsidR="00CB19E2" w:rsidRPr="00CB19E2">
        <w:rPr>
          <w:color w:val="auto"/>
          <w:sz w:val="18"/>
          <w:szCs w:val="18"/>
        </w:rPr>
        <w:t>ontributions payable in respect of employees having attained retirement age</w:t>
      </w:r>
      <w:bookmarkEnd w:id="176"/>
      <w:bookmarkEnd w:id="177"/>
      <w:bookmarkEnd w:id="178"/>
    </w:p>
    <w:tbl>
      <w:tblPr>
        <w:tblStyle w:val="PlainTable2"/>
        <w:tblW w:w="9320" w:type="dxa"/>
        <w:tblLook w:val="04A0" w:firstRow="1" w:lastRow="0" w:firstColumn="1" w:lastColumn="0" w:noHBand="0" w:noVBand="1"/>
      </w:tblPr>
      <w:tblGrid>
        <w:gridCol w:w="5480"/>
        <w:gridCol w:w="3840"/>
      </w:tblGrid>
      <w:tr w:rsidR="00121E3A" w:rsidRPr="00121E3A" w14:paraId="7065ADF6" w14:textId="77777777" w:rsidTr="00121E3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480" w:type="dxa"/>
            <w:hideMark/>
          </w:tcPr>
          <w:p w14:paraId="542871AB" w14:textId="77777777" w:rsidR="00121E3A" w:rsidRPr="00121E3A" w:rsidRDefault="00121E3A" w:rsidP="00121E3A">
            <w:pPr>
              <w:jc w:val="left"/>
              <w:rPr>
                <w:rFonts w:asciiTheme="majorHAnsi" w:eastAsia="Times New Roman" w:hAnsiTheme="majorHAnsi" w:cstheme="majorHAnsi"/>
                <w:color w:val="000000"/>
                <w:sz w:val="18"/>
                <w:szCs w:val="18"/>
              </w:rPr>
            </w:pPr>
            <w:r w:rsidRPr="00121E3A">
              <w:rPr>
                <w:rFonts w:asciiTheme="majorHAnsi" w:eastAsia="Times New Roman" w:hAnsiTheme="majorHAnsi" w:cstheme="majorHAnsi"/>
                <w:color w:val="000000"/>
                <w:sz w:val="18"/>
                <w:szCs w:val="18"/>
              </w:rPr>
              <w:t>Details</w:t>
            </w:r>
          </w:p>
        </w:tc>
        <w:tc>
          <w:tcPr>
            <w:tcW w:w="3840" w:type="dxa"/>
            <w:hideMark/>
          </w:tcPr>
          <w:p w14:paraId="2E9DA23C" w14:textId="77777777" w:rsidR="00121E3A" w:rsidRPr="00121E3A" w:rsidRDefault="00121E3A" w:rsidP="00121E3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121E3A">
              <w:rPr>
                <w:rFonts w:asciiTheme="majorHAnsi" w:eastAsia="Times New Roman" w:hAnsiTheme="majorHAnsi" w:cstheme="majorHAnsi"/>
                <w:color w:val="000000"/>
                <w:sz w:val="18"/>
                <w:szCs w:val="18"/>
              </w:rPr>
              <w:t>Contribution Payable</w:t>
            </w:r>
          </w:p>
        </w:tc>
      </w:tr>
      <w:tr w:rsidR="00121E3A" w:rsidRPr="00121E3A" w14:paraId="66B191B8" w14:textId="77777777" w:rsidTr="00121E3A">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5480" w:type="dxa"/>
            <w:tcBorders>
              <w:bottom w:val="nil"/>
            </w:tcBorders>
            <w:hideMark/>
          </w:tcPr>
          <w:p w14:paraId="07CFB23A" w14:textId="77777777" w:rsidR="00121E3A" w:rsidRPr="00121E3A" w:rsidRDefault="00121E3A" w:rsidP="00121E3A">
            <w:pPr>
              <w:jc w:val="left"/>
              <w:rPr>
                <w:rFonts w:asciiTheme="majorHAnsi" w:eastAsia="Times New Roman" w:hAnsiTheme="majorHAnsi" w:cstheme="majorHAnsi"/>
                <w:b w:val="0"/>
                <w:color w:val="000000"/>
                <w:sz w:val="18"/>
                <w:szCs w:val="18"/>
              </w:rPr>
            </w:pPr>
            <w:r w:rsidRPr="00121E3A">
              <w:rPr>
                <w:rFonts w:asciiTheme="majorHAnsi" w:eastAsia="Times New Roman" w:hAnsiTheme="majorHAnsi" w:cstheme="majorHAnsi"/>
                <w:b w:val="0"/>
                <w:color w:val="000000"/>
                <w:sz w:val="18"/>
                <w:szCs w:val="18"/>
              </w:rPr>
              <w:t>Employee has reached retirement age and is not in receipt of Contributory Retirement Pension (CRP).</w:t>
            </w:r>
          </w:p>
        </w:tc>
        <w:tc>
          <w:tcPr>
            <w:tcW w:w="3840" w:type="dxa"/>
            <w:tcBorders>
              <w:bottom w:val="nil"/>
            </w:tcBorders>
            <w:hideMark/>
          </w:tcPr>
          <w:p w14:paraId="45F51849" w14:textId="44FB86E8" w:rsidR="00121E3A" w:rsidRPr="00121E3A" w:rsidRDefault="008536B2" w:rsidP="00CB19E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National Pensions Fund</w:t>
            </w:r>
            <w:r w:rsidR="00121E3A" w:rsidRPr="00121E3A">
              <w:rPr>
                <w:rFonts w:asciiTheme="majorHAnsi" w:eastAsia="Times New Roman" w:hAnsiTheme="majorHAnsi" w:cstheme="majorHAnsi"/>
                <w:color w:val="000000"/>
                <w:sz w:val="18"/>
                <w:szCs w:val="18"/>
              </w:rPr>
              <w:t xml:space="preserve"> contributions (both employer &amp; employee shares) are payable in respect of that employee until he/she elects to receive his Contributory Retirement Pension (CRP) or reaches final retirement age, whichever is the earlier.</w:t>
            </w:r>
          </w:p>
        </w:tc>
      </w:tr>
      <w:tr w:rsidR="00121E3A" w:rsidRPr="00121E3A" w14:paraId="6B6CE0F6" w14:textId="77777777" w:rsidTr="00121E3A">
        <w:trPr>
          <w:trHeight w:val="1071"/>
        </w:trPr>
        <w:tc>
          <w:tcPr>
            <w:cnfStyle w:val="001000000000" w:firstRow="0" w:lastRow="0" w:firstColumn="1" w:lastColumn="0" w:oddVBand="0" w:evenVBand="0" w:oddHBand="0" w:evenHBand="0" w:firstRowFirstColumn="0" w:firstRowLastColumn="0" w:lastRowFirstColumn="0" w:lastRowLastColumn="0"/>
            <w:tcW w:w="5480" w:type="dxa"/>
            <w:tcBorders>
              <w:top w:val="nil"/>
              <w:bottom w:val="nil"/>
            </w:tcBorders>
            <w:hideMark/>
          </w:tcPr>
          <w:p w14:paraId="45301A95" w14:textId="77777777" w:rsidR="00121E3A" w:rsidRPr="00121E3A" w:rsidRDefault="00121E3A" w:rsidP="00121E3A">
            <w:pPr>
              <w:jc w:val="left"/>
              <w:rPr>
                <w:rFonts w:asciiTheme="majorHAnsi" w:eastAsia="Times New Roman" w:hAnsiTheme="majorHAnsi" w:cstheme="majorHAnsi"/>
                <w:b w:val="0"/>
                <w:color w:val="000000"/>
                <w:sz w:val="18"/>
                <w:szCs w:val="18"/>
              </w:rPr>
            </w:pPr>
            <w:r w:rsidRPr="00121E3A">
              <w:rPr>
                <w:rFonts w:asciiTheme="majorHAnsi" w:eastAsia="Times New Roman" w:hAnsiTheme="majorHAnsi" w:cstheme="majorHAnsi"/>
                <w:b w:val="0"/>
                <w:color w:val="000000"/>
                <w:sz w:val="18"/>
                <w:szCs w:val="18"/>
              </w:rPr>
              <w:t>Employee has reached retirement age and receives Contributory Retirement Pension</w:t>
            </w:r>
          </w:p>
        </w:tc>
        <w:tc>
          <w:tcPr>
            <w:tcW w:w="3840" w:type="dxa"/>
            <w:tcBorders>
              <w:top w:val="nil"/>
              <w:bottom w:val="nil"/>
            </w:tcBorders>
            <w:hideMark/>
          </w:tcPr>
          <w:p w14:paraId="61789EB1" w14:textId="630B099F" w:rsidR="00121E3A" w:rsidRPr="00121E3A" w:rsidRDefault="008536B2" w:rsidP="00CB19E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The National Pensions Fund</w:t>
            </w:r>
            <w:r w:rsidR="00121E3A" w:rsidRPr="00121E3A">
              <w:rPr>
                <w:rFonts w:asciiTheme="majorHAnsi" w:eastAsia="Times New Roman" w:hAnsiTheme="majorHAnsi" w:cstheme="majorHAnsi"/>
                <w:color w:val="000000"/>
                <w:sz w:val="18"/>
                <w:szCs w:val="18"/>
              </w:rPr>
              <w:t xml:space="preserve"> </w:t>
            </w:r>
            <w:r>
              <w:rPr>
                <w:rFonts w:asciiTheme="majorHAnsi" w:eastAsia="Times New Roman" w:hAnsiTheme="majorHAnsi" w:cstheme="majorHAnsi"/>
                <w:color w:val="000000"/>
                <w:sz w:val="18"/>
                <w:szCs w:val="18"/>
              </w:rPr>
              <w:t>c</w:t>
            </w:r>
            <w:r w:rsidR="00121E3A" w:rsidRPr="00121E3A">
              <w:rPr>
                <w:rFonts w:asciiTheme="majorHAnsi" w:eastAsia="Times New Roman" w:hAnsiTheme="majorHAnsi" w:cstheme="majorHAnsi"/>
                <w:color w:val="000000"/>
                <w:sz w:val="18"/>
                <w:szCs w:val="18"/>
              </w:rPr>
              <w:t>ontribution (employer share only) is payable in respect of that employee until he ceases to be employed or he reaches final retirement age, whichever is the earlier.</w:t>
            </w:r>
          </w:p>
        </w:tc>
      </w:tr>
      <w:tr w:rsidR="00121E3A" w:rsidRPr="00121E3A" w14:paraId="067D62E6" w14:textId="77777777" w:rsidTr="00121E3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480" w:type="dxa"/>
            <w:tcBorders>
              <w:top w:val="nil"/>
            </w:tcBorders>
            <w:hideMark/>
          </w:tcPr>
          <w:p w14:paraId="4AFF3673" w14:textId="77777777" w:rsidR="00121E3A" w:rsidRPr="00121E3A" w:rsidRDefault="00121E3A" w:rsidP="00121E3A">
            <w:pPr>
              <w:jc w:val="left"/>
              <w:rPr>
                <w:rFonts w:asciiTheme="majorHAnsi" w:eastAsia="Times New Roman" w:hAnsiTheme="majorHAnsi" w:cstheme="majorHAnsi"/>
                <w:b w:val="0"/>
                <w:color w:val="000000"/>
                <w:sz w:val="18"/>
                <w:szCs w:val="18"/>
              </w:rPr>
            </w:pPr>
            <w:r w:rsidRPr="00121E3A">
              <w:rPr>
                <w:rFonts w:asciiTheme="majorHAnsi" w:eastAsia="Times New Roman" w:hAnsiTheme="majorHAnsi" w:cstheme="majorHAnsi"/>
                <w:b w:val="0"/>
                <w:color w:val="000000"/>
                <w:sz w:val="18"/>
                <w:szCs w:val="18"/>
              </w:rPr>
              <w:t>Employee has reached Final Retirement Age</w:t>
            </w:r>
          </w:p>
        </w:tc>
        <w:tc>
          <w:tcPr>
            <w:tcW w:w="3840" w:type="dxa"/>
            <w:tcBorders>
              <w:top w:val="nil"/>
            </w:tcBorders>
            <w:hideMark/>
          </w:tcPr>
          <w:p w14:paraId="3BD8C7FF" w14:textId="397CFC58" w:rsidR="00121E3A" w:rsidRPr="00121E3A" w:rsidRDefault="00121E3A" w:rsidP="00CB19E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121E3A">
              <w:rPr>
                <w:rFonts w:asciiTheme="majorHAnsi" w:eastAsia="Times New Roman" w:hAnsiTheme="majorHAnsi" w:cstheme="majorHAnsi"/>
                <w:color w:val="000000"/>
                <w:sz w:val="18"/>
                <w:szCs w:val="18"/>
              </w:rPr>
              <w:t xml:space="preserve">No </w:t>
            </w:r>
            <w:r w:rsidR="008536B2">
              <w:rPr>
                <w:rFonts w:asciiTheme="majorHAnsi" w:eastAsia="Times New Roman" w:hAnsiTheme="majorHAnsi" w:cstheme="majorHAnsi"/>
                <w:color w:val="000000"/>
                <w:sz w:val="18"/>
                <w:szCs w:val="18"/>
              </w:rPr>
              <w:t>National Pensions Fund</w:t>
            </w:r>
            <w:r w:rsidRPr="00121E3A">
              <w:rPr>
                <w:rFonts w:asciiTheme="majorHAnsi" w:eastAsia="Times New Roman" w:hAnsiTheme="majorHAnsi" w:cstheme="majorHAnsi"/>
                <w:color w:val="000000"/>
                <w:sz w:val="18"/>
                <w:szCs w:val="18"/>
              </w:rPr>
              <w:t xml:space="preserve"> contribution is payable in respect of an employee who has attained final retirement age.</w:t>
            </w:r>
          </w:p>
        </w:tc>
      </w:tr>
    </w:tbl>
    <w:p w14:paraId="4641998B" w14:textId="655C0C7F" w:rsidR="00121E3A" w:rsidRDefault="004F4F65" w:rsidP="00AF23DE">
      <w:pPr>
        <w:autoSpaceDE w:val="0"/>
        <w:autoSpaceDN w:val="0"/>
        <w:adjustRightInd w:val="0"/>
        <w:spacing w:after="0" w:line="240" w:lineRule="auto"/>
        <w:rPr>
          <w:rFonts w:asciiTheme="majorHAnsi" w:eastAsia="Times New Roman" w:hAnsiTheme="majorHAnsi" w:cstheme="majorHAnsi"/>
          <w:sz w:val="18"/>
          <w:szCs w:val="18"/>
        </w:rPr>
      </w:pPr>
      <w:r w:rsidRPr="004F4F65">
        <w:rPr>
          <w:rFonts w:asciiTheme="majorHAnsi" w:eastAsia="Times New Roman" w:hAnsiTheme="majorHAnsi" w:cstheme="majorHAnsi"/>
          <w:i/>
          <w:sz w:val="18"/>
          <w:szCs w:val="18"/>
        </w:rPr>
        <w:t>Source</w:t>
      </w:r>
      <w:r w:rsidRPr="004F4F65">
        <w:rPr>
          <w:rFonts w:asciiTheme="majorHAnsi" w:eastAsia="Times New Roman" w:hAnsiTheme="majorHAnsi" w:cstheme="majorHAnsi"/>
          <w:sz w:val="18"/>
          <w:szCs w:val="18"/>
        </w:rPr>
        <w:t>: Mauritius Revenue Authority.</w:t>
      </w:r>
    </w:p>
    <w:p w14:paraId="17584579" w14:textId="0AE98A46" w:rsidR="00012F6B" w:rsidRDefault="00012F6B" w:rsidP="00AF23DE">
      <w:pPr>
        <w:autoSpaceDE w:val="0"/>
        <w:autoSpaceDN w:val="0"/>
        <w:adjustRightInd w:val="0"/>
        <w:spacing w:after="0" w:line="240" w:lineRule="auto"/>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Note: </w:t>
      </w:r>
      <w:r w:rsidR="00850536">
        <w:rPr>
          <w:rFonts w:asciiTheme="majorHAnsi" w:eastAsia="Times New Roman" w:hAnsiTheme="majorHAnsi" w:cstheme="majorHAnsi"/>
          <w:sz w:val="18"/>
          <w:szCs w:val="18"/>
        </w:rPr>
        <w:t xml:space="preserve">(i) </w:t>
      </w:r>
      <w:r w:rsidRPr="00012F6B">
        <w:rPr>
          <w:rFonts w:asciiTheme="majorHAnsi" w:eastAsia="Times New Roman" w:hAnsiTheme="majorHAnsi" w:cstheme="majorHAnsi"/>
          <w:sz w:val="18"/>
          <w:szCs w:val="18"/>
        </w:rPr>
        <w:t xml:space="preserve">No </w:t>
      </w:r>
      <w:r w:rsidR="00D256CF">
        <w:rPr>
          <w:rFonts w:asciiTheme="majorHAnsi" w:eastAsia="Times New Roman" w:hAnsiTheme="majorHAnsi" w:cstheme="majorHAnsi"/>
          <w:sz w:val="18"/>
          <w:szCs w:val="18"/>
        </w:rPr>
        <w:t>National Savings Fund</w:t>
      </w:r>
      <w:r w:rsidRPr="00012F6B">
        <w:rPr>
          <w:rFonts w:asciiTheme="majorHAnsi" w:eastAsia="Times New Roman" w:hAnsiTheme="majorHAnsi" w:cstheme="majorHAnsi"/>
          <w:sz w:val="18"/>
          <w:szCs w:val="18"/>
        </w:rPr>
        <w:t xml:space="preserve"> contributions are payable in respect of an employee who has reached retirement age whether or not the employee receives Contributory Retirement Pension.</w:t>
      </w:r>
      <w:r w:rsidR="00850536">
        <w:rPr>
          <w:rFonts w:asciiTheme="majorHAnsi" w:eastAsia="Times New Roman" w:hAnsiTheme="majorHAnsi" w:cstheme="majorHAnsi"/>
          <w:sz w:val="18"/>
          <w:szCs w:val="18"/>
        </w:rPr>
        <w:t xml:space="preserve"> (ii) </w:t>
      </w:r>
      <w:r w:rsidR="00850536" w:rsidRPr="00850536">
        <w:rPr>
          <w:rFonts w:asciiTheme="majorHAnsi" w:eastAsia="Times New Roman" w:hAnsiTheme="majorHAnsi" w:cstheme="majorHAnsi"/>
          <w:sz w:val="18"/>
          <w:szCs w:val="18"/>
        </w:rPr>
        <w:t xml:space="preserve">No Training Levy is payable in respect of an employee after he has attained final retirement age. Where an employee has not reached final retirement age, </w:t>
      </w:r>
      <w:r w:rsidR="00850536">
        <w:rPr>
          <w:rFonts w:asciiTheme="majorHAnsi" w:eastAsia="Times New Roman" w:hAnsiTheme="majorHAnsi" w:cstheme="majorHAnsi"/>
          <w:sz w:val="18"/>
          <w:szCs w:val="18"/>
        </w:rPr>
        <w:t>T</w:t>
      </w:r>
      <w:r w:rsidR="00850536" w:rsidRPr="00850536">
        <w:rPr>
          <w:rFonts w:asciiTheme="majorHAnsi" w:eastAsia="Times New Roman" w:hAnsiTheme="majorHAnsi" w:cstheme="majorHAnsi"/>
          <w:sz w:val="18"/>
          <w:szCs w:val="18"/>
        </w:rPr>
        <w:t>raining Levy is payable whether or not the employee receives Contributory Retirement Pension.</w:t>
      </w:r>
    </w:p>
    <w:p w14:paraId="5EFDB12D" w14:textId="4582FBAA" w:rsidR="004F4F65" w:rsidRDefault="004F4F65" w:rsidP="00AF23DE">
      <w:pPr>
        <w:autoSpaceDE w:val="0"/>
        <w:autoSpaceDN w:val="0"/>
        <w:adjustRightInd w:val="0"/>
        <w:spacing w:after="0" w:line="240" w:lineRule="auto"/>
        <w:rPr>
          <w:rFonts w:cs="Times New Roman"/>
          <w:szCs w:val="22"/>
        </w:rPr>
      </w:pPr>
    </w:p>
    <w:tbl>
      <w:tblPr>
        <w:tblStyle w:val="PlainTable2"/>
        <w:tblW w:w="6613" w:type="dxa"/>
        <w:tblLook w:val="04A0" w:firstRow="1" w:lastRow="0" w:firstColumn="1" w:lastColumn="0" w:noHBand="0" w:noVBand="1"/>
      </w:tblPr>
      <w:tblGrid>
        <w:gridCol w:w="4440"/>
        <w:gridCol w:w="2173"/>
      </w:tblGrid>
      <w:tr w:rsidR="001F5DA6" w:rsidRPr="00C92598" w14:paraId="5FB45A13" w14:textId="77777777" w:rsidTr="00AE7E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3" w:type="dxa"/>
            <w:gridSpan w:val="2"/>
            <w:tcBorders>
              <w:top w:val="nil"/>
              <w:bottom w:val="single" w:sz="4" w:space="0" w:color="auto"/>
            </w:tcBorders>
            <w:noWrap/>
            <w:hideMark/>
          </w:tcPr>
          <w:p w14:paraId="62C2A156" w14:textId="0200C35C" w:rsidR="001F5DA6" w:rsidRPr="00C92598" w:rsidRDefault="000212CA" w:rsidP="001F5DA6">
            <w:pPr>
              <w:keepNext/>
              <w:jc w:val="left"/>
              <w:rPr>
                <w:sz w:val="18"/>
                <w:szCs w:val="18"/>
              </w:rPr>
            </w:pPr>
            <w:bookmarkStart w:id="179" w:name="_Toc11256368"/>
            <w:bookmarkStart w:id="180" w:name="_Toc11256431"/>
            <w:bookmarkStart w:id="181" w:name="_Toc11256508"/>
            <w:r w:rsidRPr="000212CA">
              <w:rPr>
                <w:sz w:val="18"/>
                <w:szCs w:val="18"/>
              </w:rPr>
              <w:t xml:space="preserve">Table B </w:t>
            </w:r>
            <w:r w:rsidRPr="000212CA">
              <w:rPr>
                <w:sz w:val="18"/>
                <w:szCs w:val="18"/>
              </w:rPr>
              <w:fldChar w:fldCharType="begin"/>
            </w:r>
            <w:r w:rsidRPr="000212CA">
              <w:rPr>
                <w:sz w:val="18"/>
                <w:szCs w:val="18"/>
              </w:rPr>
              <w:instrText xml:space="preserve"> SEQ Table_B \* ARABIC </w:instrText>
            </w:r>
            <w:r w:rsidRPr="000212CA">
              <w:rPr>
                <w:sz w:val="18"/>
                <w:szCs w:val="18"/>
              </w:rPr>
              <w:fldChar w:fldCharType="separate"/>
            </w:r>
            <w:r w:rsidR="006E1D22">
              <w:rPr>
                <w:noProof/>
                <w:sz w:val="18"/>
                <w:szCs w:val="18"/>
              </w:rPr>
              <w:t>6</w:t>
            </w:r>
            <w:r w:rsidRPr="000212CA">
              <w:rPr>
                <w:sz w:val="18"/>
                <w:szCs w:val="18"/>
              </w:rPr>
              <w:fldChar w:fldCharType="end"/>
            </w:r>
            <w:r w:rsidR="001F5DA6" w:rsidRPr="001F5DA6">
              <w:rPr>
                <w:bCs w:val="0"/>
                <w:sz w:val="18"/>
                <w:szCs w:val="18"/>
              </w:rPr>
              <w:t>. Ab</w:t>
            </w:r>
            <w:r w:rsidR="001F5DA6">
              <w:rPr>
                <w:bCs w:val="0"/>
                <w:sz w:val="18"/>
                <w:szCs w:val="18"/>
              </w:rPr>
              <w:t>s</w:t>
            </w:r>
            <w:r w:rsidR="001F5DA6" w:rsidRPr="001F5DA6">
              <w:rPr>
                <w:bCs w:val="0"/>
                <w:sz w:val="18"/>
                <w:szCs w:val="18"/>
              </w:rPr>
              <w:t xml:space="preserve">olute poverty thresholds </w:t>
            </w:r>
            <w:r w:rsidR="001F5DA6">
              <w:rPr>
                <w:bCs w:val="0"/>
                <w:sz w:val="18"/>
                <w:szCs w:val="18"/>
              </w:rPr>
              <w:t xml:space="preserve">- </w:t>
            </w:r>
            <w:r w:rsidR="001F5DA6" w:rsidRPr="00C92598">
              <w:rPr>
                <w:rFonts w:asciiTheme="majorHAnsi" w:eastAsia="Times New Roman" w:hAnsiTheme="majorHAnsi" w:cstheme="majorHAnsi"/>
                <w:sz w:val="18"/>
                <w:szCs w:val="18"/>
              </w:rPr>
              <w:t>Marshall Plan Social Contract</w:t>
            </w:r>
            <w:bookmarkEnd w:id="179"/>
            <w:bookmarkEnd w:id="180"/>
            <w:bookmarkEnd w:id="181"/>
          </w:p>
        </w:tc>
      </w:tr>
      <w:tr w:rsidR="00C92598" w:rsidRPr="00C92598" w14:paraId="5DAB8C97" w14:textId="77777777" w:rsidTr="001F5D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40" w:type="dxa"/>
            <w:tcBorders>
              <w:top w:val="single" w:sz="4" w:space="0" w:color="auto"/>
            </w:tcBorders>
            <w:noWrap/>
            <w:hideMark/>
          </w:tcPr>
          <w:p w14:paraId="24F07215" w14:textId="77777777" w:rsidR="00C92598" w:rsidRPr="00C92598" w:rsidRDefault="00C92598" w:rsidP="00C92598">
            <w:pPr>
              <w:jc w:val="left"/>
              <w:rPr>
                <w:rFonts w:asciiTheme="majorHAnsi" w:eastAsia="Times New Roman" w:hAnsiTheme="majorHAnsi" w:cstheme="majorHAnsi"/>
                <w:color w:val="222222"/>
                <w:sz w:val="18"/>
                <w:szCs w:val="18"/>
              </w:rPr>
            </w:pPr>
            <w:r w:rsidRPr="00C92598">
              <w:rPr>
                <w:rFonts w:asciiTheme="majorHAnsi" w:eastAsia="Times New Roman" w:hAnsiTheme="majorHAnsi" w:cstheme="majorHAnsi"/>
                <w:color w:val="222222"/>
                <w:sz w:val="18"/>
                <w:szCs w:val="18"/>
              </w:rPr>
              <w:t>Equivalent adults in household (Adult)</w:t>
            </w:r>
          </w:p>
        </w:tc>
        <w:tc>
          <w:tcPr>
            <w:tcW w:w="2173" w:type="dxa"/>
            <w:tcBorders>
              <w:top w:val="single" w:sz="4" w:space="0" w:color="auto"/>
            </w:tcBorders>
            <w:noWrap/>
            <w:hideMark/>
          </w:tcPr>
          <w:p w14:paraId="375547AD" w14:textId="54EA4C3D" w:rsidR="00C92598" w:rsidRPr="00C92598" w:rsidRDefault="00CE2FF3" w:rsidP="00CE2FF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 xml:space="preserve">Monthly </w:t>
            </w:r>
            <w:r w:rsidR="00C11058">
              <w:rPr>
                <w:rFonts w:asciiTheme="majorHAnsi" w:eastAsia="Times New Roman" w:hAnsiTheme="majorHAnsi" w:cstheme="majorHAnsi"/>
                <w:color w:val="000000"/>
                <w:sz w:val="18"/>
                <w:szCs w:val="18"/>
              </w:rPr>
              <w:t>t</w:t>
            </w:r>
            <w:r w:rsidR="00C92598" w:rsidRPr="00C92598">
              <w:rPr>
                <w:rFonts w:asciiTheme="majorHAnsi" w:eastAsia="Times New Roman" w:hAnsiTheme="majorHAnsi" w:cstheme="majorHAnsi"/>
                <w:color w:val="000000"/>
                <w:sz w:val="18"/>
                <w:szCs w:val="18"/>
              </w:rPr>
              <w:t>hreshold (</w:t>
            </w:r>
            <w:r w:rsidR="00C11058">
              <w:rPr>
                <w:rFonts w:asciiTheme="majorHAnsi" w:eastAsia="Times New Roman" w:hAnsiTheme="majorHAnsi" w:cstheme="majorHAnsi"/>
                <w:color w:val="000000"/>
                <w:sz w:val="18"/>
                <w:szCs w:val="18"/>
              </w:rPr>
              <w:t>MUR</w:t>
            </w:r>
            <w:r w:rsidR="00C92598" w:rsidRPr="00C92598">
              <w:rPr>
                <w:rFonts w:asciiTheme="majorHAnsi" w:eastAsia="Times New Roman" w:hAnsiTheme="majorHAnsi" w:cstheme="majorHAnsi"/>
                <w:color w:val="000000"/>
                <w:sz w:val="18"/>
                <w:szCs w:val="18"/>
              </w:rPr>
              <w:t>)</w:t>
            </w:r>
          </w:p>
        </w:tc>
      </w:tr>
      <w:tr w:rsidR="00C92598" w:rsidRPr="00C92598" w14:paraId="28234640"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bottom w:val="nil"/>
            </w:tcBorders>
            <w:noWrap/>
            <w:hideMark/>
          </w:tcPr>
          <w:p w14:paraId="193D6768"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One adult</w:t>
            </w:r>
          </w:p>
        </w:tc>
        <w:tc>
          <w:tcPr>
            <w:tcW w:w="2173" w:type="dxa"/>
            <w:tcBorders>
              <w:bottom w:val="nil"/>
            </w:tcBorders>
            <w:noWrap/>
            <w:hideMark/>
          </w:tcPr>
          <w:p w14:paraId="63B4BF7F" w14:textId="54D80A5E"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2,720</w:t>
            </w:r>
          </w:p>
        </w:tc>
      </w:tr>
      <w:tr w:rsidR="00C92598" w:rsidRPr="00C92598" w14:paraId="76E03814" w14:textId="77777777" w:rsidTr="00C925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hideMark/>
          </w:tcPr>
          <w:p w14:paraId="6C4ADA4B"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One adult and one child</w:t>
            </w:r>
          </w:p>
        </w:tc>
        <w:tc>
          <w:tcPr>
            <w:tcW w:w="2173" w:type="dxa"/>
            <w:tcBorders>
              <w:top w:val="nil"/>
              <w:bottom w:val="nil"/>
            </w:tcBorders>
            <w:noWrap/>
            <w:hideMark/>
          </w:tcPr>
          <w:p w14:paraId="0EA54F4F" w14:textId="096B6693"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4,080</w:t>
            </w:r>
          </w:p>
        </w:tc>
      </w:tr>
      <w:tr w:rsidR="00C92598" w:rsidRPr="00C92598" w14:paraId="00310770"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hideMark/>
          </w:tcPr>
          <w:p w14:paraId="12D441D1"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One adult and two children</w:t>
            </w:r>
          </w:p>
        </w:tc>
        <w:tc>
          <w:tcPr>
            <w:tcW w:w="2173" w:type="dxa"/>
            <w:tcBorders>
              <w:top w:val="nil"/>
              <w:bottom w:val="nil"/>
            </w:tcBorders>
            <w:noWrap/>
            <w:hideMark/>
          </w:tcPr>
          <w:p w14:paraId="73EDADCA" w14:textId="668802BD"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5,440</w:t>
            </w:r>
          </w:p>
        </w:tc>
      </w:tr>
      <w:tr w:rsidR="00C92598" w:rsidRPr="00C92598" w14:paraId="561A180B" w14:textId="77777777" w:rsidTr="00C925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73F6FA46"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One adult and three children</w:t>
            </w:r>
          </w:p>
        </w:tc>
        <w:tc>
          <w:tcPr>
            <w:tcW w:w="2173" w:type="dxa"/>
            <w:tcBorders>
              <w:top w:val="nil"/>
              <w:bottom w:val="nil"/>
            </w:tcBorders>
            <w:noWrap/>
            <w:hideMark/>
          </w:tcPr>
          <w:p w14:paraId="64EC3E2C" w14:textId="0013F4D4"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6,800</w:t>
            </w:r>
          </w:p>
        </w:tc>
      </w:tr>
      <w:tr w:rsidR="00C92598" w:rsidRPr="00C92598" w14:paraId="7F63A1E8"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421933B7"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Two adults</w:t>
            </w:r>
          </w:p>
        </w:tc>
        <w:tc>
          <w:tcPr>
            <w:tcW w:w="2173" w:type="dxa"/>
            <w:tcBorders>
              <w:top w:val="nil"/>
              <w:bottom w:val="nil"/>
            </w:tcBorders>
            <w:noWrap/>
            <w:hideMark/>
          </w:tcPr>
          <w:p w14:paraId="5BE1C587" w14:textId="6A8423D7"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5,440</w:t>
            </w:r>
          </w:p>
        </w:tc>
      </w:tr>
      <w:tr w:rsidR="00C92598" w:rsidRPr="00C92598" w14:paraId="4F344E23" w14:textId="77777777" w:rsidTr="00C925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hideMark/>
          </w:tcPr>
          <w:p w14:paraId="2C4747A1"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Two adults and one child</w:t>
            </w:r>
          </w:p>
        </w:tc>
        <w:tc>
          <w:tcPr>
            <w:tcW w:w="2173" w:type="dxa"/>
            <w:tcBorders>
              <w:top w:val="nil"/>
              <w:bottom w:val="nil"/>
            </w:tcBorders>
            <w:noWrap/>
            <w:hideMark/>
          </w:tcPr>
          <w:p w14:paraId="4593B930" w14:textId="7D677393"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6,800</w:t>
            </w:r>
          </w:p>
        </w:tc>
      </w:tr>
      <w:tr w:rsidR="00C92598" w:rsidRPr="00C92598" w14:paraId="6514EA7F"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hideMark/>
          </w:tcPr>
          <w:p w14:paraId="24A67D8B"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Two adults and two children</w:t>
            </w:r>
          </w:p>
        </w:tc>
        <w:tc>
          <w:tcPr>
            <w:tcW w:w="2173" w:type="dxa"/>
            <w:tcBorders>
              <w:top w:val="nil"/>
              <w:bottom w:val="nil"/>
            </w:tcBorders>
            <w:noWrap/>
            <w:hideMark/>
          </w:tcPr>
          <w:p w14:paraId="222AF565" w14:textId="4DC87977"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8,160</w:t>
            </w:r>
          </w:p>
        </w:tc>
      </w:tr>
      <w:tr w:rsidR="00C92598" w:rsidRPr="00C92598" w14:paraId="4708DBD4" w14:textId="77777777" w:rsidTr="00C925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6E74FCED" w14:textId="7965DF73"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Thre</w:t>
            </w:r>
            <w:r w:rsidR="001F5DA6" w:rsidRPr="001F5DA6">
              <w:rPr>
                <w:rFonts w:asciiTheme="majorHAnsi" w:eastAsia="Times New Roman" w:hAnsiTheme="majorHAnsi" w:cstheme="majorHAnsi"/>
                <w:b w:val="0"/>
                <w:color w:val="000000"/>
                <w:sz w:val="18"/>
                <w:szCs w:val="18"/>
              </w:rPr>
              <w:t>e</w:t>
            </w:r>
            <w:r w:rsidRPr="00C92598">
              <w:rPr>
                <w:rFonts w:asciiTheme="majorHAnsi" w:eastAsia="Times New Roman" w:hAnsiTheme="majorHAnsi" w:cstheme="majorHAnsi"/>
                <w:b w:val="0"/>
                <w:color w:val="000000"/>
                <w:sz w:val="18"/>
                <w:szCs w:val="18"/>
              </w:rPr>
              <w:t xml:space="preserve"> adults and three children</w:t>
            </w:r>
          </w:p>
        </w:tc>
        <w:tc>
          <w:tcPr>
            <w:tcW w:w="2173" w:type="dxa"/>
            <w:tcBorders>
              <w:top w:val="nil"/>
              <w:bottom w:val="nil"/>
            </w:tcBorders>
            <w:noWrap/>
            <w:hideMark/>
          </w:tcPr>
          <w:p w14:paraId="1917F46E" w14:textId="5ECE2DFE"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9,520</w:t>
            </w:r>
          </w:p>
        </w:tc>
      </w:tr>
      <w:tr w:rsidR="00C92598" w:rsidRPr="00C92598" w14:paraId="153BF380"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39E632E0"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Three adults</w:t>
            </w:r>
          </w:p>
        </w:tc>
        <w:tc>
          <w:tcPr>
            <w:tcW w:w="2173" w:type="dxa"/>
            <w:tcBorders>
              <w:top w:val="nil"/>
              <w:bottom w:val="nil"/>
            </w:tcBorders>
            <w:noWrap/>
            <w:hideMark/>
          </w:tcPr>
          <w:p w14:paraId="4F3A9391" w14:textId="48493FF8"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8,190</w:t>
            </w:r>
          </w:p>
        </w:tc>
      </w:tr>
      <w:tr w:rsidR="00C92598" w:rsidRPr="00C92598" w14:paraId="39BEBF7C" w14:textId="77777777" w:rsidTr="00C925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37F93677"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Three adults and one child</w:t>
            </w:r>
          </w:p>
        </w:tc>
        <w:tc>
          <w:tcPr>
            <w:tcW w:w="2173" w:type="dxa"/>
            <w:tcBorders>
              <w:top w:val="nil"/>
              <w:bottom w:val="nil"/>
            </w:tcBorders>
            <w:noWrap/>
            <w:hideMark/>
          </w:tcPr>
          <w:p w14:paraId="6EAB3936" w14:textId="4103B747"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9,520</w:t>
            </w:r>
          </w:p>
        </w:tc>
      </w:tr>
      <w:tr w:rsidR="00C92598" w:rsidRPr="00C92598" w14:paraId="5337F180" w14:textId="77777777" w:rsidTr="00C92598">
        <w:trPr>
          <w:trHeight w:val="300"/>
        </w:trPr>
        <w:tc>
          <w:tcPr>
            <w:cnfStyle w:val="001000000000" w:firstRow="0" w:lastRow="0" w:firstColumn="1" w:lastColumn="0" w:oddVBand="0" w:evenVBand="0" w:oddHBand="0" w:evenHBand="0" w:firstRowFirstColumn="0" w:firstRowLastColumn="0" w:lastRowFirstColumn="0" w:lastRowLastColumn="0"/>
            <w:tcW w:w="4440" w:type="dxa"/>
            <w:tcBorders>
              <w:top w:val="nil"/>
              <w:bottom w:val="nil"/>
            </w:tcBorders>
            <w:noWrap/>
            <w:hideMark/>
          </w:tcPr>
          <w:p w14:paraId="65C4BD0E"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Three adults and two children</w:t>
            </w:r>
          </w:p>
        </w:tc>
        <w:tc>
          <w:tcPr>
            <w:tcW w:w="2173" w:type="dxa"/>
            <w:tcBorders>
              <w:top w:val="nil"/>
              <w:bottom w:val="nil"/>
            </w:tcBorders>
            <w:noWrap/>
            <w:hideMark/>
          </w:tcPr>
          <w:p w14:paraId="4795A717" w14:textId="427D8DCF" w:rsidR="00C92598" w:rsidRPr="00C92598" w:rsidRDefault="00C92598" w:rsidP="00C9259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9,520</w:t>
            </w:r>
          </w:p>
        </w:tc>
      </w:tr>
      <w:tr w:rsidR="00C92598" w:rsidRPr="00C92598" w14:paraId="4AF2502B" w14:textId="77777777" w:rsidTr="001F5D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40" w:type="dxa"/>
            <w:tcBorders>
              <w:top w:val="nil"/>
              <w:bottom w:val="single" w:sz="4" w:space="0" w:color="auto"/>
            </w:tcBorders>
            <w:noWrap/>
            <w:hideMark/>
          </w:tcPr>
          <w:p w14:paraId="243894AB" w14:textId="77777777" w:rsidR="00C92598" w:rsidRPr="00C92598" w:rsidRDefault="00C92598" w:rsidP="00C92598">
            <w:pPr>
              <w:jc w:val="left"/>
              <w:rPr>
                <w:rFonts w:asciiTheme="majorHAnsi" w:eastAsia="Times New Roman" w:hAnsiTheme="majorHAnsi" w:cstheme="majorHAnsi"/>
                <w:b w:val="0"/>
                <w:color w:val="000000"/>
                <w:sz w:val="18"/>
                <w:szCs w:val="18"/>
              </w:rPr>
            </w:pPr>
            <w:r w:rsidRPr="00C92598">
              <w:rPr>
                <w:rFonts w:asciiTheme="majorHAnsi" w:eastAsia="Times New Roman" w:hAnsiTheme="majorHAnsi" w:cstheme="majorHAnsi"/>
                <w:b w:val="0"/>
                <w:color w:val="000000"/>
                <w:sz w:val="18"/>
                <w:szCs w:val="18"/>
              </w:rPr>
              <w:t>Three adults and three children</w:t>
            </w:r>
          </w:p>
        </w:tc>
        <w:tc>
          <w:tcPr>
            <w:tcW w:w="2173" w:type="dxa"/>
            <w:tcBorders>
              <w:top w:val="nil"/>
              <w:bottom w:val="single" w:sz="4" w:space="0" w:color="auto"/>
            </w:tcBorders>
            <w:noWrap/>
            <w:hideMark/>
          </w:tcPr>
          <w:p w14:paraId="29AC1D71" w14:textId="143B3B06" w:rsidR="00C92598" w:rsidRPr="00C92598" w:rsidRDefault="00C92598" w:rsidP="00C9259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rPr>
            </w:pPr>
            <w:r w:rsidRPr="00C92598">
              <w:rPr>
                <w:rFonts w:asciiTheme="majorHAnsi" w:eastAsia="Times New Roman" w:hAnsiTheme="majorHAnsi" w:cstheme="majorHAnsi"/>
                <w:color w:val="000000"/>
                <w:sz w:val="18"/>
                <w:szCs w:val="18"/>
              </w:rPr>
              <w:t>9,520</w:t>
            </w:r>
          </w:p>
        </w:tc>
      </w:tr>
      <w:tr w:rsidR="001F5DA6" w:rsidRPr="001F5DA6" w14:paraId="7FF3C063" w14:textId="77777777" w:rsidTr="001F5DA6">
        <w:trPr>
          <w:trHeight w:val="300"/>
        </w:trPr>
        <w:tc>
          <w:tcPr>
            <w:cnfStyle w:val="001000000000" w:firstRow="0" w:lastRow="0" w:firstColumn="1" w:lastColumn="0" w:oddVBand="0" w:evenVBand="0" w:oddHBand="0" w:evenHBand="0" w:firstRowFirstColumn="0" w:firstRowLastColumn="0" w:lastRowFirstColumn="0" w:lastRowLastColumn="0"/>
            <w:tcW w:w="6613" w:type="dxa"/>
            <w:gridSpan w:val="2"/>
            <w:tcBorders>
              <w:top w:val="single" w:sz="4" w:space="0" w:color="auto"/>
              <w:bottom w:val="nil"/>
            </w:tcBorders>
            <w:noWrap/>
            <w:hideMark/>
          </w:tcPr>
          <w:p w14:paraId="3954A968" w14:textId="59ADFFEB" w:rsidR="001F5DA6" w:rsidRPr="00C92598" w:rsidRDefault="001F5DA6" w:rsidP="00C92598">
            <w:pPr>
              <w:jc w:val="left"/>
              <w:rPr>
                <w:rFonts w:asciiTheme="majorHAnsi" w:eastAsia="Times New Roman" w:hAnsiTheme="majorHAnsi" w:cstheme="majorHAnsi"/>
                <w:b w:val="0"/>
                <w:sz w:val="18"/>
                <w:szCs w:val="18"/>
              </w:rPr>
            </w:pPr>
            <w:r w:rsidRPr="001F5DA6">
              <w:rPr>
                <w:rFonts w:asciiTheme="majorHAnsi" w:eastAsia="Times New Roman" w:hAnsiTheme="majorHAnsi" w:cstheme="majorHAnsi"/>
                <w:b w:val="0"/>
                <w:i/>
                <w:sz w:val="18"/>
                <w:szCs w:val="18"/>
              </w:rPr>
              <w:t>Source</w:t>
            </w:r>
            <w:r w:rsidRPr="001F5DA6">
              <w:rPr>
                <w:rFonts w:asciiTheme="majorHAnsi" w:eastAsia="Times New Roman" w:hAnsiTheme="majorHAnsi" w:cstheme="majorHAnsi"/>
                <w:b w:val="0"/>
                <w:sz w:val="18"/>
                <w:szCs w:val="18"/>
              </w:rPr>
              <w:t>: Social Integration and Empowerment Act, 2016.</w:t>
            </w:r>
          </w:p>
        </w:tc>
      </w:tr>
    </w:tbl>
    <w:p w14:paraId="4CFD8D50" w14:textId="77777777" w:rsidR="004F4F65" w:rsidRPr="00AF23DE" w:rsidRDefault="004F4F65" w:rsidP="00AF23DE">
      <w:pPr>
        <w:autoSpaceDE w:val="0"/>
        <w:autoSpaceDN w:val="0"/>
        <w:adjustRightInd w:val="0"/>
        <w:spacing w:after="0" w:line="240" w:lineRule="auto"/>
        <w:rPr>
          <w:rFonts w:cs="Times New Roman"/>
          <w:szCs w:val="22"/>
        </w:rPr>
      </w:pPr>
    </w:p>
    <w:sectPr w:rsidR="004F4F65" w:rsidRPr="00AF23DE" w:rsidSect="002E68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D1D69" w14:textId="77777777" w:rsidR="00372EF8" w:rsidRDefault="00372EF8" w:rsidP="00FC291A">
      <w:pPr>
        <w:spacing w:after="0" w:line="240" w:lineRule="auto"/>
      </w:pPr>
      <w:r>
        <w:separator/>
      </w:r>
    </w:p>
  </w:endnote>
  <w:endnote w:type="continuationSeparator" w:id="0">
    <w:p w14:paraId="71C9C3C0" w14:textId="77777777" w:rsidR="00372EF8" w:rsidRDefault="00372EF8" w:rsidP="00FC291A">
      <w:pPr>
        <w:spacing w:after="0" w:line="240" w:lineRule="auto"/>
      </w:pPr>
      <w:r>
        <w:continuationSeparator/>
      </w:r>
    </w:p>
  </w:endnote>
  <w:endnote w:type="continuationNotice" w:id="1">
    <w:p w14:paraId="76700936" w14:textId="77777777" w:rsidR="00372EF8" w:rsidRDefault="00372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gbtrmAdvTT86d47313">
    <w:altName w:val="Cambria"/>
    <w:panose1 w:val="00000000000000000000"/>
    <w:charset w:val="00"/>
    <w:family w:val="roman"/>
    <w:notTrueType/>
    <w:pitch w:val="default"/>
    <w:sig w:usb0="00000003" w:usb1="00000000" w:usb2="00000000" w:usb3="00000000" w:csb0="00000001" w:csb1="00000000"/>
  </w:font>
  <w:font w:name="MyriadPro-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651418"/>
      <w:docPartObj>
        <w:docPartGallery w:val="Page Numbers (Bottom of Page)"/>
        <w:docPartUnique/>
      </w:docPartObj>
    </w:sdtPr>
    <w:sdtEndPr>
      <w:rPr>
        <w:noProof/>
        <w:sz w:val="20"/>
        <w:szCs w:val="20"/>
      </w:rPr>
    </w:sdtEndPr>
    <w:sdtContent>
      <w:p w14:paraId="20A4BAE2" w14:textId="77777777" w:rsidR="00D256CF" w:rsidRPr="00597997" w:rsidRDefault="00D256CF">
        <w:pPr>
          <w:pStyle w:val="Footer"/>
          <w:jc w:val="center"/>
          <w:rPr>
            <w:sz w:val="20"/>
            <w:szCs w:val="20"/>
          </w:rPr>
        </w:pPr>
        <w:r w:rsidRPr="00597997">
          <w:rPr>
            <w:sz w:val="20"/>
            <w:szCs w:val="20"/>
          </w:rPr>
          <w:fldChar w:fldCharType="begin"/>
        </w:r>
        <w:r w:rsidRPr="00597997">
          <w:rPr>
            <w:sz w:val="20"/>
            <w:szCs w:val="20"/>
          </w:rPr>
          <w:instrText xml:space="preserve"> PAGE   \* MERGEFORMAT </w:instrText>
        </w:r>
        <w:r w:rsidRPr="00597997">
          <w:rPr>
            <w:sz w:val="20"/>
            <w:szCs w:val="20"/>
          </w:rPr>
          <w:fldChar w:fldCharType="separate"/>
        </w:r>
        <w:r w:rsidRPr="00597997">
          <w:rPr>
            <w:noProof/>
            <w:sz w:val="20"/>
            <w:szCs w:val="20"/>
          </w:rPr>
          <w:t>2</w:t>
        </w:r>
        <w:r w:rsidRPr="00597997">
          <w:rPr>
            <w:noProof/>
            <w:sz w:val="20"/>
            <w:szCs w:val="20"/>
          </w:rPr>
          <w:fldChar w:fldCharType="end"/>
        </w:r>
      </w:p>
    </w:sdtContent>
  </w:sdt>
  <w:p w14:paraId="6AA230B1" w14:textId="77777777" w:rsidR="00D256CF" w:rsidRDefault="00D25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3894"/>
      <w:docPartObj>
        <w:docPartGallery w:val="Page Numbers (Bottom of Page)"/>
        <w:docPartUnique/>
      </w:docPartObj>
    </w:sdtPr>
    <w:sdtEndPr>
      <w:rPr>
        <w:noProof/>
        <w:sz w:val="20"/>
        <w:szCs w:val="20"/>
      </w:rPr>
    </w:sdtEndPr>
    <w:sdtContent>
      <w:p w14:paraId="3322A505" w14:textId="484FC686" w:rsidR="00D256CF" w:rsidRPr="00597997" w:rsidRDefault="00D256CF">
        <w:pPr>
          <w:pStyle w:val="Footer"/>
          <w:jc w:val="center"/>
          <w:rPr>
            <w:sz w:val="20"/>
            <w:szCs w:val="20"/>
          </w:rPr>
        </w:pPr>
        <w:r w:rsidRPr="00597997">
          <w:rPr>
            <w:sz w:val="20"/>
            <w:szCs w:val="20"/>
          </w:rPr>
          <w:fldChar w:fldCharType="begin"/>
        </w:r>
        <w:r w:rsidRPr="00597997">
          <w:rPr>
            <w:sz w:val="20"/>
            <w:szCs w:val="20"/>
          </w:rPr>
          <w:instrText xml:space="preserve"> PAGE   \* MERGEFORMAT </w:instrText>
        </w:r>
        <w:r w:rsidRPr="00597997">
          <w:rPr>
            <w:sz w:val="20"/>
            <w:szCs w:val="20"/>
          </w:rPr>
          <w:fldChar w:fldCharType="separate"/>
        </w:r>
        <w:r w:rsidRPr="00597997">
          <w:rPr>
            <w:noProof/>
            <w:sz w:val="20"/>
            <w:szCs w:val="20"/>
          </w:rPr>
          <w:t>2</w:t>
        </w:r>
        <w:r w:rsidRPr="00597997">
          <w:rPr>
            <w:noProof/>
            <w:sz w:val="20"/>
            <w:szCs w:val="20"/>
          </w:rPr>
          <w:fldChar w:fldCharType="end"/>
        </w:r>
      </w:p>
    </w:sdtContent>
  </w:sdt>
  <w:p w14:paraId="5CA2BC9A" w14:textId="77777777" w:rsidR="00D256CF" w:rsidRDefault="00D25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349A2" w14:textId="77777777" w:rsidR="00372EF8" w:rsidRDefault="00372EF8" w:rsidP="00FC291A">
      <w:pPr>
        <w:spacing w:after="0" w:line="240" w:lineRule="auto"/>
      </w:pPr>
      <w:r>
        <w:separator/>
      </w:r>
    </w:p>
  </w:footnote>
  <w:footnote w:type="continuationSeparator" w:id="0">
    <w:p w14:paraId="66C56C34" w14:textId="77777777" w:rsidR="00372EF8" w:rsidRDefault="00372EF8" w:rsidP="00FC291A">
      <w:pPr>
        <w:spacing w:after="0" w:line="240" w:lineRule="auto"/>
      </w:pPr>
      <w:r>
        <w:continuationSeparator/>
      </w:r>
    </w:p>
  </w:footnote>
  <w:footnote w:type="continuationNotice" w:id="1">
    <w:p w14:paraId="0BA0CADD" w14:textId="77777777" w:rsidR="00372EF8" w:rsidRDefault="00372EF8">
      <w:pPr>
        <w:spacing w:after="0" w:line="240" w:lineRule="auto"/>
      </w:pPr>
    </w:p>
  </w:footnote>
  <w:footnote w:id="2">
    <w:p w14:paraId="25D9A633" w14:textId="075E5119" w:rsidR="00D256CF" w:rsidRPr="00565011" w:rsidRDefault="00D256CF" w:rsidP="00727D48">
      <w:pPr>
        <w:pStyle w:val="FootnoteText"/>
        <w:widowControl w:val="0"/>
      </w:pPr>
      <w:r w:rsidRPr="00565011">
        <w:rPr>
          <w:rStyle w:val="FootnoteReference"/>
        </w:rPr>
        <w:footnoteRef/>
      </w:r>
      <w:r w:rsidRPr="00565011">
        <w:t xml:space="preserve"> </w:t>
      </w:r>
      <w:r>
        <w:t xml:space="preserve">See </w:t>
      </w:r>
      <w:r w:rsidRPr="00565011">
        <w:t xml:space="preserve">CEQ Standard Indicators (database), Commitment to Equity, Inter-American Dialogue, Washington, DC; Center for Inter-American Policy and Research and Department of Economics, Tulane University, New Orleans, </w:t>
      </w:r>
      <w:r w:rsidRPr="008B310A">
        <w:t>http://commitmentoequity.org/datacenter</w:t>
      </w:r>
      <w:r w:rsidRPr="00565011">
        <w:t>.</w:t>
      </w:r>
    </w:p>
  </w:footnote>
  <w:footnote w:id="3">
    <w:p w14:paraId="6A19AF31" w14:textId="284F41C5" w:rsidR="00D256CF" w:rsidRPr="00565011" w:rsidRDefault="00D256CF" w:rsidP="00727D48">
      <w:pPr>
        <w:pStyle w:val="FootnoteText"/>
        <w:widowControl w:val="0"/>
      </w:pPr>
      <w:r w:rsidRPr="00565011">
        <w:rPr>
          <w:rStyle w:val="FootnoteReference"/>
        </w:rPr>
        <w:footnoteRef/>
      </w:r>
      <w:r w:rsidRPr="00565011">
        <w:t xml:space="preserve"> </w:t>
      </w:r>
      <w:r w:rsidRPr="00565011">
        <w:rPr>
          <w:rFonts w:cs="Times New Roman"/>
        </w:rPr>
        <w:t>Estimates are based on the latest available surveys from upper-middle-income countries</w:t>
      </w:r>
      <w:r>
        <w:rPr>
          <w:rFonts w:cs="Times New Roman"/>
        </w:rPr>
        <w:t>. See</w:t>
      </w:r>
      <w:r w:rsidRPr="00565011">
        <w:rPr>
          <w:rFonts w:cs="Times New Roman"/>
        </w:rPr>
        <w:t xml:space="preserve"> </w:t>
      </w:r>
      <w:r w:rsidRPr="0050217E">
        <w:rPr>
          <w:rFonts w:cs="Times New Roman"/>
        </w:rPr>
        <w:t>Poverty and Equity Data Portal (database), World Bank, Washington, DC, http://povertydata.worldbank.org/poverty/home/</w:t>
      </w:r>
      <w:r w:rsidRPr="00565011">
        <w:rPr>
          <w:rFonts w:cs="Times New Roman"/>
        </w:rPr>
        <w:t>.</w:t>
      </w:r>
    </w:p>
  </w:footnote>
  <w:footnote w:id="4">
    <w:p w14:paraId="4050C4EA" w14:textId="6A848274" w:rsidR="00D256CF" w:rsidRPr="00565011" w:rsidRDefault="00D256CF" w:rsidP="00727D48">
      <w:pPr>
        <w:pStyle w:val="FootnoteText"/>
        <w:widowControl w:val="0"/>
      </w:pPr>
      <w:r w:rsidRPr="00565011">
        <w:rPr>
          <w:rStyle w:val="FootnoteReference"/>
        </w:rPr>
        <w:footnoteRef/>
      </w:r>
      <w:r w:rsidRPr="00565011">
        <w:t xml:space="preserve"> The Continuous MultiPurpose Household Survey does not allow a measure of disposable income </w:t>
      </w:r>
      <w:r>
        <w:t>to be</w:t>
      </w:r>
      <w:r w:rsidRPr="004F3569">
        <w:t xml:space="preserve"> </w:t>
      </w:r>
      <w:r w:rsidRPr="00885467">
        <w:t>derive</w:t>
      </w:r>
      <w:r>
        <w:t>d</w:t>
      </w:r>
      <w:r w:rsidRPr="00885467">
        <w:t xml:space="preserve"> </w:t>
      </w:r>
      <w:r>
        <w:t xml:space="preserve">because </w:t>
      </w:r>
      <w:r w:rsidRPr="00565011">
        <w:t>information regarding the amount of taxes paid is not consistently collected over time</w:t>
      </w:r>
      <w:r>
        <w:t>,</w:t>
      </w:r>
      <w:r w:rsidRPr="00565011">
        <w:t xml:space="preserve"> and no information is available regarding the net value of owner-occupied dwellings.</w:t>
      </w:r>
    </w:p>
  </w:footnote>
  <w:footnote w:id="5">
    <w:p w14:paraId="685E2453" w14:textId="6D88A0CC" w:rsidR="00D256CF" w:rsidRPr="00565011" w:rsidRDefault="00D256CF" w:rsidP="00727D48">
      <w:pPr>
        <w:pStyle w:val="FootnoteText"/>
        <w:widowControl w:val="0"/>
      </w:pPr>
      <w:r w:rsidRPr="00565011">
        <w:rPr>
          <w:rStyle w:val="FootnoteReference"/>
        </w:rPr>
        <w:footnoteRef/>
      </w:r>
      <w:r w:rsidRPr="00565011">
        <w:t xml:space="preserve"> For further details, see </w:t>
      </w:r>
      <w:r>
        <w:t xml:space="preserve">the CEQ Institute website, at </w:t>
      </w:r>
      <w:hyperlink r:id="rId1" w:history="1">
        <w:r w:rsidRPr="00565011">
          <w:rPr>
            <w:rStyle w:val="Hyperlink"/>
          </w:rPr>
          <w:t>http://commitmentoequity.org/</w:t>
        </w:r>
      </w:hyperlink>
      <w:r w:rsidRPr="00565011">
        <w:t xml:space="preserve"> and </w:t>
      </w:r>
      <w:r>
        <w:t>Lustig (2018)</w:t>
      </w:r>
      <w:r w:rsidRPr="00565011">
        <w:t>.</w:t>
      </w:r>
    </w:p>
  </w:footnote>
  <w:footnote w:id="6">
    <w:p w14:paraId="77761DAA" w14:textId="2FAB1CA3" w:rsidR="00D256CF" w:rsidRPr="00565011" w:rsidRDefault="00D256CF" w:rsidP="00727D48">
      <w:pPr>
        <w:pStyle w:val="FootnoteText"/>
        <w:widowControl w:val="0"/>
      </w:pPr>
      <w:r w:rsidRPr="00565011">
        <w:rPr>
          <w:rStyle w:val="FootnoteReference"/>
        </w:rPr>
        <w:footnoteRef/>
      </w:r>
      <w:r w:rsidRPr="00565011">
        <w:t xml:space="preserve"> Another possible explanation for the fact that a progressive tax is unequalizing is household reranking.</w:t>
      </w:r>
    </w:p>
  </w:footnote>
  <w:footnote w:id="7">
    <w:p w14:paraId="57589AAA" w14:textId="7488E384" w:rsidR="00D256CF" w:rsidRPr="00565011" w:rsidRDefault="00D256CF" w:rsidP="00727D48">
      <w:pPr>
        <w:widowControl w:val="0"/>
        <w:spacing w:after="0" w:line="240" w:lineRule="auto"/>
        <w:rPr>
          <w:sz w:val="20"/>
          <w:szCs w:val="20"/>
        </w:rPr>
      </w:pPr>
      <w:r w:rsidRPr="00727D48">
        <w:rPr>
          <w:rStyle w:val="FootnoteReference"/>
          <w:sz w:val="20"/>
          <w:szCs w:val="20"/>
        </w:rPr>
        <w:footnoteRef/>
      </w:r>
      <w:r w:rsidRPr="00727D48">
        <w:rPr>
          <w:sz w:val="20"/>
          <w:szCs w:val="20"/>
        </w:rPr>
        <w:t xml:space="preserve"> </w:t>
      </w:r>
      <w:r w:rsidRPr="00565011">
        <w:rPr>
          <w:sz w:val="20"/>
          <w:szCs w:val="20"/>
        </w:rPr>
        <w:t xml:space="preserve">The Income Tax Act requires individuals earning more than MUR 300,000 </w:t>
      </w:r>
      <w:r>
        <w:rPr>
          <w:sz w:val="20"/>
          <w:szCs w:val="20"/>
        </w:rPr>
        <w:t xml:space="preserve">a </w:t>
      </w:r>
      <w:r w:rsidRPr="00565011">
        <w:rPr>
          <w:sz w:val="20"/>
          <w:szCs w:val="20"/>
        </w:rPr>
        <w:t xml:space="preserve">year to file an income tax return, irrespective of whether they have a positive or negative taxable income. </w:t>
      </w:r>
      <w:r>
        <w:rPr>
          <w:sz w:val="20"/>
          <w:szCs w:val="20"/>
        </w:rPr>
        <w:t xml:space="preserve">Because of </w:t>
      </w:r>
      <w:r w:rsidRPr="00565011">
        <w:rPr>
          <w:sz w:val="20"/>
          <w:szCs w:val="20"/>
        </w:rPr>
        <w:t>the high income exemption thresholds, many taxpayers are outside the tax net.</w:t>
      </w:r>
    </w:p>
  </w:footnote>
  <w:footnote w:id="8">
    <w:p w14:paraId="53E7A636" w14:textId="3DF967A8" w:rsidR="00D256CF" w:rsidRPr="00565011" w:rsidRDefault="00D256CF" w:rsidP="00727D48">
      <w:pPr>
        <w:pStyle w:val="FootnoteText"/>
        <w:widowControl w:val="0"/>
      </w:pPr>
      <w:r w:rsidRPr="00565011">
        <w:rPr>
          <w:rStyle w:val="FootnoteReference"/>
        </w:rPr>
        <w:footnoteRef/>
      </w:r>
      <w:r w:rsidRPr="00565011">
        <w:t xml:space="preserve"> </w:t>
      </w:r>
      <w:r>
        <w:t>Primary care s</w:t>
      </w:r>
      <w:r w:rsidRPr="00565011">
        <w:rPr>
          <w:rFonts w:asciiTheme="majorHAnsi" w:hAnsiTheme="majorHAnsi" w:cstheme="majorHAnsi"/>
        </w:rPr>
        <w:t xml:space="preserve">ervices include </w:t>
      </w:r>
      <w:r>
        <w:rPr>
          <w:rFonts w:asciiTheme="majorHAnsi" w:hAnsiTheme="majorHAnsi" w:cstheme="majorHAnsi"/>
        </w:rPr>
        <w:t xml:space="preserve">the </w:t>
      </w:r>
      <w:r w:rsidRPr="00565011">
        <w:rPr>
          <w:rFonts w:asciiTheme="majorHAnsi" w:hAnsiTheme="majorHAnsi" w:cstheme="majorHAnsi"/>
        </w:rPr>
        <w:t>prevention and treatment of common diseases and injuries, basic emergency services, referrals to and coordination with other levels of care, primary maternity care and healthy child development, specialized clinics, disease prevention and screening, health promotion, surveillance of communicable diseases, reproductive health</w:t>
      </w:r>
      <w:r>
        <w:rPr>
          <w:rFonts w:asciiTheme="majorHAnsi" w:hAnsiTheme="majorHAnsi" w:cstheme="majorHAnsi"/>
        </w:rPr>
        <w:t>,</w:t>
      </w:r>
      <w:r w:rsidRPr="00565011">
        <w:rPr>
          <w:rFonts w:asciiTheme="majorHAnsi" w:hAnsiTheme="majorHAnsi" w:cstheme="majorHAnsi"/>
        </w:rPr>
        <w:t xml:space="preserve"> and rehabilitation services.</w:t>
      </w:r>
    </w:p>
  </w:footnote>
  <w:footnote w:id="9">
    <w:p w14:paraId="24078CE6" w14:textId="33C960CA" w:rsidR="00D256CF" w:rsidRPr="00565011" w:rsidRDefault="00D256CF" w:rsidP="00727D48">
      <w:pPr>
        <w:pStyle w:val="FootnoteText"/>
        <w:widowControl w:val="0"/>
      </w:pPr>
      <w:r w:rsidRPr="00565011">
        <w:rPr>
          <w:rStyle w:val="FootnoteReference"/>
        </w:rPr>
        <w:footnoteRef/>
      </w:r>
      <w:r w:rsidRPr="00565011">
        <w:t xml:space="preserve"> </w:t>
      </w:r>
      <w:r w:rsidRPr="00727D48">
        <w:t>Before fiscal year 2008/08, the</w:t>
      </w:r>
      <w:r>
        <w:t>re</w:t>
      </w:r>
      <w:r w:rsidRPr="00727D48">
        <w:t xml:space="preserve"> </w:t>
      </w:r>
      <w:r>
        <w:t xml:space="preserve">were two </w:t>
      </w:r>
      <w:r w:rsidRPr="00727D48">
        <w:t>PIT rates</w:t>
      </w:r>
      <w:r w:rsidRPr="00C227C1">
        <w:t xml:space="preserve"> </w:t>
      </w:r>
      <w:r w:rsidRPr="000D6031">
        <w:t>in fiscal year 2006/07</w:t>
      </w:r>
      <w:r>
        <w:t>,</w:t>
      </w:r>
      <w:r w:rsidRPr="00727D48">
        <w:t xml:space="preserve"> </w:t>
      </w:r>
      <w:r>
        <w:t xml:space="preserve">one </w:t>
      </w:r>
      <w:r w:rsidRPr="00727D48">
        <w:t>at 15</w:t>
      </w:r>
      <w:r>
        <w:t>.0 percent</w:t>
      </w:r>
      <w:r w:rsidRPr="00727D48">
        <w:t xml:space="preserve"> (for incomes below or equal to MUR 500,000 a year) and </w:t>
      </w:r>
      <w:r>
        <w:t xml:space="preserve">one at </w:t>
      </w:r>
      <w:r w:rsidRPr="00727D48">
        <w:t>22.5 percent (for incomes above MUR 500,00 a year) and</w:t>
      </w:r>
      <w:r>
        <w:t>,</w:t>
      </w:r>
      <w:r w:rsidRPr="00727D48">
        <w:t xml:space="preserve"> </w:t>
      </w:r>
      <w:r w:rsidRPr="003A24F3">
        <w:t>in fiscal year 2007/08</w:t>
      </w:r>
      <w:r>
        <w:t xml:space="preserve">, respectively, </w:t>
      </w:r>
      <w:r w:rsidRPr="00727D48">
        <w:t>at 15</w:t>
      </w:r>
      <w:r>
        <w:t>.0</w:t>
      </w:r>
      <w:r w:rsidRPr="00727D48">
        <w:t xml:space="preserve"> </w:t>
      </w:r>
      <w:r>
        <w:t xml:space="preserve">percent </w:t>
      </w:r>
      <w:r w:rsidRPr="00727D48">
        <w:t>and 20</w:t>
      </w:r>
      <w:r>
        <w:t>.0</w:t>
      </w:r>
      <w:r w:rsidRPr="00727D48">
        <w:t xml:space="preserve"> percent.</w:t>
      </w:r>
    </w:p>
  </w:footnote>
  <w:footnote w:id="10">
    <w:p w14:paraId="5E4172FD" w14:textId="2BCE0A42" w:rsidR="00D256CF" w:rsidRPr="00565011" w:rsidRDefault="00D256CF" w:rsidP="00727D48">
      <w:pPr>
        <w:pStyle w:val="FootnoteText"/>
        <w:widowControl w:val="0"/>
      </w:pPr>
      <w:r w:rsidRPr="00565011">
        <w:rPr>
          <w:rStyle w:val="FootnoteReference"/>
        </w:rPr>
        <w:footnoteRef/>
      </w:r>
      <w:r w:rsidRPr="00565011">
        <w:t xml:space="preserve"> The alternative would be to consider such pension benefits as government transfers and therefore add them to market income at a second stage</w:t>
      </w:r>
      <w:r>
        <w:t>,</w:t>
      </w:r>
      <w:r w:rsidRPr="00565011">
        <w:t xml:space="preserve"> together with other n</w:t>
      </w:r>
      <w:r>
        <w:t>on</w:t>
      </w:r>
      <w:r w:rsidRPr="00565011">
        <w:t xml:space="preserve">contributory transfers. However, this is not the case </w:t>
      </w:r>
      <w:r>
        <w:t xml:space="preserve">because </w:t>
      </w:r>
      <w:r w:rsidRPr="00565011">
        <w:t>most pension benefits are defined</w:t>
      </w:r>
      <w:r>
        <w:t xml:space="preserve"> </w:t>
      </w:r>
      <w:r w:rsidRPr="00565011">
        <w:t>contribution</w:t>
      </w:r>
      <w:r>
        <w:t>s</w:t>
      </w:r>
      <w:r w:rsidRPr="00565011">
        <w:t>.</w:t>
      </w:r>
    </w:p>
  </w:footnote>
  <w:footnote w:id="11">
    <w:p w14:paraId="56210A9F" w14:textId="799FF415" w:rsidR="00D256CF" w:rsidRPr="00565011" w:rsidRDefault="00D256CF" w:rsidP="00727D48">
      <w:pPr>
        <w:pStyle w:val="FootnoteText"/>
        <w:widowControl w:val="0"/>
      </w:pPr>
      <w:r w:rsidRPr="00565011">
        <w:rPr>
          <w:rStyle w:val="FootnoteReference"/>
        </w:rPr>
        <w:footnoteRef/>
      </w:r>
      <w:r w:rsidRPr="00565011">
        <w:t xml:space="preserve"> Employees </w:t>
      </w:r>
      <w:r w:rsidR="00520BE5">
        <w:t xml:space="preserve">ages </w:t>
      </w:r>
      <w:r w:rsidRPr="00565011">
        <w:t xml:space="preserve">under 18 </w:t>
      </w:r>
      <w:r w:rsidR="00C5750B">
        <w:t xml:space="preserve">or </w:t>
      </w:r>
      <w:r w:rsidRPr="00565011">
        <w:t xml:space="preserve">those who have </w:t>
      </w:r>
      <w:r w:rsidR="007C7664">
        <w:t xml:space="preserve">reached </w:t>
      </w:r>
      <w:r w:rsidRPr="00565011">
        <w:t xml:space="preserve">age 70 do not pay any contribution to </w:t>
      </w:r>
      <w:r>
        <w:t xml:space="preserve">the </w:t>
      </w:r>
      <w:r w:rsidRPr="003D5483">
        <w:t>National Pensions Fund</w:t>
      </w:r>
      <w:r w:rsidRPr="00565011">
        <w:t>.</w:t>
      </w:r>
    </w:p>
  </w:footnote>
  <w:footnote w:id="12">
    <w:p w14:paraId="6C6C22DB" w14:textId="0863BA40" w:rsidR="00D256CF" w:rsidRPr="00565011" w:rsidRDefault="00D256CF" w:rsidP="00727D48">
      <w:pPr>
        <w:pStyle w:val="FootnoteText"/>
        <w:widowControl w:val="0"/>
      </w:pPr>
      <w:r w:rsidRPr="00565011">
        <w:rPr>
          <w:rStyle w:val="FootnoteReference"/>
        </w:rPr>
        <w:footnoteRef/>
      </w:r>
      <w:r w:rsidRPr="00565011">
        <w:t xml:space="preserve"> Due to issues with quantities reported, the following alcoholic beverages are excluded from the analysis: locally bottled whisky, locally bottled wine, sparkling wine, and champagne. Expenditures on these items as a share of prefiscal income are larger among poorer households, therefore the analysis might underestimate the regressivity of excise taxes on alcoholic beverages.</w:t>
      </w:r>
    </w:p>
  </w:footnote>
  <w:footnote w:id="13">
    <w:p w14:paraId="330D5FC3" w14:textId="07D51C41" w:rsidR="00D256CF" w:rsidRPr="00565011" w:rsidRDefault="00D256CF" w:rsidP="00727D48">
      <w:pPr>
        <w:pStyle w:val="FootnoteText"/>
        <w:widowControl w:val="0"/>
      </w:pPr>
      <w:r w:rsidRPr="00565011">
        <w:rPr>
          <w:rStyle w:val="FootnoteReference"/>
        </w:rPr>
        <w:footnoteRef/>
      </w:r>
      <w:r w:rsidRPr="00565011">
        <w:t xml:space="preserve"> The exercise does not attempt to correct for underreporting of alcohol and tobacco consumption as found by Statistics Mauritius (2018).</w:t>
      </w:r>
    </w:p>
  </w:footnote>
  <w:footnote w:id="14">
    <w:p w14:paraId="1CED0B1E" w14:textId="74ECDD06" w:rsidR="00D256CF" w:rsidRPr="00565011" w:rsidRDefault="00D256CF" w:rsidP="00727D48">
      <w:pPr>
        <w:pStyle w:val="FootnoteText"/>
        <w:widowControl w:val="0"/>
      </w:pPr>
      <w:r w:rsidRPr="00565011">
        <w:rPr>
          <w:rStyle w:val="FootnoteReference"/>
        </w:rPr>
        <w:footnoteRef/>
      </w:r>
      <w:r w:rsidRPr="00565011">
        <w:t xml:space="preserve"> Excise duties on fuel includes the indirect effect of the tax on other products that use gasoil and gasoline as an intermediate input. Considering only the direct effect of the excise on fuel, the gap between rich and poor households in terms of excise tax paid as a share of their prefiscal income would be even larger and estimated at 9 percentage points (11.7 percent vs 3.5 percent at the bottom).</w:t>
      </w:r>
    </w:p>
  </w:footnote>
  <w:footnote w:id="15">
    <w:p w14:paraId="1774EDEE" w14:textId="3A21C126" w:rsidR="00D256CF" w:rsidRPr="00565011" w:rsidRDefault="00D256CF" w:rsidP="00727D48">
      <w:pPr>
        <w:pStyle w:val="FootnoteText"/>
        <w:widowControl w:val="0"/>
      </w:pPr>
      <w:r w:rsidRPr="00565011">
        <w:rPr>
          <w:rStyle w:val="FootnoteReference"/>
        </w:rPr>
        <w:footnoteRef/>
      </w:r>
      <w:r w:rsidRPr="00565011">
        <w:t xml:space="preserve"> With the Nine Year Continuous Basic Education (NYCBE) reform introduced in 2017 the CPE has been replaced by the Primary School Achievement Certificate (PSAC). The last three years of basic education cover the lower secondary cycle. At the end of grade 9, students will now take a national assessment, which marks the end of the primary cycle before continuing with secondary education and obtaining the School Certificate (SC) at grade 11.</w:t>
      </w:r>
    </w:p>
  </w:footnote>
  <w:footnote w:id="16">
    <w:p w14:paraId="0504E9F2" w14:textId="1EA91A8C" w:rsidR="00D256CF" w:rsidRPr="00565011" w:rsidRDefault="00D256CF" w:rsidP="00727D48">
      <w:pPr>
        <w:pStyle w:val="FootnoteText"/>
        <w:widowControl w:val="0"/>
      </w:pPr>
      <w:r w:rsidRPr="00565011">
        <w:rPr>
          <w:rStyle w:val="FootnoteReference"/>
        </w:rPr>
        <w:footnoteRef/>
      </w:r>
      <w:r w:rsidRPr="00565011">
        <w:t xml:space="preserve"> Unfortunately, the HBS does not allow to separate out attendance of tertiary public and private institutions</w:t>
      </w:r>
    </w:p>
  </w:footnote>
  <w:footnote w:id="17">
    <w:p w14:paraId="5C406A61" w14:textId="3DE81CBA" w:rsidR="00D256CF" w:rsidRPr="00565011" w:rsidRDefault="00D256CF" w:rsidP="00727D48">
      <w:pPr>
        <w:widowControl w:val="0"/>
        <w:autoSpaceDE w:val="0"/>
        <w:autoSpaceDN w:val="0"/>
        <w:adjustRightInd w:val="0"/>
        <w:spacing w:after="0" w:line="240" w:lineRule="auto"/>
        <w:rPr>
          <w:rFonts w:ascii="VgbtrmAdvTT86d47313" w:hAnsi="VgbtrmAdvTT86d47313" w:cs="VgbtrmAdvTT86d47313"/>
          <w:color w:val="131413"/>
          <w:sz w:val="20"/>
          <w:szCs w:val="20"/>
        </w:rPr>
      </w:pPr>
      <w:r w:rsidRPr="00727D48">
        <w:rPr>
          <w:rStyle w:val="FootnoteReference"/>
          <w:sz w:val="20"/>
          <w:szCs w:val="20"/>
        </w:rPr>
        <w:footnoteRef/>
      </w:r>
      <w:r w:rsidRPr="00727D48">
        <w:rPr>
          <w:sz w:val="20"/>
          <w:szCs w:val="20"/>
        </w:rPr>
        <w:t xml:space="preserve"> </w:t>
      </w:r>
      <w:r w:rsidRPr="00565011">
        <w:rPr>
          <w:rFonts w:asciiTheme="majorHAnsi" w:hAnsiTheme="majorHAnsi" w:cstheme="majorHAnsi"/>
          <w:color w:val="131413"/>
          <w:sz w:val="20"/>
          <w:szCs w:val="20"/>
        </w:rPr>
        <w:t>Catastrophic health expenditure is defined as household expenditure on health exceeding 40 percent of either total n</w:t>
      </w:r>
      <w:r>
        <w:rPr>
          <w:rFonts w:asciiTheme="majorHAnsi" w:hAnsiTheme="majorHAnsi" w:cstheme="majorHAnsi"/>
          <w:color w:val="131413"/>
          <w:sz w:val="20"/>
          <w:szCs w:val="20"/>
        </w:rPr>
        <w:t>on</w:t>
      </w:r>
      <w:r w:rsidRPr="00565011">
        <w:rPr>
          <w:rFonts w:asciiTheme="majorHAnsi" w:hAnsiTheme="majorHAnsi" w:cstheme="majorHAnsi"/>
          <w:color w:val="131413"/>
          <w:sz w:val="20"/>
          <w:szCs w:val="20"/>
        </w:rPr>
        <w:t>food expenditure or total expenditure minus subsistence spending, if subsistence expenditure is greater than or equal to food expenditure. Average food expenditures of households with food shares in total expenditure from the 45th to 55th percentile was used as a proxy for subsistence food expenditure. Alternatively, under the budget share approach, two thresholds (10 and 25 percent) of total household income are used to assess catastrophic health expenditure.</w:t>
      </w:r>
    </w:p>
  </w:footnote>
  <w:footnote w:id="18">
    <w:p w14:paraId="2A4CBA6A" w14:textId="77777777" w:rsidR="00D256CF" w:rsidRPr="00727D48" w:rsidRDefault="00D256CF" w:rsidP="00727D48">
      <w:pPr>
        <w:widowControl w:val="0"/>
        <w:spacing w:after="0" w:line="240" w:lineRule="auto"/>
        <w:rPr>
          <w:sz w:val="20"/>
          <w:szCs w:val="20"/>
        </w:rPr>
      </w:pPr>
      <w:r w:rsidRPr="00727D48">
        <w:rPr>
          <w:rStyle w:val="FootnoteReference"/>
          <w:sz w:val="20"/>
          <w:szCs w:val="20"/>
        </w:rPr>
        <w:footnoteRef/>
      </w:r>
      <w:r w:rsidRPr="00727D48">
        <w:rPr>
          <w:sz w:val="20"/>
          <w:szCs w:val="20"/>
        </w:rPr>
        <w:t xml:space="preserve"> </w:t>
      </w:r>
      <w:r w:rsidRPr="00565011">
        <w:rPr>
          <w:sz w:val="20"/>
          <w:szCs w:val="20"/>
        </w:rPr>
        <w:t>Higgins and Lustig (2016) propose an indicator known as “fiscal impoverishment headcount index,” which measures the percentage of the population impoverished by the tax and transfer system as a proportion of the post-fiscal poor. “Impoverished” households are those that were either (a) nonpoor before taxes and transfers and made poor by the fiscal system or (b) poor before taxes and transfers and made even poorer by the fiscal system.</w:t>
      </w:r>
    </w:p>
  </w:footnote>
  <w:footnote w:id="19">
    <w:p w14:paraId="58E99912" w14:textId="0A6368B9" w:rsidR="00D256CF" w:rsidRPr="00727D48" w:rsidRDefault="00D256CF" w:rsidP="00727D48">
      <w:pPr>
        <w:widowControl w:val="0"/>
        <w:spacing w:after="0" w:line="240" w:lineRule="auto"/>
        <w:rPr>
          <w:sz w:val="20"/>
          <w:szCs w:val="20"/>
        </w:rPr>
      </w:pPr>
      <w:r w:rsidRPr="00727D48">
        <w:rPr>
          <w:rStyle w:val="FootnoteReference"/>
          <w:sz w:val="20"/>
          <w:szCs w:val="20"/>
        </w:rPr>
        <w:footnoteRef/>
      </w:r>
      <w:r w:rsidRPr="00727D48">
        <w:rPr>
          <w:sz w:val="20"/>
          <w:szCs w:val="20"/>
        </w:rPr>
        <w:t xml:space="preserve"> </w:t>
      </w:r>
      <w:r w:rsidRPr="00565011">
        <w:rPr>
          <w:sz w:val="20"/>
          <w:szCs w:val="20"/>
        </w:rPr>
        <w:t>The spending effectiveness indicator can only be calculated for the taxes and transfers with a positive MC (and as a result, the spending effectiveness of taxes on poverty reduction is undefined).</w:t>
      </w:r>
    </w:p>
  </w:footnote>
  <w:footnote w:id="20">
    <w:p w14:paraId="67250447" w14:textId="61A4363A" w:rsidR="00D256CF" w:rsidRPr="00565011" w:rsidRDefault="00D256CF" w:rsidP="00727D48">
      <w:pPr>
        <w:pStyle w:val="FootnoteText"/>
        <w:widowControl w:val="0"/>
      </w:pPr>
      <w:r w:rsidRPr="00565011">
        <w:rPr>
          <w:rStyle w:val="FootnoteReference"/>
        </w:rPr>
        <w:footnoteRef/>
      </w:r>
      <w:r w:rsidRPr="00565011">
        <w:t xml:space="preserve"> “</w:t>
      </w:r>
      <w:r w:rsidRPr="00727D48">
        <w:rPr>
          <w:rFonts w:cs="Times New Roman"/>
        </w:rPr>
        <w:t>For the 2017 round of HBS, the sample for island of Mauritius was further broken into a sample of 384 households for relative development index (RDI) up to 0.67 and 6136 households for RDI greater than 0.67. This was done through an increase in sample size (from 6,720 in 2012 to 7,000 in 2017) to cater for better poverty analysis. It is to be noted that oversampling of low RDI did not affect the overall results of the survey, as it has been catered through the weight done at the level of PSU. Each sample was selected through a 2-stage design with probability proportional to size. At the first stage, Primary Sampling Units (PSUs) were selected with probability proportional to size; this was followed by selection of households within the selected PSUs.” (Statistics Mauritius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83218"/>
    <w:multiLevelType w:val="hybridMultilevel"/>
    <w:tmpl w:val="12B879EE"/>
    <w:lvl w:ilvl="0" w:tplc="654206AA">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4D61"/>
    <w:multiLevelType w:val="multilevel"/>
    <w:tmpl w:val="5BF2EEAA"/>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176598"/>
    <w:multiLevelType w:val="hybridMultilevel"/>
    <w:tmpl w:val="87C2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123DC"/>
    <w:multiLevelType w:val="multilevel"/>
    <w:tmpl w:val="2328F9FC"/>
    <w:lvl w:ilvl="0">
      <w:start w:val="1"/>
      <w:numFmt w:val="decimal"/>
      <w:lvlText w:val="%1."/>
      <w:lvlJc w:val="left"/>
      <w:pPr>
        <w:ind w:left="720" w:hanging="360"/>
      </w:p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4" w15:restartNumberingAfterBreak="0">
    <w:nsid w:val="2A2D48DC"/>
    <w:multiLevelType w:val="multilevel"/>
    <w:tmpl w:val="E1D6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B2CA6"/>
    <w:multiLevelType w:val="hybridMultilevel"/>
    <w:tmpl w:val="1264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8013C"/>
    <w:multiLevelType w:val="hybridMultilevel"/>
    <w:tmpl w:val="EE04ACC4"/>
    <w:lvl w:ilvl="0" w:tplc="804A22BA">
      <w:start w:val="1"/>
      <w:numFmt w:val="decimal"/>
      <w:pStyle w:val="ListNumber"/>
      <w:lvlText w:val="%1."/>
      <w:lvlJc w:val="left"/>
      <w:pPr>
        <w:ind w:left="63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4417A"/>
    <w:multiLevelType w:val="hybridMultilevel"/>
    <w:tmpl w:val="444A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555C2"/>
    <w:multiLevelType w:val="hybridMultilevel"/>
    <w:tmpl w:val="5BF2EEAA"/>
    <w:lvl w:ilvl="0" w:tplc="CB32C18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45EEC"/>
    <w:multiLevelType w:val="multilevel"/>
    <w:tmpl w:val="D0D8A70A"/>
    <w:lvl w:ilvl="0">
      <w:start w:val="1"/>
      <w:numFmt w:val="decimal"/>
      <w:pStyle w:val="AnnexLevel"/>
      <w:suff w:val="space"/>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2B222C"/>
    <w:multiLevelType w:val="multilevel"/>
    <w:tmpl w:val="FBAA71A0"/>
    <w:lvl w:ilvl="0">
      <w:start w:val="1"/>
      <w:numFmt w:val="decimal"/>
      <w:lvlText w:val="%1"/>
      <w:lvlJc w:val="left"/>
      <w:pPr>
        <w:ind w:left="432" w:hanging="432"/>
      </w:pPr>
    </w:lvl>
    <w:lvl w:ilvl="1">
      <w:start w:val="1"/>
      <w:numFmt w:val="decimal"/>
      <w:lvlText w:val="%1.%2"/>
      <w:lvlJc w:val="left"/>
      <w:pPr>
        <w:ind w:left="576" w:hanging="576"/>
      </w:pPr>
      <w:rPr>
        <w:color w:val="2F5496"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DA45E81"/>
    <w:multiLevelType w:val="multilevel"/>
    <w:tmpl w:val="2328F9FC"/>
    <w:lvl w:ilvl="0">
      <w:start w:val="1"/>
      <w:numFmt w:val="decimal"/>
      <w:lvlText w:val="%1."/>
      <w:lvlJc w:val="left"/>
      <w:pPr>
        <w:ind w:left="720" w:hanging="360"/>
      </w:p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2" w15:restartNumberingAfterBreak="0">
    <w:nsid w:val="4EFD1221"/>
    <w:multiLevelType w:val="hybridMultilevel"/>
    <w:tmpl w:val="6146287A"/>
    <w:lvl w:ilvl="0" w:tplc="C7CED6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160E1"/>
    <w:multiLevelType w:val="hybridMultilevel"/>
    <w:tmpl w:val="FC4A601E"/>
    <w:lvl w:ilvl="0" w:tplc="1062C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2A77BE"/>
    <w:multiLevelType w:val="hybridMultilevel"/>
    <w:tmpl w:val="2356F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6E71E9"/>
    <w:multiLevelType w:val="hybridMultilevel"/>
    <w:tmpl w:val="97A056A6"/>
    <w:lvl w:ilvl="0" w:tplc="B52E187E">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F1616E2"/>
    <w:multiLevelType w:val="hybridMultilevel"/>
    <w:tmpl w:val="3FA4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D85668"/>
    <w:multiLevelType w:val="multilevel"/>
    <w:tmpl w:val="FBAA71A0"/>
    <w:lvl w:ilvl="0">
      <w:start w:val="1"/>
      <w:numFmt w:val="decimal"/>
      <w:lvlText w:val="%1"/>
      <w:lvlJc w:val="left"/>
      <w:pPr>
        <w:ind w:left="432" w:hanging="432"/>
      </w:pPr>
    </w:lvl>
    <w:lvl w:ilvl="1">
      <w:start w:val="1"/>
      <w:numFmt w:val="decimal"/>
      <w:lvlText w:val="%1.%2"/>
      <w:lvlJc w:val="left"/>
      <w:pPr>
        <w:ind w:left="576" w:hanging="576"/>
      </w:pPr>
      <w:rPr>
        <w:color w:val="2F5496" w:themeColor="accent1" w:themeShade="B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23E3074"/>
    <w:multiLevelType w:val="multilevel"/>
    <w:tmpl w:val="ACDCFF26"/>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9D3E5E"/>
    <w:multiLevelType w:val="multilevel"/>
    <w:tmpl w:val="D0083B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034CBE"/>
    <w:multiLevelType w:val="multilevel"/>
    <w:tmpl w:val="2328F9FC"/>
    <w:lvl w:ilvl="0">
      <w:start w:val="1"/>
      <w:numFmt w:val="decimal"/>
      <w:lvlText w:val="%1."/>
      <w:lvlJc w:val="left"/>
      <w:pPr>
        <w:ind w:left="720" w:hanging="360"/>
      </w:p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1" w15:restartNumberingAfterBreak="0">
    <w:nsid w:val="6E550DE0"/>
    <w:multiLevelType w:val="multilevel"/>
    <w:tmpl w:val="2328F9FC"/>
    <w:lvl w:ilvl="0">
      <w:start w:val="1"/>
      <w:numFmt w:val="decimal"/>
      <w:lvlText w:val="%1."/>
      <w:lvlJc w:val="left"/>
      <w:pPr>
        <w:ind w:left="720" w:hanging="360"/>
      </w:p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2" w15:restartNumberingAfterBreak="0">
    <w:nsid w:val="71307E84"/>
    <w:multiLevelType w:val="hybridMultilevel"/>
    <w:tmpl w:val="ACDCFF26"/>
    <w:lvl w:ilvl="0" w:tplc="CB32C18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51EA1"/>
    <w:multiLevelType w:val="hybridMultilevel"/>
    <w:tmpl w:val="568A5F78"/>
    <w:lvl w:ilvl="0" w:tplc="9EB058CA">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62CCC"/>
    <w:multiLevelType w:val="hybridMultilevel"/>
    <w:tmpl w:val="8D1A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7"/>
  </w:num>
  <w:num w:numId="4">
    <w:abstractNumId w:val="8"/>
  </w:num>
  <w:num w:numId="5">
    <w:abstractNumId w:val="6"/>
  </w:num>
  <w:num w:numId="6">
    <w:abstractNumId w:val="10"/>
  </w:num>
  <w:num w:numId="7">
    <w:abstractNumId w:val="1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24"/>
  </w:num>
  <w:num w:numId="12">
    <w:abstractNumId w:val="22"/>
  </w:num>
  <w:num w:numId="13">
    <w:abstractNumId w:val="15"/>
  </w:num>
  <w:num w:numId="14">
    <w:abstractNumId w:val="20"/>
  </w:num>
  <w:num w:numId="15">
    <w:abstractNumId w:val="11"/>
  </w:num>
  <w:num w:numId="16">
    <w:abstractNumId w:val="2"/>
  </w:num>
  <w:num w:numId="17">
    <w:abstractNumId w:val="7"/>
  </w:num>
  <w:num w:numId="18">
    <w:abstractNumId w:val="3"/>
  </w:num>
  <w:num w:numId="19">
    <w:abstractNumId w:val="9"/>
  </w:num>
  <w:num w:numId="20">
    <w:abstractNumId w:val="14"/>
  </w:num>
  <w:num w:numId="21">
    <w:abstractNumId w:val="1"/>
  </w:num>
  <w:num w:numId="22">
    <w:abstractNumId w:val="12"/>
  </w:num>
  <w:num w:numId="23">
    <w:abstractNumId w:val="18"/>
  </w:num>
  <w:num w:numId="24">
    <w:abstractNumId w:val="23"/>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TrackMov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91A"/>
    <w:rsid w:val="0000067F"/>
    <w:rsid w:val="00000FE9"/>
    <w:rsid w:val="00002373"/>
    <w:rsid w:val="000049A0"/>
    <w:rsid w:val="00004C2A"/>
    <w:rsid w:val="000058D7"/>
    <w:rsid w:val="00006087"/>
    <w:rsid w:val="000065D6"/>
    <w:rsid w:val="00007BF8"/>
    <w:rsid w:val="00010390"/>
    <w:rsid w:val="000107AC"/>
    <w:rsid w:val="000107E9"/>
    <w:rsid w:val="00010A5D"/>
    <w:rsid w:val="00010F40"/>
    <w:rsid w:val="00011234"/>
    <w:rsid w:val="00011A3D"/>
    <w:rsid w:val="00011E6E"/>
    <w:rsid w:val="00011EE6"/>
    <w:rsid w:val="000122EB"/>
    <w:rsid w:val="000125C4"/>
    <w:rsid w:val="00012F6B"/>
    <w:rsid w:val="00013273"/>
    <w:rsid w:val="00013903"/>
    <w:rsid w:val="00013AF3"/>
    <w:rsid w:val="00013C6F"/>
    <w:rsid w:val="00014097"/>
    <w:rsid w:val="000148AB"/>
    <w:rsid w:val="00014F9F"/>
    <w:rsid w:val="00015E7B"/>
    <w:rsid w:val="00015F64"/>
    <w:rsid w:val="000160DA"/>
    <w:rsid w:val="00016179"/>
    <w:rsid w:val="0001710A"/>
    <w:rsid w:val="0001712E"/>
    <w:rsid w:val="00017D7F"/>
    <w:rsid w:val="0002057E"/>
    <w:rsid w:val="00020B81"/>
    <w:rsid w:val="000212CA"/>
    <w:rsid w:val="00021398"/>
    <w:rsid w:val="00021B99"/>
    <w:rsid w:val="00021BB9"/>
    <w:rsid w:val="000220E3"/>
    <w:rsid w:val="00022542"/>
    <w:rsid w:val="00023856"/>
    <w:rsid w:val="00023F16"/>
    <w:rsid w:val="0002451F"/>
    <w:rsid w:val="00024B00"/>
    <w:rsid w:val="000252D7"/>
    <w:rsid w:val="00025D37"/>
    <w:rsid w:val="000265C5"/>
    <w:rsid w:val="00027936"/>
    <w:rsid w:val="00027B69"/>
    <w:rsid w:val="000302BB"/>
    <w:rsid w:val="000323BA"/>
    <w:rsid w:val="00032545"/>
    <w:rsid w:val="00032A0D"/>
    <w:rsid w:val="00032B6F"/>
    <w:rsid w:val="00034EDA"/>
    <w:rsid w:val="00034F69"/>
    <w:rsid w:val="00035A61"/>
    <w:rsid w:val="00035AD1"/>
    <w:rsid w:val="00036A98"/>
    <w:rsid w:val="00036BAB"/>
    <w:rsid w:val="00037A21"/>
    <w:rsid w:val="00037BD0"/>
    <w:rsid w:val="00040F9E"/>
    <w:rsid w:val="000419C3"/>
    <w:rsid w:val="00041F4B"/>
    <w:rsid w:val="00041FE0"/>
    <w:rsid w:val="00042972"/>
    <w:rsid w:val="00042FA0"/>
    <w:rsid w:val="000437B9"/>
    <w:rsid w:val="000438E0"/>
    <w:rsid w:val="000439D1"/>
    <w:rsid w:val="00043C85"/>
    <w:rsid w:val="00043E12"/>
    <w:rsid w:val="00043EC8"/>
    <w:rsid w:val="00044349"/>
    <w:rsid w:val="000444CA"/>
    <w:rsid w:val="00044F98"/>
    <w:rsid w:val="00045057"/>
    <w:rsid w:val="00045096"/>
    <w:rsid w:val="00045DB7"/>
    <w:rsid w:val="00045FEA"/>
    <w:rsid w:val="000460C8"/>
    <w:rsid w:val="000460F5"/>
    <w:rsid w:val="000478AA"/>
    <w:rsid w:val="00047C61"/>
    <w:rsid w:val="00047FC3"/>
    <w:rsid w:val="000506C9"/>
    <w:rsid w:val="00051497"/>
    <w:rsid w:val="0005179C"/>
    <w:rsid w:val="00051F52"/>
    <w:rsid w:val="00052A1D"/>
    <w:rsid w:val="00052C80"/>
    <w:rsid w:val="000543B1"/>
    <w:rsid w:val="00054508"/>
    <w:rsid w:val="00054E97"/>
    <w:rsid w:val="00055D86"/>
    <w:rsid w:val="00056803"/>
    <w:rsid w:val="000570BB"/>
    <w:rsid w:val="000577B7"/>
    <w:rsid w:val="00057872"/>
    <w:rsid w:val="0006014C"/>
    <w:rsid w:val="00060533"/>
    <w:rsid w:val="00061946"/>
    <w:rsid w:val="0006285C"/>
    <w:rsid w:val="0006394F"/>
    <w:rsid w:val="00063C4B"/>
    <w:rsid w:val="00063D48"/>
    <w:rsid w:val="00064184"/>
    <w:rsid w:val="00065095"/>
    <w:rsid w:val="00066081"/>
    <w:rsid w:val="00066A26"/>
    <w:rsid w:val="00067767"/>
    <w:rsid w:val="000678AA"/>
    <w:rsid w:val="000708E7"/>
    <w:rsid w:val="00070FDC"/>
    <w:rsid w:val="000710FC"/>
    <w:rsid w:val="00071361"/>
    <w:rsid w:val="000714A1"/>
    <w:rsid w:val="000718A8"/>
    <w:rsid w:val="00071FB6"/>
    <w:rsid w:val="00072C4A"/>
    <w:rsid w:val="00072F75"/>
    <w:rsid w:val="00073761"/>
    <w:rsid w:val="00074023"/>
    <w:rsid w:val="000745A8"/>
    <w:rsid w:val="00074F10"/>
    <w:rsid w:val="00074FD3"/>
    <w:rsid w:val="000751FD"/>
    <w:rsid w:val="00075365"/>
    <w:rsid w:val="00075524"/>
    <w:rsid w:val="00075536"/>
    <w:rsid w:val="00075593"/>
    <w:rsid w:val="0007586E"/>
    <w:rsid w:val="00076701"/>
    <w:rsid w:val="00076745"/>
    <w:rsid w:val="00076A1D"/>
    <w:rsid w:val="0007726E"/>
    <w:rsid w:val="00080D4A"/>
    <w:rsid w:val="000816BD"/>
    <w:rsid w:val="00081D12"/>
    <w:rsid w:val="00081D6B"/>
    <w:rsid w:val="00081E1F"/>
    <w:rsid w:val="000823A3"/>
    <w:rsid w:val="000825F2"/>
    <w:rsid w:val="0008288A"/>
    <w:rsid w:val="00082FAB"/>
    <w:rsid w:val="0008376B"/>
    <w:rsid w:val="00084029"/>
    <w:rsid w:val="0008403A"/>
    <w:rsid w:val="000840FD"/>
    <w:rsid w:val="000843CB"/>
    <w:rsid w:val="00084444"/>
    <w:rsid w:val="000845B0"/>
    <w:rsid w:val="00084888"/>
    <w:rsid w:val="00084C71"/>
    <w:rsid w:val="00084F66"/>
    <w:rsid w:val="0008518D"/>
    <w:rsid w:val="0008644D"/>
    <w:rsid w:val="00086DCE"/>
    <w:rsid w:val="00086E65"/>
    <w:rsid w:val="000870FA"/>
    <w:rsid w:val="000877EF"/>
    <w:rsid w:val="000878ED"/>
    <w:rsid w:val="000905E7"/>
    <w:rsid w:val="00091903"/>
    <w:rsid w:val="00091F22"/>
    <w:rsid w:val="0009293D"/>
    <w:rsid w:val="000931FD"/>
    <w:rsid w:val="000944C1"/>
    <w:rsid w:val="00094E13"/>
    <w:rsid w:val="00094E69"/>
    <w:rsid w:val="00095273"/>
    <w:rsid w:val="00095A81"/>
    <w:rsid w:val="000965F1"/>
    <w:rsid w:val="00096E8B"/>
    <w:rsid w:val="00096FAF"/>
    <w:rsid w:val="0009724A"/>
    <w:rsid w:val="00097D0A"/>
    <w:rsid w:val="00097F8F"/>
    <w:rsid w:val="000A06A5"/>
    <w:rsid w:val="000A0938"/>
    <w:rsid w:val="000A20F6"/>
    <w:rsid w:val="000A25AB"/>
    <w:rsid w:val="000A2BC2"/>
    <w:rsid w:val="000A391A"/>
    <w:rsid w:val="000A3CF1"/>
    <w:rsid w:val="000A3D07"/>
    <w:rsid w:val="000A4FFB"/>
    <w:rsid w:val="000A53F9"/>
    <w:rsid w:val="000A571D"/>
    <w:rsid w:val="000A6769"/>
    <w:rsid w:val="000A6B9B"/>
    <w:rsid w:val="000A6D4F"/>
    <w:rsid w:val="000A7532"/>
    <w:rsid w:val="000A764F"/>
    <w:rsid w:val="000A7939"/>
    <w:rsid w:val="000A7E80"/>
    <w:rsid w:val="000B0317"/>
    <w:rsid w:val="000B1258"/>
    <w:rsid w:val="000B1889"/>
    <w:rsid w:val="000B1E78"/>
    <w:rsid w:val="000B2606"/>
    <w:rsid w:val="000B27ED"/>
    <w:rsid w:val="000B2BD0"/>
    <w:rsid w:val="000B34BD"/>
    <w:rsid w:val="000B352C"/>
    <w:rsid w:val="000B3F65"/>
    <w:rsid w:val="000B49B6"/>
    <w:rsid w:val="000B4A29"/>
    <w:rsid w:val="000B4D08"/>
    <w:rsid w:val="000B52C5"/>
    <w:rsid w:val="000B52E9"/>
    <w:rsid w:val="000B577D"/>
    <w:rsid w:val="000B5A71"/>
    <w:rsid w:val="000B65C5"/>
    <w:rsid w:val="000B7042"/>
    <w:rsid w:val="000B7798"/>
    <w:rsid w:val="000B77F3"/>
    <w:rsid w:val="000B7D14"/>
    <w:rsid w:val="000C03C5"/>
    <w:rsid w:val="000C05CF"/>
    <w:rsid w:val="000C0B28"/>
    <w:rsid w:val="000C138C"/>
    <w:rsid w:val="000C1872"/>
    <w:rsid w:val="000C19D1"/>
    <w:rsid w:val="000C1F40"/>
    <w:rsid w:val="000C2168"/>
    <w:rsid w:val="000C21CA"/>
    <w:rsid w:val="000C2B42"/>
    <w:rsid w:val="000C2B47"/>
    <w:rsid w:val="000C364C"/>
    <w:rsid w:val="000C39CC"/>
    <w:rsid w:val="000C3ABA"/>
    <w:rsid w:val="000C3DBF"/>
    <w:rsid w:val="000C3F17"/>
    <w:rsid w:val="000C4CD0"/>
    <w:rsid w:val="000C53A6"/>
    <w:rsid w:val="000C54BC"/>
    <w:rsid w:val="000C6209"/>
    <w:rsid w:val="000C6F62"/>
    <w:rsid w:val="000C71C2"/>
    <w:rsid w:val="000D1AC8"/>
    <w:rsid w:val="000D25BA"/>
    <w:rsid w:val="000D3CAD"/>
    <w:rsid w:val="000D404E"/>
    <w:rsid w:val="000D48C5"/>
    <w:rsid w:val="000D4B12"/>
    <w:rsid w:val="000D5DC6"/>
    <w:rsid w:val="000D5E06"/>
    <w:rsid w:val="000D5E42"/>
    <w:rsid w:val="000D62B6"/>
    <w:rsid w:val="000D6834"/>
    <w:rsid w:val="000D732B"/>
    <w:rsid w:val="000D740C"/>
    <w:rsid w:val="000D76A4"/>
    <w:rsid w:val="000D76FB"/>
    <w:rsid w:val="000E0067"/>
    <w:rsid w:val="000E02CE"/>
    <w:rsid w:val="000E04E2"/>
    <w:rsid w:val="000E1EF3"/>
    <w:rsid w:val="000E23B0"/>
    <w:rsid w:val="000E3459"/>
    <w:rsid w:val="000E3B70"/>
    <w:rsid w:val="000E461F"/>
    <w:rsid w:val="000E4AAB"/>
    <w:rsid w:val="000E4E5B"/>
    <w:rsid w:val="000E4E6C"/>
    <w:rsid w:val="000E51B7"/>
    <w:rsid w:val="000E54B0"/>
    <w:rsid w:val="000E6988"/>
    <w:rsid w:val="000E7179"/>
    <w:rsid w:val="000E7201"/>
    <w:rsid w:val="000E738D"/>
    <w:rsid w:val="000E7D0B"/>
    <w:rsid w:val="000F0225"/>
    <w:rsid w:val="000F09C3"/>
    <w:rsid w:val="000F0BD6"/>
    <w:rsid w:val="000F169C"/>
    <w:rsid w:val="000F2CF7"/>
    <w:rsid w:val="000F2DA6"/>
    <w:rsid w:val="000F2F73"/>
    <w:rsid w:val="000F3BB5"/>
    <w:rsid w:val="000F4416"/>
    <w:rsid w:val="000F56A1"/>
    <w:rsid w:val="000F5C0F"/>
    <w:rsid w:val="000F5C10"/>
    <w:rsid w:val="000F5F85"/>
    <w:rsid w:val="000F61A5"/>
    <w:rsid w:val="000F79F3"/>
    <w:rsid w:val="000F7B4B"/>
    <w:rsid w:val="0010001E"/>
    <w:rsid w:val="00100082"/>
    <w:rsid w:val="001009A4"/>
    <w:rsid w:val="00100AAE"/>
    <w:rsid w:val="00100BAD"/>
    <w:rsid w:val="00100C59"/>
    <w:rsid w:val="00100E76"/>
    <w:rsid w:val="001018F3"/>
    <w:rsid w:val="00101D81"/>
    <w:rsid w:val="00103970"/>
    <w:rsid w:val="00103AB3"/>
    <w:rsid w:val="00104047"/>
    <w:rsid w:val="00105163"/>
    <w:rsid w:val="00105F52"/>
    <w:rsid w:val="00106939"/>
    <w:rsid w:val="00106B8B"/>
    <w:rsid w:val="00106BD2"/>
    <w:rsid w:val="00106D75"/>
    <w:rsid w:val="00106FD3"/>
    <w:rsid w:val="00107DDA"/>
    <w:rsid w:val="0011049A"/>
    <w:rsid w:val="0011199D"/>
    <w:rsid w:val="00112664"/>
    <w:rsid w:val="0011378B"/>
    <w:rsid w:val="00114911"/>
    <w:rsid w:val="001149F1"/>
    <w:rsid w:val="001153F4"/>
    <w:rsid w:val="0011555B"/>
    <w:rsid w:val="00115A03"/>
    <w:rsid w:val="001163D5"/>
    <w:rsid w:val="00116F96"/>
    <w:rsid w:val="0012006F"/>
    <w:rsid w:val="001207FB"/>
    <w:rsid w:val="00120E66"/>
    <w:rsid w:val="00121690"/>
    <w:rsid w:val="00121803"/>
    <w:rsid w:val="00121B49"/>
    <w:rsid w:val="00121D3F"/>
    <w:rsid w:val="00121E3A"/>
    <w:rsid w:val="00121E4C"/>
    <w:rsid w:val="0012217C"/>
    <w:rsid w:val="001226A0"/>
    <w:rsid w:val="001226C9"/>
    <w:rsid w:val="001227A8"/>
    <w:rsid w:val="00122952"/>
    <w:rsid w:val="00122D40"/>
    <w:rsid w:val="00122FA2"/>
    <w:rsid w:val="001231F3"/>
    <w:rsid w:val="00123559"/>
    <w:rsid w:val="001236BE"/>
    <w:rsid w:val="001240FA"/>
    <w:rsid w:val="00124B5C"/>
    <w:rsid w:val="00125294"/>
    <w:rsid w:val="001254CC"/>
    <w:rsid w:val="001260F0"/>
    <w:rsid w:val="00126343"/>
    <w:rsid w:val="00126B6A"/>
    <w:rsid w:val="00126E0A"/>
    <w:rsid w:val="00127A7E"/>
    <w:rsid w:val="001303FE"/>
    <w:rsid w:val="001307F5"/>
    <w:rsid w:val="00130D79"/>
    <w:rsid w:val="001311D3"/>
    <w:rsid w:val="00131A08"/>
    <w:rsid w:val="00131B23"/>
    <w:rsid w:val="001325DE"/>
    <w:rsid w:val="00132730"/>
    <w:rsid w:val="00132D50"/>
    <w:rsid w:val="00133491"/>
    <w:rsid w:val="001336CC"/>
    <w:rsid w:val="00134292"/>
    <w:rsid w:val="001345A5"/>
    <w:rsid w:val="00134721"/>
    <w:rsid w:val="00136FFA"/>
    <w:rsid w:val="001370B6"/>
    <w:rsid w:val="00137128"/>
    <w:rsid w:val="00137794"/>
    <w:rsid w:val="00137D01"/>
    <w:rsid w:val="00137EE8"/>
    <w:rsid w:val="001406F8"/>
    <w:rsid w:val="00140DF4"/>
    <w:rsid w:val="001419F5"/>
    <w:rsid w:val="00141D86"/>
    <w:rsid w:val="00142288"/>
    <w:rsid w:val="00142561"/>
    <w:rsid w:val="00142888"/>
    <w:rsid w:val="00142BAA"/>
    <w:rsid w:val="0014312C"/>
    <w:rsid w:val="001438DF"/>
    <w:rsid w:val="001438EE"/>
    <w:rsid w:val="00145110"/>
    <w:rsid w:val="00145E48"/>
    <w:rsid w:val="0014629A"/>
    <w:rsid w:val="0014642B"/>
    <w:rsid w:val="00147139"/>
    <w:rsid w:val="0014775D"/>
    <w:rsid w:val="00147AEC"/>
    <w:rsid w:val="00147BF5"/>
    <w:rsid w:val="00147FAA"/>
    <w:rsid w:val="00150F5C"/>
    <w:rsid w:val="001511C0"/>
    <w:rsid w:val="0015125D"/>
    <w:rsid w:val="0015161B"/>
    <w:rsid w:val="0015253D"/>
    <w:rsid w:val="0015306C"/>
    <w:rsid w:val="001532D4"/>
    <w:rsid w:val="001536BC"/>
    <w:rsid w:val="00154B2B"/>
    <w:rsid w:val="00155587"/>
    <w:rsid w:val="00155B48"/>
    <w:rsid w:val="0015620F"/>
    <w:rsid w:val="0015661E"/>
    <w:rsid w:val="00156C35"/>
    <w:rsid w:val="0015767E"/>
    <w:rsid w:val="00157BAA"/>
    <w:rsid w:val="001606DD"/>
    <w:rsid w:val="001616F2"/>
    <w:rsid w:val="00161ABF"/>
    <w:rsid w:val="00162610"/>
    <w:rsid w:val="00163CC6"/>
    <w:rsid w:val="001641EB"/>
    <w:rsid w:val="00165701"/>
    <w:rsid w:val="0016581C"/>
    <w:rsid w:val="00165A6F"/>
    <w:rsid w:val="00167824"/>
    <w:rsid w:val="00167C3A"/>
    <w:rsid w:val="001701C1"/>
    <w:rsid w:val="001702FD"/>
    <w:rsid w:val="0017080C"/>
    <w:rsid w:val="00171386"/>
    <w:rsid w:val="00171A8B"/>
    <w:rsid w:val="00172E32"/>
    <w:rsid w:val="0017374A"/>
    <w:rsid w:val="001738AD"/>
    <w:rsid w:val="00173E50"/>
    <w:rsid w:val="001742FA"/>
    <w:rsid w:val="0017505E"/>
    <w:rsid w:val="001752AD"/>
    <w:rsid w:val="00175DBA"/>
    <w:rsid w:val="00175FE3"/>
    <w:rsid w:val="0017633C"/>
    <w:rsid w:val="0017636A"/>
    <w:rsid w:val="00176462"/>
    <w:rsid w:val="001778DE"/>
    <w:rsid w:val="001801DE"/>
    <w:rsid w:val="001804AD"/>
    <w:rsid w:val="00181FCA"/>
    <w:rsid w:val="00182AE3"/>
    <w:rsid w:val="0018310B"/>
    <w:rsid w:val="001836CF"/>
    <w:rsid w:val="001838FA"/>
    <w:rsid w:val="00183C64"/>
    <w:rsid w:val="0018427C"/>
    <w:rsid w:val="00184ADB"/>
    <w:rsid w:val="00184E13"/>
    <w:rsid w:val="00185364"/>
    <w:rsid w:val="0018540C"/>
    <w:rsid w:val="00185517"/>
    <w:rsid w:val="0018599A"/>
    <w:rsid w:val="00185A1B"/>
    <w:rsid w:val="00186BCA"/>
    <w:rsid w:val="00187B5D"/>
    <w:rsid w:val="001914B6"/>
    <w:rsid w:val="00191886"/>
    <w:rsid w:val="001927F1"/>
    <w:rsid w:val="00192853"/>
    <w:rsid w:val="001929AA"/>
    <w:rsid w:val="001933F0"/>
    <w:rsid w:val="0019354D"/>
    <w:rsid w:val="00193BE6"/>
    <w:rsid w:val="00193C82"/>
    <w:rsid w:val="001943CF"/>
    <w:rsid w:val="001944A3"/>
    <w:rsid w:val="0019525E"/>
    <w:rsid w:val="00196763"/>
    <w:rsid w:val="0019784F"/>
    <w:rsid w:val="00197D13"/>
    <w:rsid w:val="00197E5F"/>
    <w:rsid w:val="001A01DB"/>
    <w:rsid w:val="001A096C"/>
    <w:rsid w:val="001A0EB6"/>
    <w:rsid w:val="001A168E"/>
    <w:rsid w:val="001A176A"/>
    <w:rsid w:val="001A2855"/>
    <w:rsid w:val="001A2AEE"/>
    <w:rsid w:val="001A3CF9"/>
    <w:rsid w:val="001A433B"/>
    <w:rsid w:val="001A48CD"/>
    <w:rsid w:val="001A4F6A"/>
    <w:rsid w:val="001A5A16"/>
    <w:rsid w:val="001A6405"/>
    <w:rsid w:val="001A65DA"/>
    <w:rsid w:val="001A72CA"/>
    <w:rsid w:val="001A79F0"/>
    <w:rsid w:val="001B067F"/>
    <w:rsid w:val="001B0829"/>
    <w:rsid w:val="001B0830"/>
    <w:rsid w:val="001B0D26"/>
    <w:rsid w:val="001B1E1D"/>
    <w:rsid w:val="001B3585"/>
    <w:rsid w:val="001B3843"/>
    <w:rsid w:val="001B39AA"/>
    <w:rsid w:val="001B3BD9"/>
    <w:rsid w:val="001B3C62"/>
    <w:rsid w:val="001B415B"/>
    <w:rsid w:val="001B4230"/>
    <w:rsid w:val="001B56DB"/>
    <w:rsid w:val="001B574C"/>
    <w:rsid w:val="001B58CC"/>
    <w:rsid w:val="001B5BDE"/>
    <w:rsid w:val="001B5D31"/>
    <w:rsid w:val="001B5DE5"/>
    <w:rsid w:val="001B5FC7"/>
    <w:rsid w:val="001C088B"/>
    <w:rsid w:val="001C10D7"/>
    <w:rsid w:val="001C13EC"/>
    <w:rsid w:val="001C17FD"/>
    <w:rsid w:val="001C18A1"/>
    <w:rsid w:val="001C1A84"/>
    <w:rsid w:val="001C20F9"/>
    <w:rsid w:val="001C30DC"/>
    <w:rsid w:val="001C3B1F"/>
    <w:rsid w:val="001C4B94"/>
    <w:rsid w:val="001C5323"/>
    <w:rsid w:val="001C56AA"/>
    <w:rsid w:val="001C699C"/>
    <w:rsid w:val="001C6A90"/>
    <w:rsid w:val="001C746C"/>
    <w:rsid w:val="001C7743"/>
    <w:rsid w:val="001C7C73"/>
    <w:rsid w:val="001D0291"/>
    <w:rsid w:val="001D03D6"/>
    <w:rsid w:val="001D0456"/>
    <w:rsid w:val="001D0F24"/>
    <w:rsid w:val="001D1109"/>
    <w:rsid w:val="001D1155"/>
    <w:rsid w:val="001D3980"/>
    <w:rsid w:val="001D45C3"/>
    <w:rsid w:val="001D4A1C"/>
    <w:rsid w:val="001D4A55"/>
    <w:rsid w:val="001D4DD7"/>
    <w:rsid w:val="001D4E0F"/>
    <w:rsid w:val="001D5605"/>
    <w:rsid w:val="001D6247"/>
    <w:rsid w:val="001D6442"/>
    <w:rsid w:val="001D66DF"/>
    <w:rsid w:val="001D67EB"/>
    <w:rsid w:val="001D6A69"/>
    <w:rsid w:val="001D6D44"/>
    <w:rsid w:val="001D722E"/>
    <w:rsid w:val="001D7AFC"/>
    <w:rsid w:val="001D7DBE"/>
    <w:rsid w:val="001E072B"/>
    <w:rsid w:val="001E07E0"/>
    <w:rsid w:val="001E0CAD"/>
    <w:rsid w:val="001E1198"/>
    <w:rsid w:val="001E1975"/>
    <w:rsid w:val="001E1B17"/>
    <w:rsid w:val="001E1DA7"/>
    <w:rsid w:val="001E2286"/>
    <w:rsid w:val="001E2F6B"/>
    <w:rsid w:val="001E3AC4"/>
    <w:rsid w:val="001E3EC8"/>
    <w:rsid w:val="001E40E0"/>
    <w:rsid w:val="001E49AC"/>
    <w:rsid w:val="001E49F0"/>
    <w:rsid w:val="001E4AA2"/>
    <w:rsid w:val="001E62CF"/>
    <w:rsid w:val="001E6319"/>
    <w:rsid w:val="001E69A3"/>
    <w:rsid w:val="001E6A7A"/>
    <w:rsid w:val="001E6C40"/>
    <w:rsid w:val="001E6EFC"/>
    <w:rsid w:val="001E716D"/>
    <w:rsid w:val="001F01BB"/>
    <w:rsid w:val="001F0A3D"/>
    <w:rsid w:val="001F197E"/>
    <w:rsid w:val="001F1AAA"/>
    <w:rsid w:val="001F1D04"/>
    <w:rsid w:val="001F2904"/>
    <w:rsid w:val="001F2BDF"/>
    <w:rsid w:val="001F2C3B"/>
    <w:rsid w:val="001F31F2"/>
    <w:rsid w:val="001F337D"/>
    <w:rsid w:val="001F3D9D"/>
    <w:rsid w:val="001F402F"/>
    <w:rsid w:val="001F420C"/>
    <w:rsid w:val="001F4547"/>
    <w:rsid w:val="001F46F2"/>
    <w:rsid w:val="001F480E"/>
    <w:rsid w:val="001F4923"/>
    <w:rsid w:val="001F4D6C"/>
    <w:rsid w:val="001F575C"/>
    <w:rsid w:val="001F5DA6"/>
    <w:rsid w:val="001F5DDC"/>
    <w:rsid w:val="001F5E1F"/>
    <w:rsid w:val="001F5FA7"/>
    <w:rsid w:val="001F6507"/>
    <w:rsid w:val="001F72DF"/>
    <w:rsid w:val="002000FC"/>
    <w:rsid w:val="00200930"/>
    <w:rsid w:val="00200AC2"/>
    <w:rsid w:val="0020178F"/>
    <w:rsid w:val="00201C46"/>
    <w:rsid w:val="00201D6A"/>
    <w:rsid w:val="0020229B"/>
    <w:rsid w:val="00202535"/>
    <w:rsid w:val="00203067"/>
    <w:rsid w:val="002030EA"/>
    <w:rsid w:val="00204154"/>
    <w:rsid w:val="002043D7"/>
    <w:rsid w:val="002045B2"/>
    <w:rsid w:val="00204983"/>
    <w:rsid w:val="00205121"/>
    <w:rsid w:val="00205558"/>
    <w:rsid w:val="00206105"/>
    <w:rsid w:val="002064B8"/>
    <w:rsid w:val="00206864"/>
    <w:rsid w:val="002069F6"/>
    <w:rsid w:val="00207197"/>
    <w:rsid w:val="0020773A"/>
    <w:rsid w:val="00207BDC"/>
    <w:rsid w:val="00207F9E"/>
    <w:rsid w:val="00210510"/>
    <w:rsid w:val="00210F17"/>
    <w:rsid w:val="00211564"/>
    <w:rsid w:val="00211806"/>
    <w:rsid w:val="0021225B"/>
    <w:rsid w:val="002123D4"/>
    <w:rsid w:val="00212958"/>
    <w:rsid w:val="00212DFB"/>
    <w:rsid w:val="0021365C"/>
    <w:rsid w:val="00213D2F"/>
    <w:rsid w:val="0021425C"/>
    <w:rsid w:val="0021471F"/>
    <w:rsid w:val="002152DF"/>
    <w:rsid w:val="002153D5"/>
    <w:rsid w:val="00215890"/>
    <w:rsid w:val="00217480"/>
    <w:rsid w:val="00220F62"/>
    <w:rsid w:val="00223267"/>
    <w:rsid w:val="00223742"/>
    <w:rsid w:val="00223BA0"/>
    <w:rsid w:val="002241C3"/>
    <w:rsid w:val="002248C3"/>
    <w:rsid w:val="00224B60"/>
    <w:rsid w:val="002250B3"/>
    <w:rsid w:val="00225718"/>
    <w:rsid w:val="00225990"/>
    <w:rsid w:val="00225C8F"/>
    <w:rsid w:val="0022687C"/>
    <w:rsid w:val="00226F0B"/>
    <w:rsid w:val="00227CDA"/>
    <w:rsid w:val="002300EE"/>
    <w:rsid w:val="0023071F"/>
    <w:rsid w:val="00230C7A"/>
    <w:rsid w:val="00230CA7"/>
    <w:rsid w:val="002311F6"/>
    <w:rsid w:val="002317A6"/>
    <w:rsid w:val="00232770"/>
    <w:rsid w:val="00232CBF"/>
    <w:rsid w:val="00232F51"/>
    <w:rsid w:val="00233105"/>
    <w:rsid w:val="002335D8"/>
    <w:rsid w:val="0023382B"/>
    <w:rsid w:val="00235590"/>
    <w:rsid w:val="00235778"/>
    <w:rsid w:val="00235C97"/>
    <w:rsid w:val="0023696F"/>
    <w:rsid w:val="00240006"/>
    <w:rsid w:val="00240012"/>
    <w:rsid w:val="00240289"/>
    <w:rsid w:val="002406CD"/>
    <w:rsid w:val="00240C81"/>
    <w:rsid w:val="00240E29"/>
    <w:rsid w:val="00241139"/>
    <w:rsid w:val="00242968"/>
    <w:rsid w:val="00242A17"/>
    <w:rsid w:val="002436CC"/>
    <w:rsid w:val="00243CDA"/>
    <w:rsid w:val="00243E79"/>
    <w:rsid w:val="00244960"/>
    <w:rsid w:val="00245C70"/>
    <w:rsid w:val="0024620E"/>
    <w:rsid w:val="002463D9"/>
    <w:rsid w:val="002476AA"/>
    <w:rsid w:val="00247CA9"/>
    <w:rsid w:val="0025078B"/>
    <w:rsid w:val="002515AD"/>
    <w:rsid w:val="00251610"/>
    <w:rsid w:val="00251655"/>
    <w:rsid w:val="002523C9"/>
    <w:rsid w:val="002526E8"/>
    <w:rsid w:val="00252A52"/>
    <w:rsid w:val="00252B47"/>
    <w:rsid w:val="00253AC5"/>
    <w:rsid w:val="00253D2D"/>
    <w:rsid w:val="00254057"/>
    <w:rsid w:val="0025419F"/>
    <w:rsid w:val="00254522"/>
    <w:rsid w:val="00254A21"/>
    <w:rsid w:val="00254F6E"/>
    <w:rsid w:val="0025685A"/>
    <w:rsid w:val="0025765D"/>
    <w:rsid w:val="00257A55"/>
    <w:rsid w:val="00257E3C"/>
    <w:rsid w:val="00261333"/>
    <w:rsid w:val="002616A9"/>
    <w:rsid w:val="00261F53"/>
    <w:rsid w:val="002626A1"/>
    <w:rsid w:val="002628DA"/>
    <w:rsid w:val="002631F9"/>
    <w:rsid w:val="00263361"/>
    <w:rsid w:val="0026385B"/>
    <w:rsid w:val="00263F61"/>
    <w:rsid w:val="002641DE"/>
    <w:rsid w:val="00264AB1"/>
    <w:rsid w:val="00264CD4"/>
    <w:rsid w:val="002656E4"/>
    <w:rsid w:val="00265C59"/>
    <w:rsid w:val="00265E1E"/>
    <w:rsid w:val="0026623E"/>
    <w:rsid w:val="00266BE5"/>
    <w:rsid w:val="00266D6D"/>
    <w:rsid w:val="002672A8"/>
    <w:rsid w:val="00267421"/>
    <w:rsid w:val="002674DF"/>
    <w:rsid w:val="002678C9"/>
    <w:rsid w:val="00267C79"/>
    <w:rsid w:val="00267F80"/>
    <w:rsid w:val="002701B7"/>
    <w:rsid w:val="002703FC"/>
    <w:rsid w:val="002703FD"/>
    <w:rsid w:val="00270E6D"/>
    <w:rsid w:val="0027176F"/>
    <w:rsid w:val="002717C3"/>
    <w:rsid w:val="00272555"/>
    <w:rsid w:val="0027379D"/>
    <w:rsid w:val="002740A0"/>
    <w:rsid w:val="002742F6"/>
    <w:rsid w:val="002748B1"/>
    <w:rsid w:val="00275542"/>
    <w:rsid w:val="00275B19"/>
    <w:rsid w:val="00276C2A"/>
    <w:rsid w:val="00277358"/>
    <w:rsid w:val="002806E2"/>
    <w:rsid w:val="002808DE"/>
    <w:rsid w:val="00280F48"/>
    <w:rsid w:val="00281202"/>
    <w:rsid w:val="00281275"/>
    <w:rsid w:val="0028139B"/>
    <w:rsid w:val="00282336"/>
    <w:rsid w:val="00282360"/>
    <w:rsid w:val="00282572"/>
    <w:rsid w:val="00283358"/>
    <w:rsid w:val="0028371D"/>
    <w:rsid w:val="00283B0E"/>
    <w:rsid w:val="00283E3D"/>
    <w:rsid w:val="00283E48"/>
    <w:rsid w:val="00283F32"/>
    <w:rsid w:val="00285005"/>
    <w:rsid w:val="002858CC"/>
    <w:rsid w:val="002865C6"/>
    <w:rsid w:val="0028694C"/>
    <w:rsid w:val="0028702D"/>
    <w:rsid w:val="00287C24"/>
    <w:rsid w:val="00287C52"/>
    <w:rsid w:val="00290761"/>
    <w:rsid w:val="00291DE2"/>
    <w:rsid w:val="002924CF"/>
    <w:rsid w:val="0029254C"/>
    <w:rsid w:val="00293A45"/>
    <w:rsid w:val="002957E6"/>
    <w:rsid w:val="0029590B"/>
    <w:rsid w:val="002975C4"/>
    <w:rsid w:val="002977ED"/>
    <w:rsid w:val="00297CF0"/>
    <w:rsid w:val="002A06DF"/>
    <w:rsid w:val="002A10C2"/>
    <w:rsid w:val="002A1669"/>
    <w:rsid w:val="002A2081"/>
    <w:rsid w:val="002A29B1"/>
    <w:rsid w:val="002A2FC4"/>
    <w:rsid w:val="002A37EA"/>
    <w:rsid w:val="002A4D4B"/>
    <w:rsid w:val="002A4F07"/>
    <w:rsid w:val="002A55C1"/>
    <w:rsid w:val="002A5C01"/>
    <w:rsid w:val="002A5E4B"/>
    <w:rsid w:val="002A64A6"/>
    <w:rsid w:val="002A6AA2"/>
    <w:rsid w:val="002A709B"/>
    <w:rsid w:val="002A7AC9"/>
    <w:rsid w:val="002A7AF0"/>
    <w:rsid w:val="002A7CF9"/>
    <w:rsid w:val="002B019D"/>
    <w:rsid w:val="002B0585"/>
    <w:rsid w:val="002B066E"/>
    <w:rsid w:val="002B0682"/>
    <w:rsid w:val="002B06A0"/>
    <w:rsid w:val="002B083E"/>
    <w:rsid w:val="002B0F89"/>
    <w:rsid w:val="002B1B2E"/>
    <w:rsid w:val="002B27F3"/>
    <w:rsid w:val="002B29BF"/>
    <w:rsid w:val="002B2B5A"/>
    <w:rsid w:val="002B2DC8"/>
    <w:rsid w:val="002B40B3"/>
    <w:rsid w:val="002B47E5"/>
    <w:rsid w:val="002B4D55"/>
    <w:rsid w:val="002B53B2"/>
    <w:rsid w:val="002B54EA"/>
    <w:rsid w:val="002B57F4"/>
    <w:rsid w:val="002B5EB8"/>
    <w:rsid w:val="002B71A7"/>
    <w:rsid w:val="002B71D8"/>
    <w:rsid w:val="002B76A3"/>
    <w:rsid w:val="002B772A"/>
    <w:rsid w:val="002C0480"/>
    <w:rsid w:val="002C061B"/>
    <w:rsid w:val="002C0E89"/>
    <w:rsid w:val="002C243B"/>
    <w:rsid w:val="002C2482"/>
    <w:rsid w:val="002C24EC"/>
    <w:rsid w:val="002C2A51"/>
    <w:rsid w:val="002C35A7"/>
    <w:rsid w:val="002C3C31"/>
    <w:rsid w:val="002C50F3"/>
    <w:rsid w:val="002C5418"/>
    <w:rsid w:val="002C58A2"/>
    <w:rsid w:val="002C5D4E"/>
    <w:rsid w:val="002C61A0"/>
    <w:rsid w:val="002C61E0"/>
    <w:rsid w:val="002C633E"/>
    <w:rsid w:val="002C688F"/>
    <w:rsid w:val="002C6F9A"/>
    <w:rsid w:val="002C712A"/>
    <w:rsid w:val="002D00AB"/>
    <w:rsid w:val="002D1219"/>
    <w:rsid w:val="002D1937"/>
    <w:rsid w:val="002D28B2"/>
    <w:rsid w:val="002D4195"/>
    <w:rsid w:val="002D4545"/>
    <w:rsid w:val="002D5A63"/>
    <w:rsid w:val="002D5DAC"/>
    <w:rsid w:val="002D6309"/>
    <w:rsid w:val="002D6906"/>
    <w:rsid w:val="002D6D07"/>
    <w:rsid w:val="002D7527"/>
    <w:rsid w:val="002D7897"/>
    <w:rsid w:val="002D79E2"/>
    <w:rsid w:val="002E004B"/>
    <w:rsid w:val="002E0328"/>
    <w:rsid w:val="002E0702"/>
    <w:rsid w:val="002E1217"/>
    <w:rsid w:val="002E1CE1"/>
    <w:rsid w:val="002E1D25"/>
    <w:rsid w:val="002E219D"/>
    <w:rsid w:val="002E2294"/>
    <w:rsid w:val="002E42C5"/>
    <w:rsid w:val="002E531C"/>
    <w:rsid w:val="002E53A6"/>
    <w:rsid w:val="002E553B"/>
    <w:rsid w:val="002E5689"/>
    <w:rsid w:val="002E56F9"/>
    <w:rsid w:val="002E5A55"/>
    <w:rsid w:val="002E64FC"/>
    <w:rsid w:val="002E6764"/>
    <w:rsid w:val="002E6831"/>
    <w:rsid w:val="002E6A71"/>
    <w:rsid w:val="002E75DE"/>
    <w:rsid w:val="002E7A8C"/>
    <w:rsid w:val="002E7D8F"/>
    <w:rsid w:val="002F0435"/>
    <w:rsid w:val="002F0CA3"/>
    <w:rsid w:val="002F1038"/>
    <w:rsid w:val="002F1BD1"/>
    <w:rsid w:val="002F1ECE"/>
    <w:rsid w:val="002F2479"/>
    <w:rsid w:val="002F2D97"/>
    <w:rsid w:val="002F35D6"/>
    <w:rsid w:val="002F3C16"/>
    <w:rsid w:val="002F42C3"/>
    <w:rsid w:val="002F5363"/>
    <w:rsid w:val="002F6E31"/>
    <w:rsid w:val="002F7011"/>
    <w:rsid w:val="002F7B85"/>
    <w:rsid w:val="002F7BE7"/>
    <w:rsid w:val="00300A7C"/>
    <w:rsid w:val="00300AC1"/>
    <w:rsid w:val="00300E08"/>
    <w:rsid w:val="00301E0B"/>
    <w:rsid w:val="003020F6"/>
    <w:rsid w:val="00302C43"/>
    <w:rsid w:val="00302CBB"/>
    <w:rsid w:val="00303461"/>
    <w:rsid w:val="00303796"/>
    <w:rsid w:val="003039DE"/>
    <w:rsid w:val="0030412A"/>
    <w:rsid w:val="00304F0A"/>
    <w:rsid w:val="00305966"/>
    <w:rsid w:val="00305BBD"/>
    <w:rsid w:val="003069CF"/>
    <w:rsid w:val="003078AE"/>
    <w:rsid w:val="00307F72"/>
    <w:rsid w:val="00310883"/>
    <w:rsid w:val="00310F7C"/>
    <w:rsid w:val="00311140"/>
    <w:rsid w:val="00311260"/>
    <w:rsid w:val="00311928"/>
    <w:rsid w:val="0031198F"/>
    <w:rsid w:val="00311D6F"/>
    <w:rsid w:val="00311FDE"/>
    <w:rsid w:val="003122DB"/>
    <w:rsid w:val="003122F3"/>
    <w:rsid w:val="003127F9"/>
    <w:rsid w:val="00312930"/>
    <w:rsid w:val="00312962"/>
    <w:rsid w:val="00313FC3"/>
    <w:rsid w:val="0031426F"/>
    <w:rsid w:val="00314272"/>
    <w:rsid w:val="00314601"/>
    <w:rsid w:val="003149FD"/>
    <w:rsid w:val="00314C3B"/>
    <w:rsid w:val="003151B1"/>
    <w:rsid w:val="00315285"/>
    <w:rsid w:val="00315AF9"/>
    <w:rsid w:val="00315F71"/>
    <w:rsid w:val="00315F82"/>
    <w:rsid w:val="00317098"/>
    <w:rsid w:val="003171DD"/>
    <w:rsid w:val="003179F9"/>
    <w:rsid w:val="00317C91"/>
    <w:rsid w:val="00317E9F"/>
    <w:rsid w:val="003208A4"/>
    <w:rsid w:val="003212F5"/>
    <w:rsid w:val="00321E3C"/>
    <w:rsid w:val="003228F7"/>
    <w:rsid w:val="00322EDE"/>
    <w:rsid w:val="00323546"/>
    <w:rsid w:val="00323548"/>
    <w:rsid w:val="00323F10"/>
    <w:rsid w:val="0032486B"/>
    <w:rsid w:val="003256B0"/>
    <w:rsid w:val="00325A1C"/>
    <w:rsid w:val="00325B88"/>
    <w:rsid w:val="00326E01"/>
    <w:rsid w:val="00326E5F"/>
    <w:rsid w:val="00327E54"/>
    <w:rsid w:val="00327F0C"/>
    <w:rsid w:val="003302F6"/>
    <w:rsid w:val="00330641"/>
    <w:rsid w:val="00330DBE"/>
    <w:rsid w:val="0033179C"/>
    <w:rsid w:val="00331991"/>
    <w:rsid w:val="00331CFA"/>
    <w:rsid w:val="003323CA"/>
    <w:rsid w:val="00332BA8"/>
    <w:rsid w:val="003331A1"/>
    <w:rsid w:val="00333555"/>
    <w:rsid w:val="003341FB"/>
    <w:rsid w:val="00334693"/>
    <w:rsid w:val="00335468"/>
    <w:rsid w:val="0033598D"/>
    <w:rsid w:val="003370EA"/>
    <w:rsid w:val="003376B0"/>
    <w:rsid w:val="00337F77"/>
    <w:rsid w:val="0034087D"/>
    <w:rsid w:val="00340BF7"/>
    <w:rsid w:val="00341042"/>
    <w:rsid w:val="00341700"/>
    <w:rsid w:val="00341778"/>
    <w:rsid w:val="003424D8"/>
    <w:rsid w:val="00342A04"/>
    <w:rsid w:val="0034322B"/>
    <w:rsid w:val="003444F2"/>
    <w:rsid w:val="0034655A"/>
    <w:rsid w:val="00346610"/>
    <w:rsid w:val="003502D1"/>
    <w:rsid w:val="003513F2"/>
    <w:rsid w:val="00351462"/>
    <w:rsid w:val="0035161C"/>
    <w:rsid w:val="00352238"/>
    <w:rsid w:val="00352E53"/>
    <w:rsid w:val="003532E9"/>
    <w:rsid w:val="00353720"/>
    <w:rsid w:val="00353F4E"/>
    <w:rsid w:val="00354168"/>
    <w:rsid w:val="00354793"/>
    <w:rsid w:val="0035491A"/>
    <w:rsid w:val="0035618C"/>
    <w:rsid w:val="003571DD"/>
    <w:rsid w:val="003601C1"/>
    <w:rsid w:val="00360A8E"/>
    <w:rsid w:val="00360CE3"/>
    <w:rsid w:val="00360FF0"/>
    <w:rsid w:val="003615B8"/>
    <w:rsid w:val="003615F2"/>
    <w:rsid w:val="00361BD2"/>
    <w:rsid w:val="00361F0C"/>
    <w:rsid w:val="00361FBB"/>
    <w:rsid w:val="0036203E"/>
    <w:rsid w:val="0036210B"/>
    <w:rsid w:val="003621C0"/>
    <w:rsid w:val="003622D3"/>
    <w:rsid w:val="00362798"/>
    <w:rsid w:val="00363238"/>
    <w:rsid w:val="00363A9E"/>
    <w:rsid w:val="0036439A"/>
    <w:rsid w:val="0036588A"/>
    <w:rsid w:val="0036590B"/>
    <w:rsid w:val="0036641E"/>
    <w:rsid w:val="0036647A"/>
    <w:rsid w:val="00366673"/>
    <w:rsid w:val="003667E3"/>
    <w:rsid w:val="00366D6A"/>
    <w:rsid w:val="00367415"/>
    <w:rsid w:val="003677C3"/>
    <w:rsid w:val="0037029B"/>
    <w:rsid w:val="003707EE"/>
    <w:rsid w:val="00370A7C"/>
    <w:rsid w:val="00370AF3"/>
    <w:rsid w:val="00370B1A"/>
    <w:rsid w:val="00370E9A"/>
    <w:rsid w:val="00370FBA"/>
    <w:rsid w:val="0037124E"/>
    <w:rsid w:val="00371C55"/>
    <w:rsid w:val="00371F26"/>
    <w:rsid w:val="003729DB"/>
    <w:rsid w:val="00372EF8"/>
    <w:rsid w:val="003735DB"/>
    <w:rsid w:val="003744EF"/>
    <w:rsid w:val="00374F49"/>
    <w:rsid w:val="00374FFA"/>
    <w:rsid w:val="00375933"/>
    <w:rsid w:val="00375A29"/>
    <w:rsid w:val="00375B8C"/>
    <w:rsid w:val="00375D28"/>
    <w:rsid w:val="00376B37"/>
    <w:rsid w:val="00376FE6"/>
    <w:rsid w:val="003776A1"/>
    <w:rsid w:val="00377C34"/>
    <w:rsid w:val="00377D94"/>
    <w:rsid w:val="00380CDD"/>
    <w:rsid w:val="00381313"/>
    <w:rsid w:val="00381611"/>
    <w:rsid w:val="00382CCA"/>
    <w:rsid w:val="00382D99"/>
    <w:rsid w:val="00383073"/>
    <w:rsid w:val="0038326A"/>
    <w:rsid w:val="0038353B"/>
    <w:rsid w:val="0038382B"/>
    <w:rsid w:val="003838A6"/>
    <w:rsid w:val="00383AD7"/>
    <w:rsid w:val="00383BF0"/>
    <w:rsid w:val="00383DD7"/>
    <w:rsid w:val="00383DDE"/>
    <w:rsid w:val="0038479F"/>
    <w:rsid w:val="0038618C"/>
    <w:rsid w:val="003879E3"/>
    <w:rsid w:val="0039008A"/>
    <w:rsid w:val="003901B4"/>
    <w:rsid w:val="003904BE"/>
    <w:rsid w:val="003920EE"/>
    <w:rsid w:val="00392EC7"/>
    <w:rsid w:val="003932CB"/>
    <w:rsid w:val="00393A78"/>
    <w:rsid w:val="00394625"/>
    <w:rsid w:val="0039472C"/>
    <w:rsid w:val="003953AE"/>
    <w:rsid w:val="00395769"/>
    <w:rsid w:val="00395BA6"/>
    <w:rsid w:val="00395CD3"/>
    <w:rsid w:val="00396597"/>
    <w:rsid w:val="0039696B"/>
    <w:rsid w:val="0039698A"/>
    <w:rsid w:val="00396CF9"/>
    <w:rsid w:val="00396F1E"/>
    <w:rsid w:val="003A16E5"/>
    <w:rsid w:val="003A292A"/>
    <w:rsid w:val="003A336C"/>
    <w:rsid w:val="003A3EC2"/>
    <w:rsid w:val="003A427A"/>
    <w:rsid w:val="003A4396"/>
    <w:rsid w:val="003A46BD"/>
    <w:rsid w:val="003A4704"/>
    <w:rsid w:val="003A48BC"/>
    <w:rsid w:val="003A4BBF"/>
    <w:rsid w:val="003A5520"/>
    <w:rsid w:val="003B0B46"/>
    <w:rsid w:val="003B0C7E"/>
    <w:rsid w:val="003B0E85"/>
    <w:rsid w:val="003B228D"/>
    <w:rsid w:val="003B23FF"/>
    <w:rsid w:val="003B29A5"/>
    <w:rsid w:val="003B2D2A"/>
    <w:rsid w:val="003B554E"/>
    <w:rsid w:val="003B5718"/>
    <w:rsid w:val="003B5F5C"/>
    <w:rsid w:val="003B68BF"/>
    <w:rsid w:val="003B6FAF"/>
    <w:rsid w:val="003B6FBA"/>
    <w:rsid w:val="003B7013"/>
    <w:rsid w:val="003B7632"/>
    <w:rsid w:val="003B7866"/>
    <w:rsid w:val="003B7C6D"/>
    <w:rsid w:val="003C021C"/>
    <w:rsid w:val="003C0FC3"/>
    <w:rsid w:val="003C1BE5"/>
    <w:rsid w:val="003C1BEA"/>
    <w:rsid w:val="003C235B"/>
    <w:rsid w:val="003C3A42"/>
    <w:rsid w:val="003C4CA2"/>
    <w:rsid w:val="003C54C6"/>
    <w:rsid w:val="003C5A83"/>
    <w:rsid w:val="003C5F71"/>
    <w:rsid w:val="003C6538"/>
    <w:rsid w:val="003C6611"/>
    <w:rsid w:val="003C68A3"/>
    <w:rsid w:val="003C7D1A"/>
    <w:rsid w:val="003C7F1F"/>
    <w:rsid w:val="003D062E"/>
    <w:rsid w:val="003D1F22"/>
    <w:rsid w:val="003D201C"/>
    <w:rsid w:val="003D21D5"/>
    <w:rsid w:val="003D235A"/>
    <w:rsid w:val="003D4031"/>
    <w:rsid w:val="003D4994"/>
    <w:rsid w:val="003D4B4E"/>
    <w:rsid w:val="003D51BA"/>
    <w:rsid w:val="003D5483"/>
    <w:rsid w:val="003D5BD5"/>
    <w:rsid w:val="003D6BE2"/>
    <w:rsid w:val="003D7150"/>
    <w:rsid w:val="003D74AA"/>
    <w:rsid w:val="003E07AE"/>
    <w:rsid w:val="003E0D69"/>
    <w:rsid w:val="003E1036"/>
    <w:rsid w:val="003E1381"/>
    <w:rsid w:val="003E1E32"/>
    <w:rsid w:val="003E3723"/>
    <w:rsid w:val="003E3977"/>
    <w:rsid w:val="003E3A17"/>
    <w:rsid w:val="003E4743"/>
    <w:rsid w:val="003E4A5D"/>
    <w:rsid w:val="003E57C8"/>
    <w:rsid w:val="003E5B97"/>
    <w:rsid w:val="003E7702"/>
    <w:rsid w:val="003E77C4"/>
    <w:rsid w:val="003F0139"/>
    <w:rsid w:val="003F0382"/>
    <w:rsid w:val="003F089F"/>
    <w:rsid w:val="003F0B60"/>
    <w:rsid w:val="003F0E6F"/>
    <w:rsid w:val="003F16AA"/>
    <w:rsid w:val="003F1BBD"/>
    <w:rsid w:val="003F23EF"/>
    <w:rsid w:val="003F2687"/>
    <w:rsid w:val="003F2FDD"/>
    <w:rsid w:val="003F3E6E"/>
    <w:rsid w:val="003F4E46"/>
    <w:rsid w:val="003F53E8"/>
    <w:rsid w:val="003F58D3"/>
    <w:rsid w:val="003F6864"/>
    <w:rsid w:val="003F7362"/>
    <w:rsid w:val="003F76A9"/>
    <w:rsid w:val="003F791C"/>
    <w:rsid w:val="003F7F44"/>
    <w:rsid w:val="004005A4"/>
    <w:rsid w:val="004015C2"/>
    <w:rsid w:val="00401ABB"/>
    <w:rsid w:val="004021E1"/>
    <w:rsid w:val="004022D2"/>
    <w:rsid w:val="00402AEC"/>
    <w:rsid w:val="00402B05"/>
    <w:rsid w:val="00402CA8"/>
    <w:rsid w:val="00402D2C"/>
    <w:rsid w:val="00403A3B"/>
    <w:rsid w:val="00404312"/>
    <w:rsid w:val="004056AD"/>
    <w:rsid w:val="00405BF6"/>
    <w:rsid w:val="00406253"/>
    <w:rsid w:val="00406E81"/>
    <w:rsid w:val="0040767C"/>
    <w:rsid w:val="004076A3"/>
    <w:rsid w:val="004076CD"/>
    <w:rsid w:val="0041014C"/>
    <w:rsid w:val="004102F6"/>
    <w:rsid w:val="00411749"/>
    <w:rsid w:val="0041175B"/>
    <w:rsid w:val="004118D2"/>
    <w:rsid w:val="004121D0"/>
    <w:rsid w:val="00412220"/>
    <w:rsid w:val="004122C8"/>
    <w:rsid w:val="004139D0"/>
    <w:rsid w:val="00413CA3"/>
    <w:rsid w:val="00413D6C"/>
    <w:rsid w:val="004144D8"/>
    <w:rsid w:val="0041566C"/>
    <w:rsid w:val="00415900"/>
    <w:rsid w:val="004159B4"/>
    <w:rsid w:val="00415C40"/>
    <w:rsid w:val="00416182"/>
    <w:rsid w:val="00416496"/>
    <w:rsid w:val="00416D39"/>
    <w:rsid w:val="00417034"/>
    <w:rsid w:val="00417079"/>
    <w:rsid w:val="00417276"/>
    <w:rsid w:val="00417333"/>
    <w:rsid w:val="004179EE"/>
    <w:rsid w:val="00417BE3"/>
    <w:rsid w:val="00417DDA"/>
    <w:rsid w:val="004204D8"/>
    <w:rsid w:val="004206F1"/>
    <w:rsid w:val="00421632"/>
    <w:rsid w:val="00421B98"/>
    <w:rsid w:val="004226EF"/>
    <w:rsid w:val="004226F1"/>
    <w:rsid w:val="00422D64"/>
    <w:rsid w:val="004230FC"/>
    <w:rsid w:val="00423634"/>
    <w:rsid w:val="0042365C"/>
    <w:rsid w:val="00423FAD"/>
    <w:rsid w:val="00424125"/>
    <w:rsid w:val="004241D2"/>
    <w:rsid w:val="00424334"/>
    <w:rsid w:val="00424BD2"/>
    <w:rsid w:val="00424F79"/>
    <w:rsid w:val="00425697"/>
    <w:rsid w:val="00425EDB"/>
    <w:rsid w:val="00426E65"/>
    <w:rsid w:val="00427603"/>
    <w:rsid w:val="00430B74"/>
    <w:rsid w:val="00430CBD"/>
    <w:rsid w:val="0043175D"/>
    <w:rsid w:val="00431C1C"/>
    <w:rsid w:val="0043314A"/>
    <w:rsid w:val="00433B27"/>
    <w:rsid w:val="00435650"/>
    <w:rsid w:val="0043590B"/>
    <w:rsid w:val="00435A64"/>
    <w:rsid w:val="00436716"/>
    <w:rsid w:val="00437336"/>
    <w:rsid w:val="00437756"/>
    <w:rsid w:val="00437B97"/>
    <w:rsid w:val="00437BDB"/>
    <w:rsid w:val="00437C22"/>
    <w:rsid w:val="004400FC"/>
    <w:rsid w:val="004405AB"/>
    <w:rsid w:val="00440D4F"/>
    <w:rsid w:val="00441F3A"/>
    <w:rsid w:val="00442384"/>
    <w:rsid w:val="00442777"/>
    <w:rsid w:val="0044287D"/>
    <w:rsid w:val="00442FC8"/>
    <w:rsid w:val="004437BF"/>
    <w:rsid w:val="00443824"/>
    <w:rsid w:val="00444229"/>
    <w:rsid w:val="00444476"/>
    <w:rsid w:val="00445146"/>
    <w:rsid w:val="00445233"/>
    <w:rsid w:val="004456B7"/>
    <w:rsid w:val="004456C1"/>
    <w:rsid w:val="004457A5"/>
    <w:rsid w:val="00445875"/>
    <w:rsid w:val="00445C9F"/>
    <w:rsid w:val="004467F8"/>
    <w:rsid w:val="00446DDA"/>
    <w:rsid w:val="00447AEE"/>
    <w:rsid w:val="00447D83"/>
    <w:rsid w:val="00450CAB"/>
    <w:rsid w:val="00450DCD"/>
    <w:rsid w:val="00450DE7"/>
    <w:rsid w:val="00450EA1"/>
    <w:rsid w:val="00452282"/>
    <w:rsid w:val="00452505"/>
    <w:rsid w:val="00453509"/>
    <w:rsid w:val="00453818"/>
    <w:rsid w:val="00453D50"/>
    <w:rsid w:val="00453F6B"/>
    <w:rsid w:val="0045404A"/>
    <w:rsid w:val="004544FA"/>
    <w:rsid w:val="004547C6"/>
    <w:rsid w:val="00454B2A"/>
    <w:rsid w:val="00456130"/>
    <w:rsid w:val="004564D6"/>
    <w:rsid w:val="00456923"/>
    <w:rsid w:val="00456C47"/>
    <w:rsid w:val="0046159D"/>
    <w:rsid w:val="00461B6A"/>
    <w:rsid w:val="00461C51"/>
    <w:rsid w:val="00461D86"/>
    <w:rsid w:val="00462108"/>
    <w:rsid w:val="00462EAA"/>
    <w:rsid w:val="00464170"/>
    <w:rsid w:val="00464E02"/>
    <w:rsid w:val="00464EDD"/>
    <w:rsid w:val="00465A83"/>
    <w:rsid w:val="00465DAB"/>
    <w:rsid w:val="0046705B"/>
    <w:rsid w:val="0046753B"/>
    <w:rsid w:val="00467EE3"/>
    <w:rsid w:val="00470340"/>
    <w:rsid w:val="00472FA3"/>
    <w:rsid w:val="0047338F"/>
    <w:rsid w:val="004734D3"/>
    <w:rsid w:val="00474884"/>
    <w:rsid w:val="00474B39"/>
    <w:rsid w:val="00474B48"/>
    <w:rsid w:val="00474DDD"/>
    <w:rsid w:val="00474DE4"/>
    <w:rsid w:val="00474E3F"/>
    <w:rsid w:val="00475422"/>
    <w:rsid w:val="00475F91"/>
    <w:rsid w:val="004764C8"/>
    <w:rsid w:val="0047776D"/>
    <w:rsid w:val="00477FC7"/>
    <w:rsid w:val="00480037"/>
    <w:rsid w:val="00480328"/>
    <w:rsid w:val="00480776"/>
    <w:rsid w:val="00480A22"/>
    <w:rsid w:val="00480AA5"/>
    <w:rsid w:val="0048102E"/>
    <w:rsid w:val="004811E2"/>
    <w:rsid w:val="0048270C"/>
    <w:rsid w:val="00482E5D"/>
    <w:rsid w:val="00482ED5"/>
    <w:rsid w:val="00483D87"/>
    <w:rsid w:val="0048403E"/>
    <w:rsid w:val="004842A1"/>
    <w:rsid w:val="00485230"/>
    <w:rsid w:val="004854EA"/>
    <w:rsid w:val="00485A47"/>
    <w:rsid w:val="004860B1"/>
    <w:rsid w:val="00486433"/>
    <w:rsid w:val="00487538"/>
    <w:rsid w:val="00487E25"/>
    <w:rsid w:val="0049009F"/>
    <w:rsid w:val="0049018B"/>
    <w:rsid w:val="0049073E"/>
    <w:rsid w:val="00490D08"/>
    <w:rsid w:val="00490E03"/>
    <w:rsid w:val="0049176D"/>
    <w:rsid w:val="00491989"/>
    <w:rsid w:val="004919D0"/>
    <w:rsid w:val="00492394"/>
    <w:rsid w:val="00492437"/>
    <w:rsid w:val="00494C1B"/>
    <w:rsid w:val="00494C84"/>
    <w:rsid w:val="00494EF1"/>
    <w:rsid w:val="0049538B"/>
    <w:rsid w:val="00495D00"/>
    <w:rsid w:val="004963CA"/>
    <w:rsid w:val="00496614"/>
    <w:rsid w:val="0049726B"/>
    <w:rsid w:val="004972A4"/>
    <w:rsid w:val="00497307"/>
    <w:rsid w:val="0049759F"/>
    <w:rsid w:val="004976DA"/>
    <w:rsid w:val="00497F39"/>
    <w:rsid w:val="004A00AD"/>
    <w:rsid w:val="004A032C"/>
    <w:rsid w:val="004A06DE"/>
    <w:rsid w:val="004A0B4E"/>
    <w:rsid w:val="004A0E9D"/>
    <w:rsid w:val="004A1B4D"/>
    <w:rsid w:val="004A1C69"/>
    <w:rsid w:val="004A2362"/>
    <w:rsid w:val="004A2879"/>
    <w:rsid w:val="004A3274"/>
    <w:rsid w:val="004A411B"/>
    <w:rsid w:val="004A41C2"/>
    <w:rsid w:val="004A4D18"/>
    <w:rsid w:val="004A50B9"/>
    <w:rsid w:val="004A61C2"/>
    <w:rsid w:val="004A6A08"/>
    <w:rsid w:val="004A6A3F"/>
    <w:rsid w:val="004A6FA4"/>
    <w:rsid w:val="004B04A6"/>
    <w:rsid w:val="004B091A"/>
    <w:rsid w:val="004B0A04"/>
    <w:rsid w:val="004B18EA"/>
    <w:rsid w:val="004B20D2"/>
    <w:rsid w:val="004B254F"/>
    <w:rsid w:val="004B37D4"/>
    <w:rsid w:val="004B407C"/>
    <w:rsid w:val="004B4373"/>
    <w:rsid w:val="004B44AE"/>
    <w:rsid w:val="004B452C"/>
    <w:rsid w:val="004B4A77"/>
    <w:rsid w:val="004B682D"/>
    <w:rsid w:val="004B6E48"/>
    <w:rsid w:val="004B70F8"/>
    <w:rsid w:val="004B7277"/>
    <w:rsid w:val="004B7C44"/>
    <w:rsid w:val="004C0753"/>
    <w:rsid w:val="004C0B40"/>
    <w:rsid w:val="004C0C53"/>
    <w:rsid w:val="004C1B3C"/>
    <w:rsid w:val="004C1DD0"/>
    <w:rsid w:val="004C1ED3"/>
    <w:rsid w:val="004C20CF"/>
    <w:rsid w:val="004C2245"/>
    <w:rsid w:val="004C23EA"/>
    <w:rsid w:val="004C2C63"/>
    <w:rsid w:val="004C326D"/>
    <w:rsid w:val="004C46B3"/>
    <w:rsid w:val="004C4AD9"/>
    <w:rsid w:val="004C5B33"/>
    <w:rsid w:val="004C612E"/>
    <w:rsid w:val="004C61FC"/>
    <w:rsid w:val="004C639B"/>
    <w:rsid w:val="004C6E0D"/>
    <w:rsid w:val="004C721D"/>
    <w:rsid w:val="004C73FF"/>
    <w:rsid w:val="004C740E"/>
    <w:rsid w:val="004C76DB"/>
    <w:rsid w:val="004C77E7"/>
    <w:rsid w:val="004C7856"/>
    <w:rsid w:val="004C78C4"/>
    <w:rsid w:val="004D040D"/>
    <w:rsid w:val="004D0578"/>
    <w:rsid w:val="004D0F31"/>
    <w:rsid w:val="004D1092"/>
    <w:rsid w:val="004D1360"/>
    <w:rsid w:val="004D1ACC"/>
    <w:rsid w:val="004D1B45"/>
    <w:rsid w:val="004D1E47"/>
    <w:rsid w:val="004D26F1"/>
    <w:rsid w:val="004D2F84"/>
    <w:rsid w:val="004D3170"/>
    <w:rsid w:val="004D318B"/>
    <w:rsid w:val="004D31C9"/>
    <w:rsid w:val="004D366F"/>
    <w:rsid w:val="004D3696"/>
    <w:rsid w:val="004D39AA"/>
    <w:rsid w:val="004D3B29"/>
    <w:rsid w:val="004D3CFB"/>
    <w:rsid w:val="004D4645"/>
    <w:rsid w:val="004D4D35"/>
    <w:rsid w:val="004D5433"/>
    <w:rsid w:val="004D5714"/>
    <w:rsid w:val="004D5CE0"/>
    <w:rsid w:val="004D62A7"/>
    <w:rsid w:val="004D6553"/>
    <w:rsid w:val="004D70CF"/>
    <w:rsid w:val="004D7925"/>
    <w:rsid w:val="004E0434"/>
    <w:rsid w:val="004E07D5"/>
    <w:rsid w:val="004E1612"/>
    <w:rsid w:val="004E18AB"/>
    <w:rsid w:val="004E192C"/>
    <w:rsid w:val="004E2C71"/>
    <w:rsid w:val="004E33A2"/>
    <w:rsid w:val="004E37E0"/>
    <w:rsid w:val="004E3C11"/>
    <w:rsid w:val="004E4635"/>
    <w:rsid w:val="004E47CF"/>
    <w:rsid w:val="004E51C1"/>
    <w:rsid w:val="004E6010"/>
    <w:rsid w:val="004E60A8"/>
    <w:rsid w:val="004E6157"/>
    <w:rsid w:val="004E7521"/>
    <w:rsid w:val="004E7B74"/>
    <w:rsid w:val="004F082E"/>
    <w:rsid w:val="004F08EB"/>
    <w:rsid w:val="004F0D02"/>
    <w:rsid w:val="004F3011"/>
    <w:rsid w:val="004F3246"/>
    <w:rsid w:val="004F3569"/>
    <w:rsid w:val="004F3939"/>
    <w:rsid w:val="004F3C67"/>
    <w:rsid w:val="004F4127"/>
    <w:rsid w:val="004F49B7"/>
    <w:rsid w:val="004F4EF1"/>
    <w:rsid w:val="004F4F65"/>
    <w:rsid w:val="004F5211"/>
    <w:rsid w:val="004F6493"/>
    <w:rsid w:val="004F6E12"/>
    <w:rsid w:val="004F710F"/>
    <w:rsid w:val="00500372"/>
    <w:rsid w:val="00500C27"/>
    <w:rsid w:val="00501088"/>
    <w:rsid w:val="0050217E"/>
    <w:rsid w:val="00502C2F"/>
    <w:rsid w:val="00502E3A"/>
    <w:rsid w:val="00502E6C"/>
    <w:rsid w:val="005032D6"/>
    <w:rsid w:val="0050351D"/>
    <w:rsid w:val="00504380"/>
    <w:rsid w:val="0050499E"/>
    <w:rsid w:val="00504B86"/>
    <w:rsid w:val="00505537"/>
    <w:rsid w:val="0050628A"/>
    <w:rsid w:val="00506A0E"/>
    <w:rsid w:val="00506CD3"/>
    <w:rsid w:val="005078E0"/>
    <w:rsid w:val="00510A3B"/>
    <w:rsid w:val="00510F73"/>
    <w:rsid w:val="005119BB"/>
    <w:rsid w:val="00511F0D"/>
    <w:rsid w:val="005124B6"/>
    <w:rsid w:val="0051261E"/>
    <w:rsid w:val="005126E6"/>
    <w:rsid w:val="00512DC9"/>
    <w:rsid w:val="0051395D"/>
    <w:rsid w:val="00513D4B"/>
    <w:rsid w:val="00513E68"/>
    <w:rsid w:val="005140B2"/>
    <w:rsid w:val="005143B5"/>
    <w:rsid w:val="00514403"/>
    <w:rsid w:val="00514661"/>
    <w:rsid w:val="0051498C"/>
    <w:rsid w:val="005163BE"/>
    <w:rsid w:val="00517CB1"/>
    <w:rsid w:val="00520BE5"/>
    <w:rsid w:val="00520C2C"/>
    <w:rsid w:val="0052117E"/>
    <w:rsid w:val="00521377"/>
    <w:rsid w:val="00521AC4"/>
    <w:rsid w:val="00521DE0"/>
    <w:rsid w:val="00522242"/>
    <w:rsid w:val="005224D2"/>
    <w:rsid w:val="00522908"/>
    <w:rsid w:val="00522C9C"/>
    <w:rsid w:val="00524036"/>
    <w:rsid w:val="00524459"/>
    <w:rsid w:val="0052460B"/>
    <w:rsid w:val="00524B35"/>
    <w:rsid w:val="00524F78"/>
    <w:rsid w:val="00525756"/>
    <w:rsid w:val="00527576"/>
    <w:rsid w:val="005307D7"/>
    <w:rsid w:val="00530D96"/>
    <w:rsid w:val="00530F07"/>
    <w:rsid w:val="00531FC7"/>
    <w:rsid w:val="00532E00"/>
    <w:rsid w:val="0053331E"/>
    <w:rsid w:val="00533884"/>
    <w:rsid w:val="00534237"/>
    <w:rsid w:val="00534964"/>
    <w:rsid w:val="00534B23"/>
    <w:rsid w:val="00534F7B"/>
    <w:rsid w:val="0053504E"/>
    <w:rsid w:val="00535832"/>
    <w:rsid w:val="00536135"/>
    <w:rsid w:val="005361B7"/>
    <w:rsid w:val="00536414"/>
    <w:rsid w:val="005379D8"/>
    <w:rsid w:val="00537BD3"/>
    <w:rsid w:val="00537D35"/>
    <w:rsid w:val="005400A7"/>
    <w:rsid w:val="00540299"/>
    <w:rsid w:val="00540935"/>
    <w:rsid w:val="00540B20"/>
    <w:rsid w:val="00542BE3"/>
    <w:rsid w:val="00542BFA"/>
    <w:rsid w:val="00542C5F"/>
    <w:rsid w:val="00543179"/>
    <w:rsid w:val="005442BC"/>
    <w:rsid w:val="005444C7"/>
    <w:rsid w:val="00545382"/>
    <w:rsid w:val="0054548F"/>
    <w:rsid w:val="005455A3"/>
    <w:rsid w:val="0054590A"/>
    <w:rsid w:val="005470C0"/>
    <w:rsid w:val="00547526"/>
    <w:rsid w:val="0054756E"/>
    <w:rsid w:val="00547B48"/>
    <w:rsid w:val="00547BBD"/>
    <w:rsid w:val="0055098C"/>
    <w:rsid w:val="0055125A"/>
    <w:rsid w:val="0055226A"/>
    <w:rsid w:val="00552D5B"/>
    <w:rsid w:val="00553CA2"/>
    <w:rsid w:val="00555443"/>
    <w:rsid w:val="00555AAC"/>
    <w:rsid w:val="00555D8D"/>
    <w:rsid w:val="00560331"/>
    <w:rsid w:val="0056134E"/>
    <w:rsid w:val="00561C36"/>
    <w:rsid w:val="00562107"/>
    <w:rsid w:val="00562361"/>
    <w:rsid w:val="00562A5E"/>
    <w:rsid w:val="00562BAE"/>
    <w:rsid w:val="00562C88"/>
    <w:rsid w:val="00563197"/>
    <w:rsid w:val="005636E0"/>
    <w:rsid w:val="0056374A"/>
    <w:rsid w:val="00563944"/>
    <w:rsid w:val="00563DF1"/>
    <w:rsid w:val="0056450E"/>
    <w:rsid w:val="00565011"/>
    <w:rsid w:val="00565165"/>
    <w:rsid w:val="005652D9"/>
    <w:rsid w:val="00566B58"/>
    <w:rsid w:val="005678F2"/>
    <w:rsid w:val="00567FB7"/>
    <w:rsid w:val="0057013E"/>
    <w:rsid w:val="00570580"/>
    <w:rsid w:val="0057118D"/>
    <w:rsid w:val="00571FE0"/>
    <w:rsid w:val="0057240E"/>
    <w:rsid w:val="00573C13"/>
    <w:rsid w:val="00575DE0"/>
    <w:rsid w:val="0057610F"/>
    <w:rsid w:val="00576776"/>
    <w:rsid w:val="00576D20"/>
    <w:rsid w:val="0057718A"/>
    <w:rsid w:val="00577A9C"/>
    <w:rsid w:val="00577B87"/>
    <w:rsid w:val="00577E53"/>
    <w:rsid w:val="00580658"/>
    <w:rsid w:val="005808CA"/>
    <w:rsid w:val="005812C0"/>
    <w:rsid w:val="0058186B"/>
    <w:rsid w:val="00581C87"/>
    <w:rsid w:val="00581EE1"/>
    <w:rsid w:val="005822EA"/>
    <w:rsid w:val="00582BEA"/>
    <w:rsid w:val="005845A5"/>
    <w:rsid w:val="00584704"/>
    <w:rsid w:val="00584B9F"/>
    <w:rsid w:val="00584C07"/>
    <w:rsid w:val="00584F07"/>
    <w:rsid w:val="00585208"/>
    <w:rsid w:val="00585CA3"/>
    <w:rsid w:val="005864C5"/>
    <w:rsid w:val="00586729"/>
    <w:rsid w:val="0058693B"/>
    <w:rsid w:val="00586E21"/>
    <w:rsid w:val="0058722D"/>
    <w:rsid w:val="00587528"/>
    <w:rsid w:val="00587A7F"/>
    <w:rsid w:val="00587F36"/>
    <w:rsid w:val="005908E4"/>
    <w:rsid w:val="00590EBF"/>
    <w:rsid w:val="0059148F"/>
    <w:rsid w:val="00591EBF"/>
    <w:rsid w:val="00593427"/>
    <w:rsid w:val="0059471D"/>
    <w:rsid w:val="00594DC9"/>
    <w:rsid w:val="00594E2E"/>
    <w:rsid w:val="00596F97"/>
    <w:rsid w:val="0059746B"/>
    <w:rsid w:val="005975B8"/>
    <w:rsid w:val="00597906"/>
    <w:rsid w:val="00597997"/>
    <w:rsid w:val="005A0596"/>
    <w:rsid w:val="005A095C"/>
    <w:rsid w:val="005A11AD"/>
    <w:rsid w:val="005A1554"/>
    <w:rsid w:val="005A19C8"/>
    <w:rsid w:val="005A2026"/>
    <w:rsid w:val="005A224A"/>
    <w:rsid w:val="005A2698"/>
    <w:rsid w:val="005A2AE8"/>
    <w:rsid w:val="005A3048"/>
    <w:rsid w:val="005A329C"/>
    <w:rsid w:val="005A3426"/>
    <w:rsid w:val="005A3B2D"/>
    <w:rsid w:val="005A4606"/>
    <w:rsid w:val="005A462B"/>
    <w:rsid w:val="005A4F89"/>
    <w:rsid w:val="005A52CE"/>
    <w:rsid w:val="005A5C3A"/>
    <w:rsid w:val="005A5F92"/>
    <w:rsid w:val="005A72F1"/>
    <w:rsid w:val="005B00E8"/>
    <w:rsid w:val="005B05A6"/>
    <w:rsid w:val="005B0C63"/>
    <w:rsid w:val="005B11E9"/>
    <w:rsid w:val="005B123E"/>
    <w:rsid w:val="005B1DB8"/>
    <w:rsid w:val="005B1F93"/>
    <w:rsid w:val="005B2024"/>
    <w:rsid w:val="005B2188"/>
    <w:rsid w:val="005B3B22"/>
    <w:rsid w:val="005B3E6D"/>
    <w:rsid w:val="005B40DA"/>
    <w:rsid w:val="005B5499"/>
    <w:rsid w:val="005B5AC0"/>
    <w:rsid w:val="005B668F"/>
    <w:rsid w:val="005B70C8"/>
    <w:rsid w:val="005B7707"/>
    <w:rsid w:val="005B7C63"/>
    <w:rsid w:val="005B7F6E"/>
    <w:rsid w:val="005B7F97"/>
    <w:rsid w:val="005C0225"/>
    <w:rsid w:val="005C0595"/>
    <w:rsid w:val="005C078D"/>
    <w:rsid w:val="005C085D"/>
    <w:rsid w:val="005C0921"/>
    <w:rsid w:val="005C2FE8"/>
    <w:rsid w:val="005C378B"/>
    <w:rsid w:val="005C40CC"/>
    <w:rsid w:val="005C65BA"/>
    <w:rsid w:val="005C72CD"/>
    <w:rsid w:val="005C7DA9"/>
    <w:rsid w:val="005D0E5B"/>
    <w:rsid w:val="005D3239"/>
    <w:rsid w:val="005D359D"/>
    <w:rsid w:val="005D4109"/>
    <w:rsid w:val="005D54EF"/>
    <w:rsid w:val="005D5FFB"/>
    <w:rsid w:val="005D724C"/>
    <w:rsid w:val="005D7850"/>
    <w:rsid w:val="005E0136"/>
    <w:rsid w:val="005E1023"/>
    <w:rsid w:val="005E12E9"/>
    <w:rsid w:val="005E16ED"/>
    <w:rsid w:val="005E1862"/>
    <w:rsid w:val="005E1D9B"/>
    <w:rsid w:val="005E2352"/>
    <w:rsid w:val="005E25CB"/>
    <w:rsid w:val="005E2737"/>
    <w:rsid w:val="005E2C5A"/>
    <w:rsid w:val="005E3027"/>
    <w:rsid w:val="005E38BB"/>
    <w:rsid w:val="005E3A6A"/>
    <w:rsid w:val="005E406E"/>
    <w:rsid w:val="005E53B3"/>
    <w:rsid w:val="005E53F7"/>
    <w:rsid w:val="005E5467"/>
    <w:rsid w:val="005E5488"/>
    <w:rsid w:val="005E5718"/>
    <w:rsid w:val="005E5CCA"/>
    <w:rsid w:val="005E7145"/>
    <w:rsid w:val="005E71C5"/>
    <w:rsid w:val="005E7A98"/>
    <w:rsid w:val="005E7D22"/>
    <w:rsid w:val="005F020C"/>
    <w:rsid w:val="005F02F8"/>
    <w:rsid w:val="005F0382"/>
    <w:rsid w:val="005F0B3E"/>
    <w:rsid w:val="005F1DC0"/>
    <w:rsid w:val="005F25D3"/>
    <w:rsid w:val="005F2A82"/>
    <w:rsid w:val="005F3280"/>
    <w:rsid w:val="005F3451"/>
    <w:rsid w:val="005F37D8"/>
    <w:rsid w:val="005F3F25"/>
    <w:rsid w:val="005F4641"/>
    <w:rsid w:val="005F47D9"/>
    <w:rsid w:val="005F4A48"/>
    <w:rsid w:val="005F5683"/>
    <w:rsid w:val="005F575F"/>
    <w:rsid w:val="005F5C8D"/>
    <w:rsid w:val="005F5CB3"/>
    <w:rsid w:val="005F5CEA"/>
    <w:rsid w:val="005F5E3B"/>
    <w:rsid w:val="005F6641"/>
    <w:rsid w:val="005F7432"/>
    <w:rsid w:val="005F7C67"/>
    <w:rsid w:val="005F7D19"/>
    <w:rsid w:val="006006E8"/>
    <w:rsid w:val="00600AB1"/>
    <w:rsid w:val="00601320"/>
    <w:rsid w:val="0060184C"/>
    <w:rsid w:val="00601AD2"/>
    <w:rsid w:val="00602246"/>
    <w:rsid w:val="00602377"/>
    <w:rsid w:val="00603718"/>
    <w:rsid w:val="00603A8F"/>
    <w:rsid w:val="00603AD5"/>
    <w:rsid w:val="006048E2"/>
    <w:rsid w:val="00604D7A"/>
    <w:rsid w:val="00605290"/>
    <w:rsid w:val="006058B2"/>
    <w:rsid w:val="00606B7D"/>
    <w:rsid w:val="00606C6A"/>
    <w:rsid w:val="006071DC"/>
    <w:rsid w:val="006076DC"/>
    <w:rsid w:val="00607AF2"/>
    <w:rsid w:val="00610A85"/>
    <w:rsid w:val="006118EC"/>
    <w:rsid w:val="006125EA"/>
    <w:rsid w:val="0061325C"/>
    <w:rsid w:val="00613762"/>
    <w:rsid w:val="00614EED"/>
    <w:rsid w:val="006150A3"/>
    <w:rsid w:val="006152DC"/>
    <w:rsid w:val="006157F9"/>
    <w:rsid w:val="00615B4B"/>
    <w:rsid w:val="00617360"/>
    <w:rsid w:val="00617A31"/>
    <w:rsid w:val="00620572"/>
    <w:rsid w:val="00620B1A"/>
    <w:rsid w:val="00620F77"/>
    <w:rsid w:val="006210BD"/>
    <w:rsid w:val="006219DF"/>
    <w:rsid w:val="00622AF5"/>
    <w:rsid w:val="00622E55"/>
    <w:rsid w:val="00623198"/>
    <w:rsid w:val="006242D8"/>
    <w:rsid w:val="006245D8"/>
    <w:rsid w:val="00624BDE"/>
    <w:rsid w:val="006252A4"/>
    <w:rsid w:val="006268D7"/>
    <w:rsid w:val="006274BD"/>
    <w:rsid w:val="0062767B"/>
    <w:rsid w:val="006276EE"/>
    <w:rsid w:val="00627CA7"/>
    <w:rsid w:val="00630089"/>
    <w:rsid w:val="00630196"/>
    <w:rsid w:val="006309FB"/>
    <w:rsid w:val="00630CC3"/>
    <w:rsid w:val="00630CD2"/>
    <w:rsid w:val="00631AE5"/>
    <w:rsid w:val="00631B40"/>
    <w:rsid w:val="00631BC5"/>
    <w:rsid w:val="006337D2"/>
    <w:rsid w:val="00633F31"/>
    <w:rsid w:val="0063424F"/>
    <w:rsid w:val="0063490F"/>
    <w:rsid w:val="0063550F"/>
    <w:rsid w:val="00636315"/>
    <w:rsid w:val="0063659E"/>
    <w:rsid w:val="00636983"/>
    <w:rsid w:val="00636DB6"/>
    <w:rsid w:val="006374A3"/>
    <w:rsid w:val="006375FC"/>
    <w:rsid w:val="00640698"/>
    <w:rsid w:val="00641679"/>
    <w:rsid w:val="00641BC8"/>
    <w:rsid w:val="00641CB8"/>
    <w:rsid w:val="00641F14"/>
    <w:rsid w:val="00642AB4"/>
    <w:rsid w:val="00643732"/>
    <w:rsid w:val="006455D1"/>
    <w:rsid w:val="0064566A"/>
    <w:rsid w:val="006465F9"/>
    <w:rsid w:val="00647247"/>
    <w:rsid w:val="006476BA"/>
    <w:rsid w:val="00647943"/>
    <w:rsid w:val="00647ACB"/>
    <w:rsid w:val="006500E3"/>
    <w:rsid w:val="00651574"/>
    <w:rsid w:val="006519EF"/>
    <w:rsid w:val="00651B47"/>
    <w:rsid w:val="00651C25"/>
    <w:rsid w:val="00652041"/>
    <w:rsid w:val="0065209B"/>
    <w:rsid w:val="006520B3"/>
    <w:rsid w:val="00652827"/>
    <w:rsid w:val="00652918"/>
    <w:rsid w:val="00652C2A"/>
    <w:rsid w:val="00652DEE"/>
    <w:rsid w:val="00654096"/>
    <w:rsid w:val="00654354"/>
    <w:rsid w:val="0065474A"/>
    <w:rsid w:val="0065551C"/>
    <w:rsid w:val="00655B87"/>
    <w:rsid w:val="00655C8E"/>
    <w:rsid w:val="006562A8"/>
    <w:rsid w:val="00656352"/>
    <w:rsid w:val="00656A2D"/>
    <w:rsid w:val="006571E8"/>
    <w:rsid w:val="00657628"/>
    <w:rsid w:val="00657A30"/>
    <w:rsid w:val="00657E01"/>
    <w:rsid w:val="0066046D"/>
    <w:rsid w:val="0066060C"/>
    <w:rsid w:val="00660DE1"/>
    <w:rsid w:val="0066162C"/>
    <w:rsid w:val="00661AB7"/>
    <w:rsid w:val="006624F3"/>
    <w:rsid w:val="00662BB1"/>
    <w:rsid w:val="00663092"/>
    <w:rsid w:val="006631B8"/>
    <w:rsid w:val="0066320F"/>
    <w:rsid w:val="00663A5A"/>
    <w:rsid w:val="00663B0A"/>
    <w:rsid w:val="00664373"/>
    <w:rsid w:val="00664B97"/>
    <w:rsid w:val="0066516D"/>
    <w:rsid w:val="006652F8"/>
    <w:rsid w:val="00665440"/>
    <w:rsid w:val="00665FE3"/>
    <w:rsid w:val="00666C58"/>
    <w:rsid w:val="0066718A"/>
    <w:rsid w:val="0066776D"/>
    <w:rsid w:val="00667B66"/>
    <w:rsid w:val="0067167D"/>
    <w:rsid w:val="00671895"/>
    <w:rsid w:val="006720FF"/>
    <w:rsid w:val="00672B0D"/>
    <w:rsid w:val="00672E52"/>
    <w:rsid w:val="00673E83"/>
    <w:rsid w:val="00674C1F"/>
    <w:rsid w:val="00675035"/>
    <w:rsid w:val="00675BE7"/>
    <w:rsid w:val="00676259"/>
    <w:rsid w:val="00676B03"/>
    <w:rsid w:val="00676DDF"/>
    <w:rsid w:val="00677454"/>
    <w:rsid w:val="00680CDF"/>
    <w:rsid w:val="0068102F"/>
    <w:rsid w:val="006815E1"/>
    <w:rsid w:val="00681966"/>
    <w:rsid w:val="00681C55"/>
    <w:rsid w:val="0068201B"/>
    <w:rsid w:val="006831EA"/>
    <w:rsid w:val="00683AFA"/>
    <w:rsid w:val="006844B7"/>
    <w:rsid w:val="00684DDB"/>
    <w:rsid w:val="00685169"/>
    <w:rsid w:val="006851A9"/>
    <w:rsid w:val="00685D43"/>
    <w:rsid w:val="00686BEF"/>
    <w:rsid w:val="00690539"/>
    <w:rsid w:val="006908B9"/>
    <w:rsid w:val="00690EF9"/>
    <w:rsid w:val="0069170A"/>
    <w:rsid w:val="00691E2A"/>
    <w:rsid w:val="00691F17"/>
    <w:rsid w:val="006927ED"/>
    <w:rsid w:val="00692863"/>
    <w:rsid w:val="00692D24"/>
    <w:rsid w:val="006930F7"/>
    <w:rsid w:val="00693C7C"/>
    <w:rsid w:val="00693FA7"/>
    <w:rsid w:val="006945F8"/>
    <w:rsid w:val="00694AAF"/>
    <w:rsid w:val="00694E34"/>
    <w:rsid w:val="00694FB7"/>
    <w:rsid w:val="00695CA1"/>
    <w:rsid w:val="006963D2"/>
    <w:rsid w:val="0069772E"/>
    <w:rsid w:val="00697946"/>
    <w:rsid w:val="0069795A"/>
    <w:rsid w:val="006A03CF"/>
    <w:rsid w:val="006A0E56"/>
    <w:rsid w:val="006A14D6"/>
    <w:rsid w:val="006A16F1"/>
    <w:rsid w:val="006A176D"/>
    <w:rsid w:val="006A1AF0"/>
    <w:rsid w:val="006A22E8"/>
    <w:rsid w:val="006A26E2"/>
    <w:rsid w:val="006A2C25"/>
    <w:rsid w:val="006A2E1F"/>
    <w:rsid w:val="006A2F09"/>
    <w:rsid w:val="006A3C50"/>
    <w:rsid w:val="006A505F"/>
    <w:rsid w:val="006A5101"/>
    <w:rsid w:val="006A5165"/>
    <w:rsid w:val="006A528C"/>
    <w:rsid w:val="006A53E2"/>
    <w:rsid w:val="006A5FCA"/>
    <w:rsid w:val="006A6440"/>
    <w:rsid w:val="006A6CF0"/>
    <w:rsid w:val="006A7534"/>
    <w:rsid w:val="006A7771"/>
    <w:rsid w:val="006A788B"/>
    <w:rsid w:val="006A7C0B"/>
    <w:rsid w:val="006A7FED"/>
    <w:rsid w:val="006B0227"/>
    <w:rsid w:val="006B09E1"/>
    <w:rsid w:val="006B190E"/>
    <w:rsid w:val="006B1E2E"/>
    <w:rsid w:val="006B21F9"/>
    <w:rsid w:val="006B2271"/>
    <w:rsid w:val="006B2FA5"/>
    <w:rsid w:val="006B3AC2"/>
    <w:rsid w:val="006B4086"/>
    <w:rsid w:val="006B5717"/>
    <w:rsid w:val="006B58DE"/>
    <w:rsid w:val="006B5D60"/>
    <w:rsid w:val="006B62FA"/>
    <w:rsid w:val="006B6340"/>
    <w:rsid w:val="006B66D0"/>
    <w:rsid w:val="006B6BFA"/>
    <w:rsid w:val="006B6D75"/>
    <w:rsid w:val="006C00C1"/>
    <w:rsid w:val="006C04E3"/>
    <w:rsid w:val="006C06D6"/>
    <w:rsid w:val="006C0FE2"/>
    <w:rsid w:val="006C10E4"/>
    <w:rsid w:val="006C1AD0"/>
    <w:rsid w:val="006C1B8B"/>
    <w:rsid w:val="006C1D92"/>
    <w:rsid w:val="006C1DCB"/>
    <w:rsid w:val="006C1F17"/>
    <w:rsid w:val="006C23E8"/>
    <w:rsid w:val="006C266A"/>
    <w:rsid w:val="006C39D2"/>
    <w:rsid w:val="006C39F4"/>
    <w:rsid w:val="006C3DD1"/>
    <w:rsid w:val="006C3E71"/>
    <w:rsid w:val="006C3F02"/>
    <w:rsid w:val="006C456A"/>
    <w:rsid w:val="006C49E7"/>
    <w:rsid w:val="006C521E"/>
    <w:rsid w:val="006C5418"/>
    <w:rsid w:val="006C57C1"/>
    <w:rsid w:val="006C5967"/>
    <w:rsid w:val="006C61A7"/>
    <w:rsid w:val="006C6308"/>
    <w:rsid w:val="006C6ABA"/>
    <w:rsid w:val="006C6B34"/>
    <w:rsid w:val="006C70A5"/>
    <w:rsid w:val="006C7638"/>
    <w:rsid w:val="006C78E7"/>
    <w:rsid w:val="006D026C"/>
    <w:rsid w:val="006D0993"/>
    <w:rsid w:val="006D157A"/>
    <w:rsid w:val="006D17FB"/>
    <w:rsid w:val="006D1B14"/>
    <w:rsid w:val="006D1DB1"/>
    <w:rsid w:val="006D2A7C"/>
    <w:rsid w:val="006D2C6F"/>
    <w:rsid w:val="006D3013"/>
    <w:rsid w:val="006D3722"/>
    <w:rsid w:val="006D4079"/>
    <w:rsid w:val="006D42A6"/>
    <w:rsid w:val="006D51DC"/>
    <w:rsid w:val="006D58B7"/>
    <w:rsid w:val="006D59C2"/>
    <w:rsid w:val="006D59F9"/>
    <w:rsid w:val="006D6D2F"/>
    <w:rsid w:val="006D6E72"/>
    <w:rsid w:val="006D7107"/>
    <w:rsid w:val="006D778C"/>
    <w:rsid w:val="006D79E9"/>
    <w:rsid w:val="006D7D27"/>
    <w:rsid w:val="006D7F2F"/>
    <w:rsid w:val="006D7F89"/>
    <w:rsid w:val="006E0176"/>
    <w:rsid w:val="006E064F"/>
    <w:rsid w:val="006E06E5"/>
    <w:rsid w:val="006E07C4"/>
    <w:rsid w:val="006E0930"/>
    <w:rsid w:val="006E10B8"/>
    <w:rsid w:val="006E1308"/>
    <w:rsid w:val="006E1D22"/>
    <w:rsid w:val="006E26EF"/>
    <w:rsid w:val="006E2FFD"/>
    <w:rsid w:val="006E324A"/>
    <w:rsid w:val="006E4BBB"/>
    <w:rsid w:val="006E5440"/>
    <w:rsid w:val="006E5E6E"/>
    <w:rsid w:val="006E5F6B"/>
    <w:rsid w:val="006E5F8E"/>
    <w:rsid w:val="006E6FFA"/>
    <w:rsid w:val="006E77BA"/>
    <w:rsid w:val="006E7C2E"/>
    <w:rsid w:val="006E7D6B"/>
    <w:rsid w:val="006E7F86"/>
    <w:rsid w:val="006F0D9E"/>
    <w:rsid w:val="006F19C0"/>
    <w:rsid w:val="006F1B18"/>
    <w:rsid w:val="006F3110"/>
    <w:rsid w:val="006F387C"/>
    <w:rsid w:val="006F4265"/>
    <w:rsid w:val="006F4670"/>
    <w:rsid w:val="006F503D"/>
    <w:rsid w:val="006F5226"/>
    <w:rsid w:val="006F538D"/>
    <w:rsid w:val="006F5FC8"/>
    <w:rsid w:val="006F63E7"/>
    <w:rsid w:val="006F6B42"/>
    <w:rsid w:val="006F6B80"/>
    <w:rsid w:val="006F7166"/>
    <w:rsid w:val="006F7792"/>
    <w:rsid w:val="007003F4"/>
    <w:rsid w:val="00700950"/>
    <w:rsid w:val="00701C28"/>
    <w:rsid w:val="00703303"/>
    <w:rsid w:val="00703D47"/>
    <w:rsid w:val="0070413A"/>
    <w:rsid w:val="00704B01"/>
    <w:rsid w:val="00704F81"/>
    <w:rsid w:val="00706234"/>
    <w:rsid w:val="0070632D"/>
    <w:rsid w:val="00706525"/>
    <w:rsid w:val="0070654C"/>
    <w:rsid w:val="007065ED"/>
    <w:rsid w:val="0070773C"/>
    <w:rsid w:val="00707A87"/>
    <w:rsid w:val="00707C7A"/>
    <w:rsid w:val="007109C2"/>
    <w:rsid w:val="00710D67"/>
    <w:rsid w:val="0071169E"/>
    <w:rsid w:val="00711ABC"/>
    <w:rsid w:val="00712F33"/>
    <w:rsid w:val="00713781"/>
    <w:rsid w:val="007137D4"/>
    <w:rsid w:val="00714D57"/>
    <w:rsid w:val="00714EA7"/>
    <w:rsid w:val="00714ECB"/>
    <w:rsid w:val="007153BD"/>
    <w:rsid w:val="007158E2"/>
    <w:rsid w:val="00715B43"/>
    <w:rsid w:val="00715E93"/>
    <w:rsid w:val="00716457"/>
    <w:rsid w:val="007173E2"/>
    <w:rsid w:val="00717A6D"/>
    <w:rsid w:val="00717C49"/>
    <w:rsid w:val="007205BF"/>
    <w:rsid w:val="00720D13"/>
    <w:rsid w:val="0072123D"/>
    <w:rsid w:val="00722551"/>
    <w:rsid w:val="00722B40"/>
    <w:rsid w:val="007230AA"/>
    <w:rsid w:val="0072350C"/>
    <w:rsid w:val="007236A4"/>
    <w:rsid w:val="007239E3"/>
    <w:rsid w:val="007245BC"/>
    <w:rsid w:val="00724869"/>
    <w:rsid w:val="00724900"/>
    <w:rsid w:val="00724BE6"/>
    <w:rsid w:val="00724CD0"/>
    <w:rsid w:val="0072613F"/>
    <w:rsid w:val="00727254"/>
    <w:rsid w:val="00727362"/>
    <w:rsid w:val="00727764"/>
    <w:rsid w:val="00727A0D"/>
    <w:rsid w:val="00727D48"/>
    <w:rsid w:val="00730053"/>
    <w:rsid w:val="007301D3"/>
    <w:rsid w:val="00730A6F"/>
    <w:rsid w:val="0073194C"/>
    <w:rsid w:val="007328AF"/>
    <w:rsid w:val="00732AF5"/>
    <w:rsid w:val="007331B2"/>
    <w:rsid w:val="007334B2"/>
    <w:rsid w:val="00733CF1"/>
    <w:rsid w:val="00734F9E"/>
    <w:rsid w:val="0073559A"/>
    <w:rsid w:val="00735A5B"/>
    <w:rsid w:val="00735CF4"/>
    <w:rsid w:val="00735F52"/>
    <w:rsid w:val="007360D1"/>
    <w:rsid w:val="007366B8"/>
    <w:rsid w:val="00736850"/>
    <w:rsid w:val="00736A12"/>
    <w:rsid w:val="00736CF8"/>
    <w:rsid w:val="007370DA"/>
    <w:rsid w:val="007374E4"/>
    <w:rsid w:val="00737803"/>
    <w:rsid w:val="00737BA9"/>
    <w:rsid w:val="00737CAD"/>
    <w:rsid w:val="00737F99"/>
    <w:rsid w:val="0074085B"/>
    <w:rsid w:val="00740B17"/>
    <w:rsid w:val="0074154E"/>
    <w:rsid w:val="007415F2"/>
    <w:rsid w:val="00741A86"/>
    <w:rsid w:val="00742BDE"/>
    <w:rsid w:val="0074333E"/>
    <w:rsid w:val="00743F8E"/>
    <w:rsid w:val="0074458A"/>
    <w:rsid w:val="007447F9"/>
    <w:rsid w:val="00744EC7"/>
    <w:rsid w:val="0074509B"/>
    <w:rsid w:val="00745433"/>
    <w:rsid w:val="007458F3"/>
    <w:rsid w:val="00745D32"/>
    <w:rsid w:val="0074605C"/>
    <w:rsid w:val="00746095"/>
    <w:rsid w:val="007469D3"/>
    <w:rsid w:val="00746C68"/>
    <w:rsid w:val="00746ED6"/>
    <w:rsid w:val="00746EF7"/>
    <w:rsid w:val="0074718F"/>
    <w:rsid w:val="007504B4"/>
    <w:rsid w:val="00750686"/>
    <w:rsid w:val="0075091F"/>
    <w:rsid w:val="007516EB"/>
    <w:rsid w:val="007525EC"/>
    <w:rsid w:val="00752BC4"/>
    <w:rsid w:val="00752D33"/>
    <w:rsid w:val="00753191"/>
    <w:rsid w:val="00753FB2"/>
    <w:rsid w:val="007545D4"/>
    <w:rsid w:val="0075559D"/>
    <w:rsid w:val="0075628E"/>
    <w:rsid w:val="00756A96"/>
    <w:rsid w:val="00756B7F"/>
    <w:rsid w:val="00760E9E"/>
    <w:rsid w:val="00761AC5"/>
    <w:rsid w:val="00762E3A"/>
    <w:rsid w:val="0076316F"/>
    <w:rsid w:val="007643D3"/>
    <w:rsid w:val="007645CC"/>
    <w:rsid w:val="00764CA5"/>
    <w:rsid w:val="00765296"/>
    <w:rsid w:val="00765442"/>
    <w:rsid w:val="007667A0"/>
    <w:rsid w:val="007678FD"/>
    <w:rsid w:val="007679C4"/>
    <w:rsid w:val="00767A3F"/>
    <w:rsid w:val="00767FF8"/>
    <w:rsid w:val="00770BB9"/>
    <w:rsid w:val="00770BDD"/>
    <w:rsid w:val="00771150"/>
    <w:rsid w:val="007711E3"/>
    <w:rsid w:val="00771BA0"/>
    <w:rsid w:val="0077226A"/>
    <w:rsid w:val="0077268D"/>
    <w:rsid w:val="00772EB0"/>
    <w:rsid w:val="00773366"/>
    <w:rsid w:val="00773498"/>
    <w:rsid w:val="00774092"/>
    <w:rsid w:val="0077491E"/>
    <w:rsid w:val="0077506E"/>
    <w:rsid w:val="007774A7"/>
    <w:rsid w:val="007774AF"/>
    <w:rsid w:val="00780D82"/>
    <w:rsid w:val="00781144"/>
    <w:rsid w:val="007820BE"/>
    <w:rsid w:val="007822CE"/>
    <w:rsid w:val="00783311"/>
    <w:rsid w:val="00783B2B"/>
    <w:rsid w:val="007847A2"/>
    <w:rsid w:val="007849F6"/>
    <w:rsid w:val="00784AC8"/>
    <w:rsid w:val="007856CD"/>
    <w:rsid w:val="007868E9"/>
    <w:rsid w:val="00786CC5"/>
    <w:rsid w:val="00786F05"/>
    <w:rsid w:val="007871B3"/>
    <w:rsid w:val="007876D8"/>
    <w:rsid w:val="007877C2"/>
    <w:rsid w:val="007901FA"/>
    <w:rsid w:val="007908C4"/>
    <w:rsid w:val="007908F2"/>
    <w:rsid w:val="007911D4"/>
    <w:rsid w:val="007913EB"/>
    <w:rsid w:val="0079189B"/>
    <w:rsid w:val="00791FAF"/>
    <w:rsid w:val="007923BA"/>
    <w:rsid w:val="007928BD"/>
    <w:rsid w:val="00793B42"/>
    <w:rsid w:val="00793C4E"/>
    <w:rsid w:val="00794775"/>
    <w:rsid w:val="00794DF1"/>
    <w:rsid w:val="00795152"/>
    <w:rsid w:val="00795DDE"/>
    <w:rsid w:val="0079697D"/>
    <w:rsid w:val="00796AD0"/>
    <w:rsid w:val="00796C4E"/>
    <w:rsid w:val="00796C7C"/>
    <w:rsid w:val="00797523"/>
    <w:rsid w:val="007A04AD"/>
    <w:rsid w:val="007A05F8"/>
    <w:rsid w:val="007A1425"/>
    <w:rsid w:val="007A2FCD"/>
    <w:rsid w:val="007A3467"/>
    <w:rsid w:val="007A3E9D"/>
    <w:rsid w:val="007A432E"/>
    <w:rsid w:val="007A5C01"/>
    <w:rsid w:val="007A5D35"/>
    <w:rsid w:val="007A6982"/>
    <w:rsid w:val="007A69B4"/>
    <w:rsid w:val="007A6C18"/>
    <w:rsid w:val="007A6E34"/>
    <w:rsid w:val="007A70F3"/>
    <w:rsid w:val="007A76C6"/>
    <w:rsid w:val="007A7800"/>
    <w:rsid w:val="007A7A17"/>
    <w:rsid w:val="007A7A39"/>
    <w:rsid w:val="007A7D96"/>
    <w:rsid w:val="007A7E87"/>
    <w:rsid w:val="007B0D4E"/>
    <w:rsid w:val="007B0DBE"/>
    <w:rsid w:val="007B0EB5"/>
    <w:rsid w:val="007B1FB5"/>
    <w:rsid w:val="007B2850"/>
    <w:rsid w:val="007B2F94"/>
    <w:rsid w:val="007B2F9B"/>
    <w:rsid w:val="007B3141"/>
    <w:rsid w:val="007B416A"/>
    <w:rsid w:val="007B478A"/>
    <w:rsid w:val="007B4DF3"/>
    <w:rsid w:val="007B501E"/>
    <w:rsid w:val="007B57D6"/>
    <w:rsid w:val="007B60D5"/>
    <w:rsid w:val="007B6967"/>
    <w:rsid w:val="007B7D1D"/>
    <w:rsid w:val="007B7D37"/>
    <w:rsid w:val="007B7F54"/>
    <w:rsid w:val="007C00C6"/>
    <w:rsid w:val="007C0248"/>
    <w:rsid w:val="007C1AA8"/>
    <w:rsid w:val="007C22CF"/>
    <w:rsid w:val="007C2443"/>
    <w:rsid w:val="007C2F4D"/>
    <w:rsid w:val="007C3305"/>
    <w:rsid w:val="007C3332"/>
    <w:rsid w:val="007C3F88"/>
    <w:rsid w:val="007C41B6"/>
    <w:rsid w:val="007C4D8C"/>
    <w:rsid w:val="007C4FA5"/>
    <w:rsid w:val="007C5AD2"/>
    <w:rsid w:val="007C5CFB"/>
    <w:rsid w:val="007C5F05"/>
    <w:rsid w:val="007C63F4"/>
    <w:rsid w:val="007C686D"/>
    <w:rsid w:val="007C705E"/>
    <w:rsid w:val="007C72CF"/>
    <w:rsid w:val="007C7664"/>
    <w:rsid w:val="007C77AD"/>
    <w:rsid w:val="007C7F08"/>
    <w:rsid w:val="007C7F3F"/>
    <w:rsid w:val="007D095E"/>
    <w:rsid w:val="007D1972"/>
    <w:rsid w:val="007D1E8D"/>
    <w:rsid w:val="007D39E5"/>
    <w:rsid w:val="007D4F05"/>
    <w:rsid w:val="007D4FB6"/>
    <w:rsid w:val="007D5AD4"/>
    <w:rsid w:val="007D69DE"/>
    <w:rsid w:val="007D6FBA"/>
    <w:rsid w:val="007D773B"/>
    <w:rsid w:val="007D7878"/>
    <w:rsid w:val="007E013B"/>
    <w:rsid w:val="007E07C4"/>
    <w:rsid w:val="007E0E4E"/>
    <w:rsid w:val="007E12F3"/>
    <w:rsid w:val="007E19D0"/>
    <w:rsid w:val="007E1C73"/>
    <w:rsid w:val="007E28CD"/>
    <w:rsid w:val="007E2B66"/>
    <w:rsid w:val="007E3417"/>
    <w:rsid w:val="007E464C"/>
    <w:rsid w:val="007E47CA"/>
    <w:rsid w:val="007E4D62"/>
    <w:rsid w:val="007E5302"/>
    <w:rsid w:val="007E5903"/>
    <w:rsid w:val="007E6DB1"/>
    <w:rsid w:val="007E7097"/>
    <w:rsid w:val="007E7318"/>
    <w:rsid w:val="007E76C8"/>
    <w:rsid w:val="007E790E"/>
    <w:rsid w:val="007E7B76"/>
    <w:rsid w:val="007E7C13"/>
    <w:rsid w:val="007F021E"/>
    <w:rsid w:val="007F02AF"/>
    <w:rsid w:val="007F0D8E"/>
    <w:rsid w:val="007F11E1"/>
    <w:rsid w:val="007F23D4"/>
    <w:rsid w:val="007F2991"/>
    <w:rsid w:val="007F2BD3"/>
    <w:rsid w:val="007F3240"/>
    <w:rsid w:val="007F35F9"/>
    <w:rsid w:val="007F3AE3"/>
    <w:rsid w:val="007F408A"/>
    <w:rsid w:val="007F56EA"/>
    <w:rsid w:val="007F5777"/>
    <w:rsid w:val="007F5957"/>
    <w:rsid w:val="007F684D"/>
    <w:rsid w:val="007F68EE"/>
    <w:rsid w:val="007F693F"/>
    <w:rsid w:val="007F7C35"/>
    <w:rsid w:val="00800576"/>
    <w:rsid w:val="0080183E"/>
    <w:rsid w:val="00801EFB"/>
    <w:rsid w:val="00804592"/>
    <w:rsid w:val="008046A0"/>
    <w:rsid w:val="00804DE7"/>
    <w:rsid w:val="00804F44"/>
    <w:rsid w:val="00805A30"/>
    <w:rsid w:val="00805D33"/>
    <w:rsid w:val="00805DAC"/>
    <w:rsid w:val="00805E68"/>
    <w:rsid w:val="00805F46"/>
    <w:rsid w:val="008060AC"/>
    <w:rsid w:val="008064EE"/>
    <w:rsid w:val="008066AC"/>
    <w:rsid w:val="0080694D"/>
    <w:rsid w:val="00806FA8"/>
    <w:rsid w:val="008108DF"/>
    <w:rsid w:val="00810DCF"/>
    <w:rsid w:val="00810F23"/>
    <w:rsid w:val="008121FE"/>
    <w:rsid w:val="00813EC3"/>
    <w:rsid w:val="008147CF"/>
    <w:rsid w:val="00814FD2"/>
    <w:rsid w:val="00815227"/>
    <w:rsid w:val="00815827"/>
    <w:rsid w:val="008159E0"/>
    <w:rsid w:val="00815A01"/>
    <w:rsid w:val="00815A9A"/>
    <w:rsid w:val="00815F7E"/>
    <w:rsid w:val="00816E20"/>
    <w:rsid w:val="00817BB2"/>
    <w:rsid w:val="00817F47"/>
    <w:rsid w:val="0082052F"/>
    <w:rsid w:val="008217FA"/>
    <w:rsid w:val="00821E9C"/>
    <w:rsid w:val="00821FE6"/>
    <w:rsid w:val="0082254A"/>
    <w:rsid w:val="00823567"/>
    <w:rsid w:val="00823D69"/>
    <w:rsid w:val="00824917"/>
    <w:rsid w:val="00825400"/>
    <w:rsid w:val="00825589"/>
    <w:rsid w:val="0082568A"/>
    <w:rsid w:val="00825A39"/>
    <w:rsid w:val="00825E89"/>
    <w:rsid w:val="008260B5"/>
    <w:rsid w:val="00826173"/>
    <w:rsid w:val="00826390"/>
    <w:rsid w:val="008267AE"/>
    <w:rsid w:val="0082707C"/>
    <w:rsid w:val="008311C7"/>
    <w:rsid w:val="008315A5"/>
    <w:rsid w:val="00831CE2"/>
    <w:rsid w:val="00831F22"/>
    <w:rsid w:val="00832601"/>
    <w:rsid w:val="00832D1B"/>
    <w:rsid w:val="008333B2"/>
    <w:rsid w:val="00833872"/>
    <w:rsid w:val="008338E4"/>
    <w:rsid w:val="00834C00"/>
    <w:rsid w:val="00835B7D"/>
    <w:rsid w:val="00836172"/>
    <w:rsid w:val="0083688A"/>
    <w:rsid w:val="00837224"/>
    <w:rsid w:val="00837919"/>
    <w:rsid w:val="00837BF1"/>
    <w:rsid w:val="008405C3"/>
    <w:rsid w:val="00840686"/>
    <w:rsid w:val="008406F4"/>
    <w:rsid w:val="0084079A"/>
    <w:rsid w:val="00840C87"/>
    <w:rsid w:val="00840FC1"/>
    <w:rsid w:val="00841540"/>
    <w:rsid w:val="008426D0"/>
    <w:rsid w:val="00842906"/>
    <w:rsid w:val="00842920"/>
    <w:rsid w:val="00842BA9"/>
    <w:rsid w:val="008445B6"/>
    <w:rsid w:val="00846FC3"/>
    <w:rsid w:val="00847D21"/>
    <w:rsid w:val="00847D8F"/>
    <w:rsid w:val="00850536"/>
    <w:rsid w:val="00850FA9"/>
    <w:rsid w:val="008512C0"/>
    <w:rsid w:val="00851A0A"/>
    <w:rsid w:val="008520D8"/>
    <w:rsid w:val="0085311D"/>
    <w:rsid w:val="008536B2"/>
    <w:rsid w:val="00853C03"/>
    <w:rsid w:val="00853D12"/>
    <w:rsid w:val="00853D9E"/>
    <w:rsid w:val="00853E5B"/>
    <w:rsid w:val="0085447F"/>
    <w:rsid w:val="008546B3"/>
    <w:rsid w:val="00854B55"/>
    <w:rsid w:val="00854CED"/>
    <w:rsid w:val="0085519A"/>
    <w:rsid w:val="00855877"/>
    <w:rsid w:val="00856121"/>
    <w:rsid w:val="008565C9"/>
    <w:rsid w:val="00856671"/>
    <w:rsid w:val="00857078"/>
    <w:rsid w:val="0085712E"/>
    <w:rsid w:val="00857545"/>
    <w:rsid w:val="00857676"/>
    <w:rsid w:val="0086123D"/>
    <w:rsid w:val="00861A5D"/>
    <w:rsid w:val="00861D1E"/>
    <w:rsid w:val="008626F3"/>
    <w:rsid w:val="00862888"/>
    <w:rsid w:val="00864074"/>
    <w:rsid w:val="00865549"/>
    <w:rsid w:val="00865A61"/>
    <w:rsid w:val="00865ECB"/>
    <w:rsid w:val="00866DC5"/>
    <w:rsid w:val="00867426"/>
    <w:rsid w:val="00867694"/>
    <w:rsid w:val="00867C05"/>
    <w:rsid w:val="00867C65"/>
    <w:rsid w:val="008707B5"/>
    <w:rsid w:val="0087091D"/>
    <w:rsid w:val="00870AB9"/>
    <w:rsid w:val="00870B60"/>
    <w:rsid w:val="008716BE"/>
    <w:rsid w:val="00871702"/>
    <w:rsid w:val="00871856"/>
    <w:rsid w:val="00871994"/>
    <w:rsid w:val="00871EF2"/>
    <w:rsid w:val="008727D0"/>
    <w:rsid w:val="00873040"/>
    <w:rsid w:val="00873111"/>
    <w:rsid w:val="00873423"/>
    <w:rsid w:val="00873843"/>
    <w:rsid w:val="00873CC9"/>
    <w:rsid w:val="008748BD"/>
    <w:rsid w:val="008749F5"/>
    <w:rsid w:val="00874C8D"/>
    <w:rsid w:val="00874DAF"/>
    <w:rsid w:val="008757C8"/>
    <w:rsid w:val="00876052"/>
    <w:rsid w:val="008764D3"/>
    <w:rsid w:val="008765A6"/>
    <w:rsid w:val="008773F4"/>
    <w:rsid w:val="00877CB7"/>
    <w:rsid w:val="00880006"/>
    <w:rsid w:val="008805AE"/>
    <w:rsid w:val="00880F54"/>
    <w:rsid w:val="00880F57"/>
    <w:rsid w:val="00880FA9"/>
    <w:rsid w:val="00881100"/>
    <w:rsid w:val="008820CB"/>
    <w:rsid w:val="00882171"/>
    <w:rsid w:val="0088236B"/>
    <w:rsid w:val="008823D7"/>
    <w:rsid w:val="0088251B"/>
    <w:rsid w:val="00882D4B"/>
    <w:rsid w:val="00882E88"/>
    <w:rsid w:val="008830F1"/>
    <w:rsid w:val="008831EE"/>
    <w:rsid w:val="00883317"/>
    <w:rsid w:val="00883497"/>
    <w:rsid w:val="008838EF"/>
    <w:rsid w:val="00883A4F"/>
    <w:rsid w:val="00883F99"/>
    <w:rsid w:val="00884622"/>
    <w:rsid w:val="008850A4"/>
    <w:rsid w:val="008854FD"/>
    <w:rsid w:val="00885787"/>
    <w:rsid w:val="008858C0"/>
    <w:rsid w:val="008861FB"/>
    <w:rsid w:val="00886571"/>
    <w:rsid w:val="0088658E"/>
    <w:rsid w:val="008875F1"/>
    <w:rsid w:val="00887AF2"/>
    <w:rsid w:val="00887D4C"/>
    <w:rsid w:val="008900D8"/>
    <w:rsid w:val="008926F2"/>
    <w:rsid w:val="00894CFB"/>
    <w:rsid w:val="0089503B"/>
    <w:rsid w:val="008955FD"/>
    <w:rsid w:val="00895AFF"/>
    <w:rsid w:val="00897B33"/>
    <w:rsid w:val="00897D94"/>
    <w:rsid w:val="008A067B"/>
    <w:rsid w:val="008A1082"/>
    <w:rsid w:val="008A1338"/>
    <w:rsid w:val="008A147A"/>
    <w:rsid w:val="008A14CB"/>
    <w:rsid w:val="008A25ED"/>
    <w:rsid w:val="008A2777"/>
    <w:rsid w:val="008A2CE0"/>
    <w:rsid w:val="008A3035"/>
    <w:rsid w:val="008A3C68"/>
    <w:rsid w:val="008A45E4"/>
    <w:rsid w:val="008A4BF2"/>
    <w:rsid w:val="008A4E2F"/>
    <w:rsid w:val="008A516F"/>
    <w:rsid w:val="008A53DC"/>
    <w:rsid w:val="008A5722"/>
    <w:rsid w:val="008A7D62"/>
    <w:rsid w:val="008B00CE"/>
    <w:rsid w:val="008B0950"/>
    <w:rsid w:val="008B0A2E"/>
    <w:rsid w:val="008B0A39"/>
    <w:rsid w:val="008B10AD"/>
    <w:rsid w:val="008B10F2"/>
    <w:rsid w:val="008B123A"/>
    <w:rsid w:val="008B2707"/>
    <w:rsid w:val="008B310A"/>
    <w:rsid w:val="008B3301"/>
    <w:rsid w:val="008B3671"/>
    <w:rsid w:val="008B37BB"/>
    <w:rsid w:val="008B3900"/>
    <w:rsid w:val="008B4580"/>
    <w:rsid w:val="008B479A"/>
    <w:rsid w:val="008B4FE2"/>
    <w:rsid w:val="008B522F"/>
    <w:rsid w:val="008B5EB8"/>
    <w:rsid w:val="008B60D5"/>
    <w:rsid w:val="008B6573"/>
    <w:rsid w:val="008B6709"/>
    <w:rsid w:val="008B6CC3"/>
    <w:rsid w:val="008B7253"/>
    <w:rsid w:val="008B73DF"/>
    <w:rsid w:val="008B7916"/>
    <w:rsid w:val="008B7D5D"/>
    <w:rsid w:val="008C0745"/>
    <w:rsid w:val="008C083B"/>
    <w:rsid w:val="008C0BB3"/>
    <w:rsid w:val="008C208D"/>
    <w:rsid w:val="008C2366"/>
    <w:rsid w:val="008C26E5"/>
    <w:rsid w:val="008C2F6C"/>
    <w:rsid w:val="008C309F"/>
    <w:rsid w:val="008C373C"/>
    <w:rsid w:val="008C4631"/>
    <w:rsid w:val="008C4E71"/>
    <w:rsid w:val="008C5020"/>
    <w:rsid w:val="008C546F"/>
    <w:rsid w:val="008C65DE"/>
    <w:rsid w:val="008C6C5E"/>
    <w:rsid w:val="008C758E"/>
    <w:rsid w:val="008C78C6"/>
    <w:rsid w:val="008C79C4"/>
    <w:rsid w:val="008D04AB"/>
    <w:rsid w:val="008D0720"/>
    <w:rsid w:val="008D1580"/>
    <w:rsid w:val="008D17CA"/>
    <w:rsid w:val="008D1D65"/>
    <w:rsid w:val="008D2EC0"/>
    <w:rsid w:val="008D2F83"/>
    <w:rsid w:val="008D3084"/>
    <w:rsid w:val="008D3273"/>
    <w:rsid w:val="008D341B"/>
    <w:rsid w:val="008D4B3C"/>
    <w:rsid w:val="008D4D78"/>
    <w:rsid w:val="008D510E"/>
    <w:rsid w:val="008D5E40"/>
    <w:rsid w:val="008D7791"/>
    <w:rsid w:val="008D78D2"/>
    <w:rsid w:val="008E1251"/>
    <w:rsid w:val="008E180E"/>
    <w:rsid w:val="008E191D"/>
    <w:rsid w:val="008E1E0B"/>
    <w:rsid w:val="008E2183"/>
    <w:rsid w:val="008E3413"/>
    <w:rsid w:val="008E3EC7"/>
    <w:rsid w:val="008E424E"/>
    <w:rsid w:val="008E4470"/>
    <w:rsid w:val="008E5099"/>
    <w:rsid w:val="008E57FB"/>
    <w:rsid w:val="008E5A4C"/>
    <w:rsid w:val="008E616E"/>
    <w:rsid w:val="008E655B"/>
    <w:rsid w:val="008E6DEE"/>
    <w:rsid w:val="008E7152"/>
    <w:rsid w:val="008E7231"/>
    <w:rsid w:val="008E7294"/>
    <w:rsid w:val="008E75C9"/>
    <w:rsid w:val="008E7A29"/>
    <w:rsid w:val="008F0BBB"/>
    <w:rsid w:val="008F0D94"/>
    <w:rsid w:val="008F104D"/>
    <w:rsid w:val="008F10E7"/>
    <w:rsid w:val="008F1146"/>
    <w:rsid w:val="008F14B0"/>
    <w:rsid w:val="008F1AF8"/>
    <w:rsid w:val="008F1D36"/>
    <w:rsid w:val="008F1D74"/>
    <w:rsid w:val="008F22B0"/>
    <w:rsid w:val="008F2665"/>
    <w:rsid w:val="008F2A52"/>
    <w:rsid w:val="008F37A5"/>
    <w:rsid w:val="008F4465"/>
    <w:rsid w:val="008F4C12"/>
    <w:rsid w:val="008F6A83"/>
    <w:rsid w:val="008F6F58"/>
    <w:rsid w:val="008F73EF"/>
    <w:rsid w:val="008F7700"/>
    <w:rsid w:val="008F7765"/>
    <w:rsid w:val="009000C8"/>
    <w:rsid w:val="00900E40"/>
    <w:rsid w:val="0090126D"/>
    <w:rsid w:val="00903209"/>
    <w:rsid w:val="0090348F"/>
    <w:rsid w:val="00903710"/>
    <w:rsid w:val="009037D5"/>
    <w:rsid w:val="00903C19"/>
    <w:rsid w:val="00904952"/>
    <w:rsid w:val="00905C51"/>
    <w:rsid w:val="009060CC"/>
    <w:rsid w:val="009060EE"/>
    <w:rsid w:val="0090688E"/>
    <w:rsid w:val="0090692A"/>
    <w:rsid w:val="00906CFF"/>
    <w:rsid w:val="00906F30"/>
    <w:rsid w:val="009071DD"/>
    <w:rsid w:val="0091011A"/>
    <w:rsid w:val="00910532"/>
    <w:rsid w:val="009106C2"/>
    <w:rsid w:val="00911F48"/>
    <w:rsid w:val="00912205"/>
    <w:rsid w:val="00912E1E"/>
    <w:rsid w:val="009134A5"/>
    <w:rsid w:val="009139BD"/>
    <w:rsid w:val="009141BA"/>
    <w:rsid w:val="00914B7D"/>
    <w:rsid w:val="00914B7F"/>
    <w:rsid w:val="00914E16"/>
    <w:rsid w:val="00915445"/>
    <w:rsid w:val="0091579A"/>
    <w:rsid w:val="0091597F"/>
    <w:rsid w:val="009163D2"/>
    <w:rsid w:val="00916A2B"/>
    <w:rsid w:val="00917497"/>
    <w:rsid w:val="00917C43"/>
    <w:rsid w:val="009205EF"/>
    <w:rsid w:val="0092119F"/>
    <w:rsid w:val="009213E0"/>
    <w:rsid w:val="00921D30"/>
    <w:rsid w:val="00921EDD"/>
    <w:rsid w:val="00921F18"/>
    <w:rsid w:val="00922065"/>
    <w:rsid w:val="00923302"/>
    <w:rsid w:val="0092405F"/>
    <w:rsid w:val="009241C9"/>
    <w:rsid w:val="009249B9"/>
    <w:rsid w:val="00925264"/>
    <w:rsid w:val="00926D66"/>
    <w:rsid w:val="00927B35"/>
    <w:rsid w:val="0093034D"/>
    <w:rsid w:val="009304BF"/>
    <w:rsid w:val="00930AD0"/>
    <w:rsid w:val="00931A1C"/>
    <w:rsid w:val="00931FC5"/>
    <w:rsid w:val="00932358"/>
    <w:rsid w:val="00932ADF"/>
    <w:rsid w:val="00932BC5"/>
    <w:rsid w:val="00932F5C"/>
    <w:rsid w:val="009332C1"/>
    <w:rsid w:val="009337FA"/>
    <w:rsid w:val="00933C0C"/>
    <w:rsid w:val="00934CD3"/>
    <w:rsid w:val="00935CE0"/>
    <w:rsid w:val="00935F94"/>
    <w:rsid w:val="009363AC"/>
    <w:rsid w:val="00936A7C"/>
    <w:rsid w:val="00936A8F"/>
    <w:rsid w:val="00936F54"/>
    <w:rsid w:val="00937000"/>
    <w:rsid w:val="009379E6"/>
    <w:rsid w:val="0094004A"/>
    <w:rsid w:val="00941491"/>
    <w:rsid w:val="00941E3D"/>
    <w:rsid w:val="00943000"/>
    <w:rsid w:val="009434CB"/>
    <w:rsid w:val="009435FF"/>
    <w:rsid w:val="00943F7F"/>
    <w:rsid w:val="0094477B"/>
    <w:rsid w:val="00944B4A"/>
    <w:rsid w:val="00944E58"/>
    <w:rsid w:val="00945027"/>
    <w:rsid w:val="009453B4"/>
    <w:rsid w:val="00945E42"/>
    <w:rsid w:val="00946416"/>
    <w:rsid w:val="009467E0"/>
    <w:rsid w:val="00946F00"/>
    <w:rsid w:val="009471BC"/>
    <w:rsid w:val="0095034D"/>
    <w:rsid w:val="00950518"/>
    <w:rsid w:val="00950FEA"/>
    <w:rsid w:val="00951D48"/>
    <w:rsid w:val="00952872"/>
    <w:rsid w:val="00952B6A"/>
    <w:rsid w:val="00953402"/>
    <w:rsid w:val="00953CB1"/>
    <w:rsid w:val="00954280"/>
    <w:rsid w:val="0095480A"/>
    <w:rsid w:val="00954B3F"/>
    <w:rsid w:val="00954DE6"/>
    <w:rsid w:val="00954E67"/>
    <w:rsid w:val="009550A6"/>
    <w:rsid w:val="00955A81"/>
    <w:rsid w:val="00955C31"/>
    <w:rsid w:val="00955CEC"/>
    <w:rsid w:val="009601F2"/>
    <w:rsid w:val="00960300"/>
    <w:rsid w:val="009609A1"/>
    <w:rsid w:val="00961172"/>
    <w:rsid w:val="00962195"/>
    <w:rsid w:val="00962514"/>
    <w:rsid w:val="009629BB"/>
    <w:rsid w:val="00962BC9"/>
    <w:rsid w:val="00962BE2"/>
    <w:rsid w:val="00962EE4"/>
    <w:rsid w:val="00962F92"/>
    <w:rsid w:val="0096323E"/>
    <w:rsid w:val="009633D4"/>
    <w:rsid w:val="00963813"/>
    <w:rsid w:val="00965867"/>
    <w:rsid w:val="00965993"/>
    <w:rsid w:val="00965B2C"/>
    <w:rsid w:val="009664D0"/>
    <w:rsid w:val="009667FE"/>
    <w:rsid w:val="00967359"/>
    <w:rsid w:val="0096737C"/>
    <w:rsid w:val="00967437"/>
    <w:rsid w:val="00967B93"/>
    <w:rsid w:val="00967C6F"/>
    <w:rsid w:val="009705C2"/>
    <w:rsid w:val="00971520"/>
    <w:rsid w:val="00971594"/>
    <w:rsid w:val="00971C46"/>
    <w:rsid w:val="00971D6D"/>
    <w:rsid w:val="00972577"/>
    <w:rsid w:val="009728FC"/>
    <w:rsid w:val="00972DE3"/>
    <w:rsid w:val="00973111"/>
    <w:rsid w:val="00973BDE"/>
    <w:rsid w:val="00974252"/>
    <w:rsid w:val="009752C3"/>
    <w:rsid w:val="00975D9F"/>
    <w:rsid w:val="00976796"/>
    <w:rsid w:val="0097680C"/>
    <w:rsid w:val="00976C3B"/>
    <w:rsid w:val="00977026"/>
    <w:rsid w:val="009771EE"/>
    <w:rsid w:val="009774C1"/>
    <w:rsid w:val="00977D31"/>
    <w:rsid w:val="00980526"/>
    <w:rsid w:val="009806E0"/>
    <w:rsid w:val="00980948"/>
    <w:rsid w:val="00980ED8"/>
    <w:rsid w:val="00982C4C"/>
    <w:rsid w:val="00983007"/>
    <w:rsid w:val="00983A12"/>
    <w:rsid w:val="009852DF"/>
    <w:rsid w:val="00985DBC"/>
    <w:rsid w:val="0098608A"/>
    <w:rsid w:val="009860B8"/>
    <w:rsid w:val="00986640"/>
    <w:rsid w:val="009867F2"/>
    <w:rsid w:val="009870A7"/>
    <w:rsid w:val="009877D5"/>
    <w:rsid w:val="00987C26"/>
    <w:rsid w:val="00990990"/>
    <w:rsid w:val="00990B8B"/>
    <w:rsid w:val="00990D72"/>
    <w:rsid w:val="0099170D"/>
    <w:rsid w:val="00991AE8"/>
    <w:rsid w:val="009920CE"/>
    <w:rsid w:val="009925E9"/>
    <w:rsid w:val="009926F3"/>
    <w:rsid w:val="009929FD"/>
    <w:rsid w:val="00993BE5"/>
    <w:rsid w:val="00994149"/>
    <w:rsid w:val="009943F6"/>
    <w:rsid w:val="009948CC"/>
    <w:rsid w:val="009949F9"/>
    <w:rsid w:val="00994E7B"/>
    <w:rsid w:val="00995C6D"/>
    <w:rsid w:val="00996277"/>
    <w:rsid w:val="0099647F"/>
    <w:rsid w:val="009964CD"/>
    <w:rsid w:val="0099693C"/>
    <w:rsid w:val="0099732C"/>
    <w:rsid w:val="0099762E"/>
    <w:rsid w:val="009978FE"/>
    <w:rsid w:val="0099795D"/>
    <w:rsid w:val="00997D6A"/>
    <w:rsid w:val="009A003C"/>
    <w:rsid w:val="009A02E8"/>
    <w:rsid w:val="009A0EC4"/>
    <w:rsid w:val="009A0EF0"/>
    <w:rsid w:val="009A0FDA"/>
    <w:rsid w:val="009A1112"/>
    <w:rsid w:val="009A17D2"/>
    <w:rsid w:val="009A18F4"/>
    <w:rsid w:val="009A1B30"/>
    <w:rsid w:val="009A2B78"/>
    <w:rsid w:val="009A2EF6"/>
    <w:rsid w:val="009A320C"/>
    <w:rsid w:val="009A38E9"/>
    <w:rsid w:val="009A43A8"/>
    <w:rsid w:val="009A4D27"/>
    <w:rsid w:val="009A5057"/>
    <w:rsid w:val="009A5C70"/>
    <w:rsid w:val="009A5FA6"/>
    <w:rsid w:val="009A5FAF"/>
    <w:rsid w:val="009A60FD"/>
    <w:rsid w:val="009A611B"/>
    <w:rsid w:val="009A62B6"/>
    <w:rsid w:val="009A63B7"/>
    <w:rsid w:val="009A6570"/>
    <w:rsid w:val="009A66A3"/>
    <w:rsid w:val="009A6B63"/>
    <w:rsid w:val="009A6E74"/>
    <w:rsid w:val="009A77F5"/>
    <w:rsid w:val="009B11F5"/>
    <w:rsid w:val="009B123A"/>
    <w:rsid w:val="009B12D0"/>
    <w:rsid w:val="009B17A1"/>
    <w:rsid w:val="009B213A"/>
    <w:rsid w:val="009B23FE"/>
    <w:rsid w:val="009B2F93"/>
    <w:rsid w:val="009B3A5E"/>
    <w:rsid w:val="009B3C2F"/>
    <w:rsid w:val="009B414C"/>
    <w:rsid w:val="009B52A5"/>
    <w:rsid w:val="009B5879"/>
    <w:rsid w:val="009B5FA5"/>
    <w:rsid w:val="009B67F9"/>
    <w:rsid w:val="009B757C"/>
    <w:rsid w:val="009B75E9"/>
    <w:rsid w:val="009C08ED"/>
    <w:rsid w:val="009C0B41"/>
    <w:rsid w:val="009C0CBC"/>
    <w:rsid w:val="009C0FD3"/>
    <w:rsid w:val="009C1A33"/>
    <w:rsid w:val="009C3D17"/>
    <w:rsid w:val="009C4731"/>
    <w:rsid w:val="009C4EFC"/>
    <w:rsid w:val="009C541B"/>
    <w:rsid w:val="009C5F8D"/>
    <w:rsid w:val="009C6074"/>
    <w:rsid w:val="009C641D"/>
    <w:rsid w:val="009C65FE"/>
    <w:rsid w:val="009C77A8"/>
    <w:rsid w:val="009C78A5"/>
    <w:rsid w:val="009C790C"/>
    <w:rsid w:val="009D0C4B"/>
    <w:rsid w:val="009D1161"/>
    <w:rsid w:val="009D14AF"/>
    <w:rsid w:val="009D1F70"/>
    <w:rsid w:val="009D2DC6"/>
    <w:rsid w:val="009D2F81"/>
    <w:rsid w:val="009D3E36"/>
    <w:rsid w:val="009D46F8"/>
    <w:rsid w:val="009D4D77"/>
    <w:rsid w:val="009D621B"/>
    <w:rsid w:val="009E003B"/>
    <w:rsid w:val="009E0067"/>
    <w:rsid w:val="009E0F1A"/>
    <w:rsid w:val="009E218B"/>
    <w:rsid w:val="009E218D"/>
    <w:rsid w:val="009E2F84"/>
    <w:rsid w:val="009E2FE8"/>
    <w:rsid w:val="009E3F2B"/>
    <w:rsid w:val="009E4C11"/>
    <w:rsid w:val="009E525A"/>
    <w:rsid w:val="009E594A"/>
    <w:rsid w:val="009E616B"/>
    <w:rsid w:val="009E6F4F"/>
    <w:rsid w:val="009E7B3A"/>
    <w:rsid w:val="009F0923"/>
    <w:rsid w:val="009F215F"/>
    <w:rsid w:val="009F21C6"/>
    <w:rsid w:val="009F2429"/>
    <w:rsid w:val="009F2666"/>
    <w:rsid w:val="009F293C"/>
    <w:rsid w:val="009F2BD2"/>
    <w:rsid w:val="009F2DB7"/>
    <w:rsid w:val="009F3DA0"/>
    <w:rsid w:val="009F4DCE"/>
    <w:rsid w:val="009F6EA4"/>
    <w:rsid w:val="009F79A4"/>
    <w:rsid w:val="009F7D8B"/>
    <w:rsid w:val="00A00A11"/>
    <w:rsid w:val="00A010EA"/>
    <w:rsid w:val="00A0171A"/>
    <w:rsid w:val="00A01848"/>
    <w:rsid w:val="00A01EFE"/>
    <w:rsid w:val="00A01F56"/>
    <w:rsid w:val="00A03668"/>
    <w:rsid w:val="00A041D6"/>
    <w:rsid w:val="00A04701"/>
    <w:rsid w:val="00A05426"/>
    <w:rsid w:val="00A05D33"/>
    <w:rsid w:val="00A05FEE"/>
    <w:rsid w:val="00A0612C"/>
    <w:rsid w:val="00A06246"/>
    <w:rsid w:val="00A065F2"/>
    <w:rsid w:val="00A06964"/>
    <w:rsid w:val="00A0696D"/>
    <w:rsid w:val="00A06F63"/>
    <w:rsid w:val="00A06FE2"/>
    <w:rsid w:val="00A072F7"/>
    <w:rsid w:val="00A076E1"/>
    <w:rsid w:val="00A07DE3"/>
    <w:rsid w:val="00A1111A"/>
    <w:rsid w:val="00A11EEC"/>
    <w:rsid w:val="00A124CE"/>
    <w:rsid w:val="00A12C59"/>
    <w:rsid w:val="00A12E2C"/>
    <w:rsid w:val="00A13769"/>
    <w:rsid w:val="00A13E81"/>
    <w:rsid w:val="00A14000"/>
    <w:rsid w:val="00A153C9"/>
    <w:rsid w:val="00A1568E"/>
    <w:rsid w:val="00A16510"/>
    <w:rsid w:val="00A21078"/>
    <w:rsid w:val="00A21490"/>
    <w:rsid w:val="00A218AF"/>
    <w:rsid w:val="00A21D27"/>
    <w:rsid w:val="00A22006"/>
    <w:rsid w:val="00A2269F"/>
    <w:rsid w:val="00A22BBA"/>
    <w:rsid w:val="00A22CF4"/>
    <w:rsid w:val="00A24479"/>
    <w:rsid w:val="00A24574"/>
    <w:rsid w:val="00A24C5F"/>
    <w:rsid w:val="00A260AE"/>
    <w:rsid w:val="00A26A26"/>
    <w:rsid w:val="00A26B23"/>
    <w:rsid w:val="00A26C1F"/>
    <w:rsid w:val="00A27127"/>
    <w:rsid w:val="00A2790B"/>
    <w:rsid w:val="00A3093A"/>
    <w:rsid w:val="00A30CA3"/>
    <w:rsid w:val="00A30D36"/>
    <w:rsid w:val="00A30E80"/>
    <w:rsid w:val="00A3189E"/>
    <w:rsid w:val="00A31F2B"/>
    <w:rsid w:val="00A322E4"/>
    <w:rsid w:val="00A326BB"/>
    <w:rsid w:val="00A32942"/>
    <w:rsid w:val="00A332E0"/>
    <w:rsid w:val="00A33948"/>
    <w:rsid w:val="00A35618"/>
    <w:rsid w:val="00A35F5C"/>
    <w:rsid w:val="00A3697D"/>
    <w:rsid w:val="00A36BE1"/>
    <w:rsid w:val="00A36C93"/>
    <w:rsid w:val="00A37448"/>
    <w:rsid w:val="00A37EB5"/>
    <w:rsid w:val="00A40923"/>
    <w:rsid w:val="00A409B9"/>
    <w:rsid w:val="00A40C57"/>
    <w:rsid w:val="00A4147F"/>
    <w:rsid w:val="00A4261E"/>
    <w:rsid w:val="00A426C5"/>
    <w:rsid w:val="00A42758"/>
    <w:rsid w:val="00A4329E"/>
    <w:rsid w:val="00A43579"/>
    <w:rsid w:val="00A44645"/>
    <w:rsid w:val="00A44FCD"/>
    <w:rsid w:val="00A4514D"/>
    <w:rsid w:val="00A45AB6"/>
    <w:rsid w:val="00A45CAE"/>
    <w:rsid w:val="00A46135"/>
    <w:rsid w:val="00A467D9"/>
    <w:rsid w:val="00A46D9F"/>
    <w:rsid w:val="00A470E2"/>
    <w:rsid w:val="00A47166"/>
    <w:rsid w:val="00A475E1"/>
    <w:rsid w:val="00A47B7D"/>
    <w:rsid w:val="00A47D7A"/>
    <w:rsid w:val="00A50902"/>
    <w:rsid w:val="00A50CDB"/>
    <w:rsid w:val="00A50E51"/>
    <w:rsid w:val="00A510C6"/>
    <w:rsid w:val="00A51368"/>
    <w:rsid w:val="00A51867"/>
    <w:rsid w:val="00A52815"/>
    <w:rsid w:val="00A5291E"/>
    <w:rsid w:val="00A5325D"/>
    <w:rsid w:val="00A53897"/>
    <w:rsid w:val="00A540BD"/>
    <w:rsid w:val="00A55515"/>
    <w:rsid w:val="00A556A5"/>
    <w:rsid w:val="00A55796"/>
    <w:rsid w:val="00A55FF6"/>
    <w:rsid w:val="00A56150"/>
    <w:rsid w:val="00A56546"/>
    <w:rsid w:val="00A566CF"/>
    <w:rsid w:val="00A57B95"/>
    <w:rsid w:val="00A60601"/>
    <w:rsid w:val="00A60B85"/>
    <w:rsid w:val="00A61935"/>
    <w:rsid w:val="00A620C9"/>
    <w:rsid w:val="00A63189"/>
    <w:rsid w:val="00A63678"/>
    <w:rsid w:val="00A6384A"/>
    <w:rsid w:val="00A63A93"/>
    <w:rsid w:val="00A642BC"/>
    <w:rsid w:val="00A642DC"/>
    <w:rsid w:val="00A6654A"/>
    <w:rsid w:val="00A673C5"/>
    <w:rsid w:val="00A67C2D"/>
    <w:rsid w:val="00A700B2"/>
    <w:rsid w:val="00A703FC"/>
    <w:rsid w:val="00A70FD0"/>
    <w:rsid w:val="00A71E28"/>
    <w:rsid w:val="00A72268"/>
    <w:rsid w:val="00A72557"/>
    <w:rsid w:val="00A7296F"/>
    <w:rsid w:val="00A732A7"/>
    <w:rsid w:val="00A734BD"/>
    <w:rsid w:val="00A73631"/>
    <w:rsid w:val="00A747D6"/>
    <w:rsid w:val="00A748EA"/>
    <w:rsid w:val="00A749D3"/>
    <w:rsid w:val="00A74B07"/>
    <w:rsid w:val="00A75F01"/>
    <w:rsid w:val="00A766CC"/>
    <w:rsid w:val="00A76AA2"/>
    <w:rsid w:val="00A77782"/>
    <w:rsid w:val="00A8024D"/>
    <w:rsid w:val="00A803D9"/>
    <w:rsid w:val="00A8076B"/>
    <w:rsid w:val="00A807CA"/>
    <w:rsid w:val="00A80A13"/>
    <w:rsid w:val="00A80A9A"/>
    <w:rsid w:val="00A81A9A"/>
    <w:rsid w:val="00A81CC0"/>
    <w:rsid w:val="00A829C4"/>
    <w:rsid w:val="00A82CB3"/>
    <w:rsid w:val="00A82EB3"/>
    <w:rsid w:val="00A83B71"/>
    <w:rsid w:val="00A83C74"/>
    <w:rsid w:val="00A83E43"/>
    <w:rsid w:val="00A8466A"/>
    <w:rsid w:val="00A8562A"/>
    <w:rsid w:val="00A85F47"/>
    <w:rsid w:val="00A861FF"/>
    <w:rsid w:val="00A86703"/>
    <w:rsid w:val="00A86D8D"/>
    <w:rsid w:val="00A87883"/>
    <w:rsid w:val="00A8788E"/>
    <w:rsid w:val="00A87A19"/>
    <w:rsid w:val="00A87C88"/>
    <w:rsid w:val="00A87DD1"/>
    <w:rsid w:val="00A901FE"/>
    <w:rsid w:val="00A90F98"/>
    <w:rsid w:val="00A923B9"/>
    <w:rsid w:val="00A92662"/>
    <w:rsid w:val="00A934DD"/>
    <w:rsid w:val="00A93657"/>
    <w:rsid w:val="00A93C78"/>
    <w:rsid w:val="00A94173"/>
    <w:rsid w:val="00A9532D"/>
    <w:rsid w:val="00A95626"/>
    <w:rsid w:val="00A95647"/>
    <w:rsid w:val="00A95A68"/>
    <w:rsid w:val="00A95BF6"/>
    <w:rsid w:val="00A961EB"/>
    <w:rsid w:val="00A9632D"/>
    <w:rsid w:val="00A96363"/>
    <w:rsid w:val="00A968DB"/>
    <w:rsid w:val="00A96E46"/>
    <w:rsid w:val="00A97023"/>
    <w:rsid w:val="00A978E8"/>
    <w:rsid w:val="00A9790D"/>
    <w:rsid w:val="00AA0733"/>
    <w:rsid w:val="00AA1031"/>
    <w:rsid w:val="00AA134A"/>
    <w:rsid w:val="00AA181B"/>
    <w:rsid w:val="00AA1A6B"/>
    <w:rsid w:val="00AA1C8B"/>
    <w:rsid w:val="00AA2AB0"/>
    <w:rsid w:val="00AA2B1F"/>
    <w:rsid w:val="00AA330D"/>
    <w:rsid w:val="00AA4570"/>
    <w:rsid w:val="00AA45B2"/>
    <w:rsid w:val="00AA49F5"/>
    <w:rsid w:val="00AA5002"/>
    <w:rsid w:val="00AA502A"/>
    <w:rsid w:val="00AA5359"/>
    <w:rsid w:val="00AA535F"/>
    <w:rsid w:val="00AA5513"/>
    <w:rsid w:val="00AA5648"/>
    <w:rsid w:val="00AA5D7D"/>
    <w:rsid w:val="00AA6E9C"/>
    <w:rsid w:val="00AA7CD7"/>
    <w:rsid w:val="00AA7D67"/>
    <w:rsid w:val="00AB0721"/>
    <w:rsid w:val="00AB0EA1"/>
    <w:rsid w:val="00AB1433"/>
    <w:rsid w:val="00AB1437"/>
    <w:rsid w:val="00AB2216"/>
    <w:rsid w:val="00AB28A6"/>
    <w:rsid w:val="00AB2979"/>
    <w:rsid w:val="00AB33DD"/>
    <w:rsid w:val="00AB34D7"/>
    <w:rsid w:val="00AB3716"/>
    <w:rsid w:val="00AB42AC"/>
    <w:rsid w:val="00AB4D25"/>
    <w:rsid w:val="00AB4E1C"/>
    <w:rsid w:val="00AB4EA8"/>
    <w:rsid w:val="00AB5725"/>
    <w:rsid w:val="00AB5F9C"/>
    <w:rsid w:val="00AB60C2"/>
    <w:rsid w:val="00AB6992"/>
    <w:rsid w:val="00AB7818"/>
    <w:rsid w:val="00AB7C06"/>
    <w:rsid w:val="00AB7C92"/>
    <w:rsid w:val="00AC1444"/>
    <w:rsid w:val="00AC1850"/>
    <w:rsid w:val="00AC194B"/>
    <w:rsid w:val="00AC1ABE"/>
    <w:rsid w:val="00AC1B30"/>
    <w:rsid w:val="00AC2419"/>
    <w:rsid w:val="00AC2D2A"/>
    <w:rsid w:val="00AC3556"/>
    <w:rsid w:val="00AC43C9"/>
    <w:rsid w:val="00AC465E"/>
    <w:rsid w:val="00AC48E0"/>
    <w:rsid w:val="00AC49A8"/>
    <w:rsid w:val="00AC49AE"/>
    <w:rsid w:val="00AC49B0"/>
    <w:rsid w:val="00AC4D45"/>
    <w:rsid w:val="00AC503B"/>
    <w:rsid w:val="00AC5263"/>
    <w:rsid w:val="00AC54A8"/>
    <w:rsid w:val="00AC5DFF"/>
    <w:rsid w:val="00AC63DC"/>
    <w:rsid w:val="00AC68D5"/>
    <w:rsid w:val="00AD026D"/>
    <w:rsid w:val="00AD0D0B"/>
    <w:rsid w:val="00AD1129"/>
    <w:rsid w:val="00AD15C9"/>
    <w:rsid w:val="00AD1993"/>
    <w:rsid w:val="00AD19DA"/>
    <w:rsid w:val="00AD2128"/>
    <w:rsid w:val="00AD281C"/>
    <w:rsid w:val="00AD2C67"/>
    <w:rsid w:val="00AD3649"/>
    <w:rsid w:val="00AD3702"/>
    <w:rsid w:val="00AD3732"/>
    <w:rsid w:val="00AD4A6B"/>
    <w:rsid w:val="00AD4C04"/>
    <w:rsid w:val="00AD4E12"/>
    <w:rsid w:val="00AD5210"/>
    <w:rsid w:val="00AD5BBC"/>
    <w:rsid w:val="00AD6930"/>
    <w:rsid w:val="00AD6BFF"/>
    <w:rsid w:val="00AD6D33"/>
    <w:rsid w:val="00AD7668"/>
    <w:rsid w:val="00AD7E04"/>
    <w:rsid w:val="00AE0BA8"/>
    <w:rsid w:val="00AE0DFD"/>
    <w:rsid w:val="00AE1D1D"/>
    <w:rsid w:val="00AE2378"/>
    <w:rsid w:val="00AE24DC"/>
    <w:rsid w:val="00AE26B6"/>
    <w:rsid w:val="00AE27E0"/>
    <w:rsid w:val="00AE2DAA"/>
    <w:rsid w:val="00AE333C"/>
    <w:rsid w:val="00AE3573"/>
    <w:rsid w:val="00AE3589"/>
    <w:rsid w:val="00AE398E"/>
    <w:rsid w:val="00AE3A28"/>
    <w:rsid w:val="00AE3AD5"/>
    <w:rsid w:val="00AE3AF9"/>
    <w:rsid w:val="00AE40D8"/>
    <w:rsid w:val="00AE47E6"/>
    <w:rsid w:val="00AE5703"/>
    <w:rsid w:val="00AE57A5"/>
    <w:rsid w:val="00AE5D65"/>
    <w:rsid w:val="00AE6251"/>
    <w:rsid w:val="00AE62F7"/>
    <w:rsid w:val="00AE648E"/>
    <w:rsid w:val="00AE6A8D"/>
    <w:rsid w:val="00AE6CCB"/>
    <w:rsid w:val="00AE7E4B"/>
    <w:rsid w:val="00AF0CC0"/>
    <w:rsid w:val="00AF0F10"/>
    <w:rsid w:val="00AF0FE9"/>
    <w:rsid w:val="00AF1297"/>
    <w:rsid w:val="00AF199B"/>
    <w:rsid w:val="00AF23DE"/>
    <w:rsid w:val="00AF2DE8"/>
    <w:rsid w:val="00AF33D5"/>
    <w:rsid w:val="00AF3925"/>
    <w:rsid w:val="00AF4511"/>
    <w:rsid w:val="00AF4911"/>
    <w:rsid w:val="00AF50DD"/>
    <w:rsid w:val="00AF519B"/>
    <w:rsid w:val="00AF51EB"/>
    <w:rsid w:val="00AF5B61"/>
    <w:rsid w:val="00AF5F10"/>
    <w:rsid w:val="00AF649C"/>
    <w:rsid w:val="00AF67F2"/>
    <w:rsid w:val="00AF6E44"/>
    <w:rsid w:val="00AF70AA"/>
    <w:rsid w:val="00AF72BB"/>
    <w:rsid w:val="00B00D6D"/>
    <w:rsid w:val="00B014C5"/>
    <w:rsid w:val="00B014DE"/>
    <w:rsid w:val="00B016AB"/>
    <w:rsid w:val="00B01BA4"/>
    <w:rsid w:val="00B01CAE"/>
    <w:rsid w:val="00B01FB9"/>
    <w:rsid w:val="00B021FB"/>
    <w:rsid w:val="00B029D5"/>
    <w:rsid w:val="00B03315"/>
    <w:rsid w:val="00B035EA"/>
    <w:rsid w:val="00B050AB"/>
    <w:rsid w:val="00B0572B"/>
    <w:rsid w:val="00B062DD"/>
    <w:rsid w:val="00B06A92"/>
    <w:rsid w:val="00B0774B"/>
    <w:rsid w:val="00B1068F"/>
    <w:rsid w:val="00B1095E"/>
    <w:rsid w:val="00B116A1"/>
    <w:rsid w:val="00B117A2"/>
    <w:rsid w:val="00B123FA"/>
    <w:rsid w:val="00B126EA"/>
    <w:rsid w:val="00B127E9"/>
    <w:rsid w:val="00B13543"/>
    <w:rsid w:val="00B13C9E"/>
    <w:rsid w:val="00B13F08"/>
    <w:rsid w:val="00B13F0B"/>
    <w:rsid w:val="00B1528E"/>
    <w:rsid w:val="00B15722"/>
    <w:rsid w:val="00B1611F"/>
    <w:rsid w:val="00B16A8F"/>
    <w:rsid w:val="00B16D7B"/>
    <w:rsid w:val="00B1775B"/>
    <w:rsid w:val="00B17CF4"/>
    <w:rsid w:val="00B215E6"/>
    <w:rsid w:val="00B21B9A"/>
    <w:rsid w:val="00B21BD6"/>
    <w:rsid w:val="00B2264A"/>
    <w:rsid w:val="00B24899"/>
    <w:rsid w:val="00B248B7"/>
    <w:rsid w:val="00B24E0B"/>
    <w:rsid w:val="00B253A6"/>
    <w:rsid w:val="00B26247"/>
    <w:rsid w:val="00B265CF"/>
    <w:rsid w:val="00B2765D"/>
    <w:rsid w:val="00B27AF0"/>
    <w:rsid w:val="00B3008C"/>
    <w:rsid w:val="00B30A14"/>
    <w:rsid w:val="00B32FA9"/>
    <w:rsid w:val="00B3375A"/>
    <w:rsid w:val="00B34A7C"/>
    <w:rsid w:val="00B34C60"/>
    <w:rsid w:val="00B35413"/>
    <w:rsid w:val="00B35FCB"/>
    <w:rsid w:val="00B36358"/>
    <w:rsid w:val="00B36FFE"/>
    <w:rsid w:val="00B37D6C"/>
    <w:rsid w:val="00B37F47"/>
    <w:rsid w:val="00B406C4"/>
    <w:rsid w:val="00B40982"/>
    <w:rsid w:val="00B40C03"/>
    <w:rsid w:val="00B40C5D"/>
    <w:rsid w:val="00B40FA1"/>
    <w:rsid w:val="00B41FEA"/>
    <w:rsid w:val="00B42E41"/>
    <w:rsid w:val="00B4356A"/>
    <w:rsid w:val="00B436E1"/>
    <w:rsid w:val="00B4377C"/>
    <w:rsid w:val="00B43871"/>
    <w:rsid w:val="00B44590"/>
    <w:rsid w:val="00B44778"/>
    <w:rsid w:val="00B447E8"/>
    <w:rsid w:val="00B44A92"/>
    <w:rsid w:val="00B450E3"/>
    <w:rsid w:val="00B4515E"/>
    <w:rsid w:val="00B45296"/>
    <w:rsid w:val="00B455DE"/>
    <w:rsid w:val="00B4629B"/>
    <w:rsid w:val="00B47EC3"/>
    <w:rsid w:val="00B50530"/>
    <w:rsid w:val="00B50BE5"/>
    <w:rsid w:val="00B50DCA"/>
    <w:rsid w:val="00B5111A"/>
    <w:rsid w:val="00B51C03"/>
    <w:rsid w:val="00B51CB4"/>
    <w:rsid w:val="00B51D8D"/>
    <w:rsid w:val="00B524D3"/>
    <w:rsid w:val="00B52944"/>
    <w:rsid w:val="00B52B92"/>
    <w:rsid w:val="00B52D28"/>
    <w:rsid w:val="00B53D4D"/>
    <w:rsid w:val="00B53DA8"/>
    <w:rsid w:val="00B54055"/>
    <w:rsid w:val="00B540B2"/>
    <w:rsid w:val="00B553EE"/>
    <w:rsid w:val="00B562AD"/>
    <w:rsid w:val="00B57116"/>
    <w:rsid w:val="00B57373"/>
    <w:rsid w:val="00B57566"/>
    <w:rsid w:val="00B6005C"/>
    <w:rsid w:val="00B610A2"/>
    <w:rsid w:val="00B617E6"/>
    <w:rsid w:val="00B6189F"/>
    <w:rsid w:val="00B61F77"/>
    <w:rsid w:val="00B625B7"/>
    <w:rsid w:val="00B62DBA"/>
    <w:rsid w:val="00B639BA"/>
    <w:rsid w:val="00B639F9"/>
    <w:rsid w:val="00B63B40"/>
    <w:rsid w:val="00B63DA3"/>
    <w:rsid w:val="00B64B44"/>
    <w:rsid w:val="00B65128"/>
    <w:rsid w:val="00B6519D"/>
    <w:rsid w:val="00B65376"/>
    <w:rsid w:val="00B674E1"/>
    <w:rsid w:val="00B701E2"/>
    <w:rsid w:val="00B70430"/>
    <w:rsid w:val="00B710B0"/>
    <w:rsid w:val="00B71374"/>
    <w:rsid w:val="00B7329E"/>
    <w:rsid w:val="00B7497A"/>
    <w:rsid w:val="00B750E3"/>
    <w:rsid w:val="00B751BA"/>
    <w:rsid w:val="00B75F45"/>
    <w:rsid w:val="00B76536"/>
    <w:rsid w:val="00B765E7"/>
    <w:rsid w:val="00B80254"/>
    <w:rsid w:val="00B808DD"/>
    <w:rsid w:val="00B815E4"/>
    <w:rsid w:val="00B8214E"/>
    <w:rsid w:val="00B82622"/>
    <w:rsid w:val="00B8270E"/>
    <w:rsid w:val="00B82D1B"/>
    <w:rsid w:val="00B8336F"/>
    <w:rsid w:val="00B83B73"/>
    <w:rsid w:val="00B85A32"/>
    <w:rsid w:val="00B86678"/>
    <w:rsid w:val="00B8671D"/>
    <w:rsid w:val="00B867FF"/>
    <w:rsid w:val="00B8733A"/>
    <w:rsid w:val="00B90E77"/>
    <w:rsid w:val="00B91B58"/>
    <w:rsid w:val="00B91CE0"/>
    <w:rsid w:val="00B921F5"/>
    <w:rsid w:val="00B92634"/>
    <w:rsid w:val="00B926B3"/>
    <w:rsid w:val="00B96C33"/>
    <w:rsid w:val="00B972D7"/>
    <w:rsid w:val="00B97F5F"/>
    <w:rsid w:val="00BA02B4"/>
    <w:rsid w:val="00BA0E07"/>
    <w:rsid w:val="00BA0ED3"/>
    <w:rsid w:val="00BA0EE7"/>
    <w:rsid w:val="00BA0FF1"/>
    <w:rsid w:val="00BA120E"/>
    <w:rsid w:val="00BA120F"/>
    <w:rsid w:val="00BA152F"/>
    <w:rsid w:val="00BA2B3F"/>
    <w:rsid w:val="00BA2D85"/>
    <w:rsid w:val="00BA34DE"/>
    <w:rsid w:val="00BA3C51"/>
    <w:rsid w:val="00BA4480"/>
    <w:rsid w:val="00BA46D7"/>
    <w:rsid w:val="00BA4C6E"/>
    <w:rsid w:val="00BA50B6"/>
    <w:rsid w:val="00BA5282"/>
    <w:rsid w:val="00BA6623"/>
    <w:rsid w:val="00BA6978"/>
    <w:rsid w:val="00BA6B61"/>
    <w:rsid w:val="00BB0049"/>
    <w:rsid w:val="00BB022B"/>
    <w:rsid w:val="00BB0C06"/>
    <w:rsid w:val="00BB116A"/>
    <w:rsid w:val="00BB2FA1"/>
    <w:rsid w:val="00BB343C"/>
    <w:rsid w:val="00BB524B"/>
    <w:rsid w:val="00BB5864"/>
    <w:rsid w:val="00BB5ACF"/>
    <w:rsid w:val="00BB5D41"/>
    <w:rsid w:val="00BB5E12"/>
    <w:rsid w:val="00BB65AE"/>
    <w:rsid w:val="00BB6CE5"/>
    <w:rsid w:val="00BB70FB"/>
    <w:rsid w:val="00BB7501"/>
    <w:rsid w:val="00BC017D"/>
    <w:rsid w:val="00BC1CDD"/>
    <w:rsid w:val="00BC21CB"/>
    <w:rsid w:val="00BC2858"/>
    <w:rsid w:val="00BC2BEB"/>
    <w:rsid w:val="00BC3259"/>
    <w:rsid w:val="00BC3EA5"/>
    <w:rsid w:val="00BC58A7"/>
    <w:rsid w:val="00BC5A75"/>
    <w:rsid w:val="00BC5D8C"/>
    <w:rsid w:val="00BC5F02"/>
    <w:rsid w:val="00BC736E"/>
    <w:rsid w:val="00BD061C"/>
    <w:rsid w:val="00BD0D37"/>
    <w:rsid w:val="00BD0DB4"/>
    <w:rsid w:val="00BD0E44"/>
    <w:rsid w:val="00BD15F6"/>
    <w:rsid w:val="00BD1B27"/>
    <w:rsid w:val="00BD1D18"/>
    <w:rsid w:val="00BD20DB"/>
    <w:rsid w:val="00BD2338"/>
    <w:rsid w:val="00BD2D27"/>
    <w:rsid w:val="00BD2DFD"/>
    <w:rsid w:val="00BD3DBC"/>
    <w:rsid w:val="00BD3F89"/>
    <w:rsid w:val="00BD439E"/>
    <w:rsid w:val="00BD46C3"/>
    <w:rsid w:val="00BD47F1"/>
    <w:rsid w:val="00BD58A0"/>
    <w:rsid w:val="00BD5E4D"/>
    <w:rsid w:val="00BD6878"/>
    <w:rsid w:val="00BD6992"/>
    <w:rsid w:val="00BD719E"/>
    <w:rsid w:val="00BD79A8"/>
    <w:rsid w:val="00BD7BCE"/>
    <w:rsid w:val="00BE0212"/>
    <w:rsid w:val="00BE09ED"/>
    <w:rsid w:val="00BE0E7C"/>
    <w:rsid w:val="00BE1BA2"/>
    <w:rsid w:val="00BE225D"/>
    <w:rsid w:val="00BE2907"/>
    <w:rsid w:val="00BE2ECF"/>
    <w:rsid w:val="00BE3654"/>
    <w:rsid w:val="00BE382E"/>
    <w:rsid w:val="00BE3D03"/>
    <w:rsid w:val="00BE3DA6"/>
    <w:rsid w:val="00BE4548"/>
    <w:rsid w:val="00BE4BF3"/>
    <w:rsid w:val="00BE5591"/>
    <w:rsid w:val="00BE5696"/>
    <w:rsid w:val="00BE57AB"/>
    <w:rsid w:val="00BE58E2"/>
    <w:rsid w:val="00BE60BE"/>
    <w:rsid w:val="00BE6BD2"/>
    <w:rsid w:val="00BE6F9C"/>
    <w:rsid w:val="00BE761B"/>
    <w:rsid w:val="00BE7CD5"/>
    <w:rsid w:val="00BF043D"/>
    <w:rsid w:val="00BF0F82"/>
    <w:rsid w:val="00BF1919"/>
    <w:rsid w:val="00BF2438"/>
    <w:rsid w:val="00BF2CFD"/>
    <w:rsid w:val="00BF308B"/>
    <w:rsid w:val="00BF382B"/>
    <w:rsid w:val="00BF39E9"/>
    <w:rsid w:val="00BF3CD2"/>
    <w:rsid w:val="00BF3DDD"/>
    <w:rsid w:val="00BF4743"/>
    <w:rsid w:val="00BF53FE"/>
    <w:rsid w:val="00BF6414"/>
    <w:rsid w:val="00BF658C"/>
    <w:rsid w:val="00BF7164"/>
    <w:rsid w:val="00C00199"/>
    <w:rsid w:val="00C01319"/>
    <w:rsid w:val="00C018F4"/>
    <w:rsid w:val="00C02020"/>
    <w:rsid w:val="00C0264A"/>
    <w:rsid w:val="00C02E56"/>
    <w:rsid w:val="00C03B3B"/>
    <w:rsid w:val="00C04867"/>
    <w:rsid w:val="00C0518A"/>
    <w:rsid w:val="00C05C9D"/>
    <w:rsid w:val="00C0687C"/>
    <w:rsid w:val="00C069C8"/>
    <w:rsid w:val="00C06B6C"/>
    <w:rsid w:val="00C07062"/>
    <w:rsid w:val="00C070CB"/>
    <w:rsid w:val="00C07870"/>
    <w:rsid w:val="00C079E8"/>
    <w:rsid w:val="00C1101A"/>
    <w:rsid w:val="00C11058"/>
    <w:rsid w:val="00C1156C"/>
    <w:rsid w:val="00C11C69"/>
    <w:rsid w:val="00C12835"/>
    <w:rsid w:val="00C12D2A"/>
    <w:rsid w:val="00C13056"/>
    <w:rsid w:val="00C13FC5"/>
    <w:rsid w:val="00C1487C"/>
    <w:rsid w:val="00C14BC7"/>
    <w:rsid w:val="00C151DA"/>
    <w:rsid w:val="00C15AD9"/>
    <w:rsid w:val="00C15E85"/>
    <w:rsid w:val="00C1772C"/>
    <w:rsid w:val="00C1773D"/>
    <w:rsid w:val="00C17DF6"/>
    <w:rsid w:val="00C208E1"/>
    <w:rsid w:val="00C20DBE"/>
    <w:rsid w:val="00C21613"/>
    <w:rsid w:val="00C22759"/>
    <w:rsid w:val="00C227C1"/>
    <w:rsid w:val="00C2490D"/>
    <w:rsid w:val="00C24A89"/>
    <w:rsid w:val="00C24C83"/>
    <w:rsid w:val="00C26310"/>
    <w:rsid w:val="00C265E6"/>
    <w:rsid w:val="00C265F7"/>
    <w:rsid w:val="00C269E9"/>
    <w:rsid w:val="00C26BC9"/>
    <w:rsid w:val="00C27295"/>
    <w:rsid w:val="00C3031A"/>
    <w:rsid w:val="00C31999"/>
    <w:rsid w:val="00C31CE6"/>
    <w:rsid w:val="00C32033"/>
    <w:rsid w:val="00C32C16"/>
    <w:rsid w:val="00C330BA"/>
    <w:rsid w:val="00C33E95"/>
    <w:rsid w:val="00C34DFA"/>
    <w:rsid w:val="00C359BE"/>
    <w:rsid w:val="00C35B08"/>
    <w:rsid w:val="00C364FF"/>
    <w:rsid w:val="00C36ADF"/>
    <w:rsid w:val="00C3715D"/>
    <w:rsid w:val="00C372F4"/>
    <w:rsid w:val="00C379BE"/>
    <w:rsid w:val="00C37C80"/>
    <w:rsid w:val="00C40051"/>
    <w:rsid w:val="00C4045B"/>
    <w:rsid w:val="00C4094B"/>
    <w:rsid w:val="00C40D3F"/>
    <w:rsid w:val="00C40FAB"/>
    <w:rsid w:val="00C4147D"/>
    <w:rsid w:val="00C415F4"/>
    <w:rsid w:val="00C419BE"/>
    <w:rsid w:val="00C41DC9"/>
    <w:rsid w:val="00C4286D"/>
    <w:rsid w:val="00C42957"/>
    <w:rsid w:val="00C42EDB"/>
    <w:rsid w:val="00C43AF9"/>
    <w:rsid w:val="00C4441E"/>
    <w:rsid w:val="00C44B46"/>
    <w:rsid w:val="00C45C7B"/>
    <w:rsid w:val="00C465B1"/>
    <w:rsid w:val="00C46700"/>
    <w:rsid w:val="00C467A5"/>
    <w:rsid w:val="00C46E98"/>
    <w:rsid w:val="00C46F0D"/>
    <w:rsid w:val="00C4767A"/>
    <w:rsid w:val="00C47786"/>
    <w:rsid w:val="00C47CA1"/>
    <w:rsid w:val="00C50300"/>
    <w:rsid w:val="00C50558"/>
    <w:rsid w:val="00C50E55"/>
    <w:rsid w:val="00C50F05"/>
    <w:rsid w:val="00C51DC8"/>
    <w:rsid w:val="00C52464"/>
    <w:rsid w:val="00C52BB3"/>
    <w:rsid w:val="00C53304"/>
    <w:rsid w:val="00C53311"/>
    <w:rsid w:val="00C533A0"/>
    <w:rsid w:val="00C535A4"/>
    <w:rsid w:val="00C53D7E"/>
    <w:rsid w:val="00C53EB3"/>
    <w:rsid w:val="00C5414F"/>
    <w:rsid w:val="00C54717"/>
    <w:rsid w:val="00C5478C"/>
    <w:rsid w:val="00C55176"/>
    <w:rsid w:val="00C551D3"/>
    <w:rsid w:val="00C561C9"/>
    <w:rsid w:val="00C566B5"/>
    <w:rsid w:val="00C56BD7"/>
    <w:rsid w:val="00C56DDA"/>
    <w:rsid w:val="00C574B8"/>
    <w:rsid w:val="00C5750B"/>
    <w:rsid w:val="00C57DF2"/>
    <w:rsid w:val="00C601CF"/>
    <w:rsid w:val="00C608D2"/>
    <w:rsid w:val="00C61103"/>
    <w:rsid w:val="00C617F8"/>
    <w:rsid w:val="00C61F66"/>
    <w:rsid w:val="00C625BE"/>
    <w:rsid w:val="00C633BA"/>
    <w:rsid w:val="00C63547"/>
    <w:rsid w:val="00C63677"/>
    <w:rsid w:val="00C638B9"/>
    <w:rsid w:val="00C63C58"/>
    <w:rsid w:val="00C6418E"/>
    <w:rsid w:val="00C642E0"/>
    <w:rsid w:val="00C64D27"/>
    <w:rsid w:val="00C65492"/>
    <w:rsid w:val="00C6587E"/>
    <w:rsid w:val="00C65B0B"/>
    <w:rsid w:val="00C65CE9"/>
    <w:rsid w:val="00C66036"/>
    <w:rsid w:val="00C661E9"/>
    <w:rsid w:val="00C66322"/>
    <w:rsid w:val="00C6661C"/>
    <w:rsid w:val="00C6710C"/>
    <w:rsid w:val="00C674A3"/>
    <w:rsid w:val="00C67642"/>
    <w:rsid w:val="00C6773E"/>
    <w:rsid w:val="00C67B6F"/>
    <w:rsid w:val="00C67E29"/>
    <w:rsid w:val="00C70FFE"/>
    <w:rsid w:val="00C71048"/>
    <w:rsid w:val="00C71E0F"/>
    <w:rsid w:val="00C732D1"/>
    <w:rsid w:val="00C73E0B"/>
    <w:rsid w:val="00C74CD5"/>
    <w:rsid w:val="00C764AD"/>
    <w:rsid w:val="00C77195"/>
    <w:rsid w:val="00C77B78"/>
    <w:rsid w:val="00C805CF"/>
    <w:rsid w:val="00C80609"/>
    <w:rsid w:val="00C8092C"/>
    <w:rsid w:val="00C80C9D"/>
    <w:rsid w:val="00C81BB0"/>
    <w:rsid w:val="00C81E74"/>
    <w:rsid w:val="00C82058"/>
    <w:rsid w:val="00C821ED"/>
    <w:rsid w:val="00C822D0"/>
    <w:rsid w:val="00C8240E"/>
    <w:rsid w:val="00C82AF2"/>
    <w:rsid w:val="00C8336A"/>
    <w:rsid w:val="00C8439C"/>
    <w:rsid w:val="00C848A0"/>
    <w:rsid w:val="00C84C3F"/>
    <w:rsid w:val="00C85D78"/>
    <w:rsid w:val="00C85F40"/>
    <w:rsid w:val="00C8649F"/>
    <w:rsid w:val="00C86987"/>
    <w:rsid w:val="00C86BF7"/>
    <w:rsid w:val="00C90F7F"/>
    <w:rsid w:val="00C92598"/>
    <w:rsid w:val="00C92DB2"/>
    <w:rsid w:val="00C941F5"/>
    <w:rsid w:val="00C948E3"/>
    <w:rsid w:val="00C94E46"/>
    <w:rsid w:val="00C95615"/>
    <w:rsid w:val="00C9575C"/>
    <w:rsid w:val="00C959BF"/>
    <w:rsid w:val="00C95BEE"/>
    <w:rsid w:val="00C963FD"/>
    <w:rsid w:val="00C96D54"/>
    <w:rsid w:val="00C96E15"/>
    <w:rsid w:val="00C97659"/>
    <w:rsid w:val="00CA0635"/>
    <w:rsid w:val="00CA0A05"/>
    <w:rsid w:val="00CA0D51"/>
    <w:rsid w:val="00CA13C7"/>
    <w:rsid w:val="00CA151E"/>
    <w:rsid w:val="00CA23F7"/>
    <w:rsid w:val="00CA2C0D"/>
    <w:rsid w:val="00CA3229"/>
    <w:rsid w:val="00CA3929"/>
    <w:rsid w:val="00CA3ECE"/>
    <w:rsid w:val="00CA4E2A"/>
    <w:rsid w:val="00CA5143"/>
    <w:rsid w:val="00CA5170"/>
    <w:rsid w:val="00CA5667"/>
    <w:rsid w:val="00CA5DC7"/>
    <w:rsid w:val="00CA6165"/>
    <w:rsid w:val="00CA6A30"/>
    <w:rsid w:val="00CA6C2B"/>
    <w:rsid w:val="00CA6C56"/>
    <w:rsid w:val="00CA7A43"/>
    <w:rsid w:val="00CA7B4A"/>
    <w:rsid w:val="00CB19E2"/>
    <w:rsid w:val="00CB2326"/>
    <w:rsid w:val="00CB29A9"/>
    <w:rsid w:val="00CB2F32"/>
    <w:rsid w:val="00CB3DA4"/>
    <w:rsid w:val="00CB455B"/>
    <w:rsid w:val="00CB50F0"/>
    <w:rsid w:val="00CB516D"/>
    <w:rsid w:val="00CB53CB"/>
    <w:rsid w:val="00CB5509"/>
    <w:rsid w:val="00CB561F"/>
    <w:rsid w:val="00CB5639"/>
    <w:rsid w:val="00CB59AB"/>
    <w:rsid w:val="00CB65CE"/>
    <w:rsid w:val="00CB7010"/>
    <w:rsid w:val="00CB7576"/>
    <w:rsid w:val="00CB7DB7"/>
    <w:rsid w:val="00CC001E"/>
    <w:rsid w:val="00CC00B9"/>
    <w:rsid w:val="00CC10B2"/>
    <w:rsid w:val="00CC14D1"/>
    <w:rsid w:val="00CC1E36"/>
    <w:rsid w:val="00CC2D1C"/>
    <w:rsid w:val="00CC2E7D"/>
    <w:rsid w:val="00CC39E7"/>
    <w:rsid w:val="00CC3C8A"/>
    <w:rsid w:val="00CC49B8"/>
    <w:rsid w:val="00CC4F3D"/>
    <w:rsid w:val="00CC5171"/>
    <w:rsid w:val="00CC563F"/>
    <w:rsid w:val="00CC568D"/>
    <w:rsid w:val="00CC574E"/>
    <w:rsid w:val="00CC6CC3"/>
    <w:rsid w:val="00CC6E36"/>
    <w:rsid w:val="00CC7064"/>
    <w:rsid w:val="00CC7775"/>
    <w:rsid w:val="00CC7F5A"/>
    <w:rsid w:val="00CD0774"/>
    <w:rsid w:val="00CD0F3C"/>
    <w:rsid w:val="00CD2577"/>
    <w:rsid w:val="00CD25EC"/>
    <w:rsid w:val="00CD27AA"/>
    <w:rsid w:val="00CD2C3A"/>
    <w:rsid w:val="00CD2F3E"/>
    <w:rsid w:val="00CD3A90"/>
    <w:rsid w:val="00CD4C34"/>
    <w:rsid w:val="00CD4CB7"/>
    <w:rsid w:val="00CD549B"/>
    <w:rsid w:val="00CD6057"/>
    <w:rsid w:val="00CD6AA8"/>
    <w:rsid w:val="00CD7D87"/>
    <w:rsid w:val="00CD7FC9"/>
    <w:rsid w:val="00CD7FCB"/>
    <w:rsid w:val="00CE0349"/>
    <w:rsid w:val="00CE1153"/>
    <w:rsid w:val="00CE1217"/>
    <w:rsid w:val="00CE15CF"/>
    <w:rsid w:val="00CE184E"/>
    <w:rsid w:val="00CE185C"/>
    <w:rsid w:val="00CE1CA4"/>
    <w:rsid w:val="00CE2699"/>
    <w:rsid w:val="00CE2B64"/>
    <w:rsid w:val="00CE2FF3"/>
    <w:rsid w:val="00CE2FFD"/>
    <w:rsid w:val="00CE329B"/>
    <w:rsid w:val="00CE41AE"/>
    <w:rsid w:val="00CE47CD"/>
    <w:rsid w:val="00CE4B59"/>
    <w:rsid w:val="00CE4E0E"/>
    <w:rsid w:val="00CE536B"/>
    <w:rsid w:val="00CE5E2F"/>
    <w:rsid w:val="00CE5F2B"/>
    <w:rsid w:val="00CE62C0"/>
    <w:rsid w:val="00CE6E64"/>
    <w:rsid w:val="00CE7C1F"/>
    <w:rsid w:val="00CE7C67"/>
    <w:rsid w:val="00CE7EED"/>
    <w:rsid w:val="00CF0114"/>
    <w:rsid w:val="00CF2C8C"/>
    <w:rsid w:val="00CF324B"/>
    <w:rsid w:val="00CF405C"/>
    <w:rsid w:val="00CF4706"/>
    <w:rsid w:val="00CF47EF"/>
    <w:rsid w:val="00CF5318"/>
    <w:rsid w:val="00CF5808"/>
    <w:rsid w:val="00CF584F"/>
    <w:rsid w:val="00CF592A"/>
    <w:rsid w:val="00CF5A53"/>
    <w:rsid w:val="00CF5CEF"/>
    <w:rsid w:val="00CF63B8"/>
    <w:rsid w:val="00CF6D29"/>
    <w:rsid w:val="00CF70FB"/>
    <w:rsid w:val="00D009DA"/>
    <w:rsid w:val="00D013D2"/>
    <w:rsid w:val="00D013D3"/>
    <w:rsid w:val="00D014FB"/>
    <w:rsid w:val="00D024D1"/>
    <w:rsid w:val="00D02C1A"/>
    <w:rsid w:val="00D038D2"/>
    <w:rsid w:val="00D04AE9"/>
    <w:rsid w:val="00D04FE4"/>
    <w:rsid w:val="00D05584"/>
    <w:rsid w:val="00D05C54"/>
    <w:rsid w:val="00D06404"/>
    <w:rsid w:val="00D066B3"/>
    <w:rsid w:val="00D10042"/>
    <w:rsid w:val="00D1084F"/>
    <w:rsid w:val="00D10948"/>
    <w:rsid w:val="00D10B85"/>
    <w:rsid w:val="00D10E96"/>
    <w:rsid w:val="00D128CB"/>
    <w:rsid w:val="00D13421"/>
    <w:rsid w:val="00D135CD"/>
    <w:rsid w:val="00D13BCC"/>
    <w:rsid w:val="00D13C55"/>
    <w:rsid w:val="00D13C6F"/>
    <w:rsid w:val="00D14007"/>
    <w:rsid w:val="00D14058"/>
    <w:rsid w:val="00D1437E"/>
    <w:rsid w:val="00D14A17"/>
    <w:rsid w:val="00D1515B"/>
    <w:rsid w:val="00D15846"/>
    <w:rsid w:val="00D158EA"/>
    <w:rsid w:val="00D15F0E"/>
    <w:rsid w:val="00D16261"/>
    <w:rsid w:val="00D167F6"/>
    <w:rsid w:val="00D167F7"/>
    <w:rsid w:val="00D16876"/>
    <w:rsid w:val="00D16D47"/>
    <w:rsid w:val="00D171DD"/>
    <w:rsid w:val="00D1794A"/>
    <w:rsid w:val="00D17AEE"/>
    <w:rsid w:val="00D202D3"/>
    <w:rsid w:val="00D20AD6"/>
    <w:rsid w:val="00D20BC8"/>
    <w:rsid w:val="00D2172F"/>
    <w:rsid w:val="00D21C09"/>
    <w:rsid w:val="00D2274E"/>
    <w:rsid w:val="00D2305D"/>
    <w:rsid w:val="00D23E20"/>
    <w:rsid w:val="00D24B1A"/>
    <w:rsid w:val="00D24E7E"/>
    <w:rsid w:val="00D24F34"/>
    <w:rsid w:val="00D25212"/>
    <w:rsid w:val="00D253B8"/>
    <w:rsid w:val="00D2544C"/>
    <w:rsid w:val="00D256CF"/>
    <w:rsid w:val="00D25AA3"/>
    <w:rsid w:val="00D275A2"/>
    <w:rsid w:val="00D27849"/>
    <w:rsid w:val="00D27AF8"/>
    <w:rsid w:val="00D27EEF"/>
    <w:rsid w:val="00D27FCB"/>
    <w:rsid w:val="00D30B65"/>
    <w:rsid w:val="00D30D6A"/>
    <w:rsid w:val="00D31CE7"/>
    <w:rsid w:val="00D31FE0"/>
    <w:rsid w:val="00D32D33"/>
    <w:rsid w:val="00D32D65"/>
    <w:rsid w:val="00D333ED"/>
    <w:rsid w:val="00D34C09"/>
    <w:rsid w:val="00D351DD"/>
    <w:rsid w:val="00D351E3"/>
    <w:rsid w:val="00D37202"/>
    <w:rsid w:val="00D37944"/>
    <w:rsid w:val="00D41432"/>
    <w:rsid w:val="00D41A36"/>
    <w:rsid w:val="00D41B2A"/>
    <w:rsid w:val="00D423E8"/>
    <w:rsid w:val="00D42760"/>
    <w:rsid w:val="00D431CC"/>
    <w:rsid w:val="00D433D0"/>
    <w:rsid w:val="00D4394F"/>
    <w:rsid w:val="00D43A2B"/>
    <w:rsid w:val="00D43A78"/>
    <w:rsid w:val="00D43C92"/>
    <w:rsid w:val="00D4459E"/>
    <w:rsid w:val="00D44AC0"/>
    <w:rsid w:val="00D44DA8"/>
    <w:rsid w:val="00D457CA"/>
    <w:rsid w:val="00D459CB"/>
    <w:rsid w:val="00D45DA1"/>
    <w:rsid w:val="00D46D7F"/>
    <w:rsid w:val="00D46EE4"/>
    <w:rsid w:val="00D4732E"/>
    <w:rsid w:val="00D47C64"/>
    <w:rsid w:val="00D47D74"/>
    <w:rsid w:val="00D500B4"/>
    <w:rsid w:val="00D511C4"/>
    <w:rsid w:val="00D5235B"/>
    <w:rsid w:val="00D52549"/>
    <w:rsid w:val="00D52A6F"/>
    <w:rsid w:val="00D52F6F"/>
    <w:rsid w:val="00D53145"/>
    <w:rsid w:val="00D542D8"/>
    <w:rsid w:val="00D5434F"/>
    <w:rsid w:val="00D5497E"/>
    <w:rsid w:val="00D54C89"/>
    <w:rsid w:val="00D54FCB"/>
    <w:rsid w:val="00D55069"/>
    <w:rsid w:val="00D55201"/>
    <w:rsid w:val="00D55F1E"/>
    <w:rsid w:val="00D561F0"/>
    <w:rsid w:val="00D5688C"/>
    <w:rsid w:val="00D56C2F"/>
    <w:rsid w:val="00D56FFF"/>
    <w:rsid w:val="00D577A7"/>
    <w:rsid w:val="00D60B23"/>
    <w:rsid w:val="00D60C8A"/>
    <w:rsid w:val="00D614B8"/>
    <w:rsid w:val="00D61B37"/>
    <w:rsid w:val="00D62879"/>
    <w:rsid w:val="00D63349"/>
    <w:rsid w:val="00D63736"/>
    <w:rsid w:val="00D6389E"/>
    <w:rsid w:val="00D638F4"/>
    <w:rsid w:val="00D64127"/>
    <w:rsid w:val="00D66107"/>
    <w:rsid w:val="00D6683A"/>
    <w:rsid w:val="00D66C33"/>
    <w:rsid w:val="00D66D05"/>
    <w:rsid w:val="00D673F2"/>
    <w:rsid w:val="00D67E66"/>
    <w:rsid w:val="00D702AC"/>
    <w:rsid w:val="00D702F4"/>
    <w:rsid w:val="00D707A8"/>
    <w:rsid w:val="00D70DE2"/>
    <w:rsid w:val="00D71B46"/>
    <w:rsid w:val="00D71B8C"/>
    <w:rsid w:val="00D71C4B"/>
    <w:rsid w:val="00D72B64"/>
    <w:rsid w:val="00D73851"/>
    <w:rsid w:val="00D738C9"/>
    <w:rsid w:val="00D74370"/>
    <w:rsid w:val="00D74948"/>
    <w:rsid w:val="00D749AC"/>
    <w:rsid w:val="00D74A5D"/>
    <w:rsid w:val="00D74D89"/>
    <w:rsid w:val="00D753A5"/>
    <w:rsid w:val="00D756D4"/>
    <w:rsid w:val="00D757CE"/>
    <w:rsid w:val="00D7627C"/>
    <w:rsid w:val="00D764A8"/>
    <w:rsid w:val="00D76CD2"/>
    <w:rsid w:val="00D76E18"/>
    <w:rsid w:val="00D76F9D"/>
    <w:rsid w:val="00D772D9"/>
    <w:rsid w:val="00D80376"/>
    <w:rsid w:val="00D80D4E"/>
    <w:rsid w:val="00D8125D"/>
    <w:rsid w:val="00D81C8F"/>
    <w:rsid w:val="00D821BF"/>
    <w:rsid w:val="00D82725"/>
    <w:rsid w:val="00D82A2A"/>
    <w:rsid w:val="00D82E7E"/>
    <w:rsid w:val="00D8342B"/>
    <w:rsid w:val="00D836D1"/>
    <w:rsid w:val="00D83703"/>
    <w:rsid w:val="00D83BCB"/>
    <w:rsid w:val="00D83DF6"/>
    <w:rsid w:val="00D841B6"/>
    <w:rsid w:val="00D842EB"/>
    <w:rsid w:val="00D857C8"/>
    <w:rsid w:val="00D87B6C"/>
    <w:rsid w:val="00D904E4"/>
    <w:rsid w:val="00D90B67"/>
    <w:rsid w:val="00D90C3A"/>
    <w:rsid w:val="00D91DB2"/>
    <w:rsid w:val="00D921BD"/>
    <w:rsid w:val="00D93132"/>
    <w:rsid w:val="00D946F5"/>
    <w:rsid w:val="00D94C80"/>
    <w:rsid w:val="00D953D0"/>
    <w:rsid w:val="00D95486"/>
    <w:rsid w:val="00D956E7"/>
    <w:rsid w:val="00D95A1C"/>
    <w:rsid w:val="00D95F7B"/>
    <w:rsid w:val="00D967AC"/>
    <w:rsid w:val="00D96B74"/>
    <w:rsid w:val="00D96EE7"/>
    <w:rsid w:val="00D9711A"/>
    <w:rsid w:val="00D976BF"/>
    <w:rsid w:val="00DA0352"/>
    <w:rsid w:val="00DA03BD"/>
    <w:rsid w:val="00DA0ED0"/>
    <w:rsid w:val="00DA1E01"/>
    <w:rsid w:val="00DA28B6"/>
    <w:rsid w:val="00DA3279"/>
    <w:rsid w:val="00DA406B"/>
    <w:rsid w:val="00DA457B"/>
    <w:rsid w:val="00DA48E7"/>
    <w:rsid w:val="00DA495D"/>
    <w:rsid w:val="00DA5658"/>
    <w:rsid w:val="00DA5C76"/>
    <w:rsid w:val="00DA5DC6"/>
    <w:rsid w:val="00DA63E7"/>
    <w:rsid w:val="00DA67EF"/>
    <w:rsid w:val="00DA7D10"/>
    <w:rsid w:val="00DB10A7"/>
    <w:rsid w:val="00DB1F8D"/>
    <w:rsid w:val="00DB203E"/>
    <w:rsid w:val="00DB22C0"/>
    <w:rsid w:val="00DB23B7"/>
    <w:rsid w:val="00DB2D72"/>
    <w:rsid w:val="00DB31CE"/>
    <w:rsid w:val="00DB3BFC"/>
    <w:rsid w:val="00DB42C6"/>
    <w:rsid w:val="00DB43A8"/>
    <w:rsid w:val="00DB4C86"/>
    <w:rsid w:val="00DB5A73"/>
    <w:rsid w:val="00DB7041"/>
    <w:rsid w:val="00DB7AB3"/>
    <w:rsid w:val="00DC0A7B"/>
    <w:rsid w:val="00DC0F25"/>
    <w:rsid w:val="00DC12D2"/>
    <w:rsid w:val="00DC1614"/>
    <w:rsid w:val="00DC18CC"/>
    <w:rsid w:val="00DC1A44"/>
    <w:rsid w:val="00DC1F3D"/>
    <w:rsid w:val="00DC21E3"/>
    <w:rsid w:val="00DC34AC"/>
    <w:rsid w:val="00DC34DB"/>
    <w:rsid w:val="00DC3A52"/>
    <w:rsid w:val="00DC44A4"/>
    <w:rsid w:val="00DC46A9"/>
    <w:rsid w:val="00DC477E"/>
    <w:rsid w:val="00DC4D15"/>
    <w:rsid w:val="00DC53AB"/>
    <w:rsid w:val="00DC55A1"/>
    <w:rsid w:val="00DC61B8"/>
    <w:rsid w:val="00DC62D8"/>
    <w:rsid w:val="00DC6BFE"/>
    <w:rsid w:val="00DC7393"/>
    <w:rsid w:val="00DD0698"/>
    <w:rsid w:val="00DD06D0"/>
    <w:rsid w:val="00DD26F9"/>
    <w:rsid w:val="00DD2FD2"/>
    <w:rsid w:val="00DD325D"/>
    <w:rsid w:val="00DD3CD2"/>
    <w:rsid w:val="00DD456C"/>
    <w:rsid w:val="00DD5543"/>
    <w:rsid w:val="00DD560F"/>
    <w:rsid w:val="00DD656E"/>
    <w:rsid w:val="00DD7D98"/>
    <w:rsid w:val="00DE01FB"/>
    <w:rsid w:val="00DE07D4"/>
    <w:rsid w:val="00DE0C40"/>
    <w:rsid w:val="00DE0F19"/>
    <w:rsid w:val="00DE10E6"/>
    <w:rsid w:val="00DE1178"/>
    <w:rsid w:val="00DE14C4"/>
    <w:rsid w:val="00DE1D8F"/>
    <w:rsid w:val="00DE1F44"/>
    <w:rsid w:val="00DE25ED"/>
    <w:rsid w:val="00DE347E"/>
    <w:rsid w:val="00DE3687"/>
    <w:rsid w:val="00DE3FB0"/>
    <w:rsid w:val="00DE44B8"/>
    <w:rsid w:val="00DE47A1"/>
    <w:rsid w:val="00DE505F"/>
    <w:rsid w:val="00DE512C"/>
    <w:rsid w:val="00DE5396"/>
    <w:rsid w:val="00DE5B9E"/>
    <w:rsid w:val="00DE737B"/>
    <w:rsid w:val="00DE7B3C"/>
    <w:rsid w:val="00DE7E68"/>
    <w:rsid w:val="00DE7F03"/>
    <w:rsid w:val="00DE7F25"/>
    <w:rsid w:val="00DF05D5"/>
    <w:rsid w:val="00DF086D"/>
    <w:rsid w:val="00DF2B9B"/>
    <w:rsid w:val="00DF2F7B"/>
    <w:rsid w:val="00DF3322"/>
    <w:rsid w:val="00DF403E"/>
    <w:rsid w:val="00DF41AD"/>
    <w:rsid w:val="00DF5BC9"/>
    <w:rsid w:val="00DF622E"/>
    <w:rsid w:val="00DF6ABA"/>
    <w:rsid w:val="00DF6DB4"/>
    <w:rsid w:val="00DF6FBF"/>
    <w:rsid w:val="00DF722C"/>
    <w:rsid w:val="00DF7564"/>
    <w:rsid w:val="00DF76BA"/>
    <w:rsid w:val="00DF7CAC"/>
    <w:rsid w:val="00E015E9"/>
    <w:rsid w:val="00E01AA2"/>
    <w:rsid w:val="00E02DFC"/>
    <w:rsid w:val="00E032B1"/>
    <w:rsid w:val="00E03BC5"/>
    <w:rsid w:val="00E05FB4"/>
    <w:rsid w:val="00E0639B"/>
    <w:rsid w:val="00E06754"/>
    <w:rsid w:val="00E06C09"/>
    <w:rsid w:val="00E06F94"/>
    <w:rsid w:val="00E07DF6"/>
    <w:rsid w:val="00E07F88"/>
    <w:rsid w:val="00E07F8D"/>
    <w:rsid w:val="00E10693"/>
    <w:rsid w:val="00E106A7"/>
    <w:rsid w:val="00E10E09"/>
    <w:rsid w:val="00E1101A"/>
    <w:rsid w:val="00E111E2"/>
    <w:rsid w:val="00E1189B"/>
    <w:rsid w:val="00E11F6F"/>
    <w:rsid w:val="00E1260B"/>
    <w:rsid w:val="00E1586D"/>
    <w:rsid w:val="00E15A46"/>
    <w:rsid w:val="00E1614A"/>
    <w:rsid w:val="00E16317"/>
    <w:rsid w:val="00E165FC"/>
    <w:rsid w:val="00E16FF7"/>
    <w:rsid w:val="00E1707B"/>
    <w:rsid w:val="00E1718D"/>
    <w:rsid w:val="00E17920"/>
    <w:rsid w:val="00E17CC9"/>
    <w:rsid w:val="00E20BA6"/>
    <w:rsid w:val="00E21A28"/>
    <w:rsid w:val="00E21FD8"/>
    <w:rsid w:val="00E2250F"/>
    <w:rsid w:val="00E22EE9"/>
    <w:rsid w:val="00E23970"/>
    <w:rsid w:val="00E24080"/>
    <w:rsid w:val="00E24D92"/>
    <w:rsid w:val="00E25270"/>
    <w:rsid w:val="00E25D67"/>
    <w:rsid w:val="00E26069"/>
    <w:rsid w:val="00E26084"/>
    <w:rsid w:val="00E26181"/>
    <w:rsid w:val="00E26DE9"/>
    <w:rsid w:val="00E27694"/>
    <w:rsid w:val="00E27AEE"/>
    <w:rsid w:val="00E319BA"/>
    <w:rsid w:val="00E32098"/>
    <w:rsid w:val="00E3252F"/>
    <w:rsid w:val="00E32827"/>
    <w:rsid w:val="00E32F37"/>
    <w:rsid w:val="00E34124"/>
    <w:rsid w:val="00E341BF"/>
    <w:rsid w:val="00E34247"/>
    <w:rsid w:val="00E34780"/>
    <w:rsid w:val="00E34A63"/>
    <w:rsid w:val="00E34DF3"/>
    <w:rsid w:val="00E34E35"/>
    <w:rsid w:val="00E35322"/>
    <w:rsid w:val="00E353D9"/>
    <w:rsid w:val="00E35DDC"/>
    <w:rsid w:val="00E36B1C"/>
    <w:rsid w:val="00E36EC3"/>
    <w:rsid w:val="00E37107"/>
    <w:rsid w:val="00E37818"/>
    <w:rsid w:val="00E40200"/>
    <w:rsid w:val="00E407F1"/>
    <w:rsid w:val="00E418A1"/>
    <w:rsid w:val="00E41C8C"/>
    <w:rsid w:val="00E4266D"/>
    <w:rsid w:val="00E4294A"/>
    <w:rsid w:val="00E431B4"/>
    <w:rsid w:val="00E43FC3"/>
    <w:rsid w:val="00E44714"/>
    <w:rsid w:val="00E44E9C"/>
    <w:rsid w:val="00E456ED"/>
    <w:rsid w:val="00E46AC2"/>
    <w:rsid w:val="00E473F7"/>
    <w:rsid w:val="00E50317"/>
    <w:rsid w:val="00E50D4F"/>
    <w:rsid w:val="00E50D81"/>
    <w:rsid w:val="00E51F2D"/>
    <w:rsid w:val="00E5247C"/>
    <w:rsid w:val="00E52F8F"/>
    <w:rsid w:val="00E530C8"/>
    <w:rsid w:val="00E534B2"/>
    <w:rsid w:val="00E537A3"/>
    <w:rsid w:val="00E53C67"/>
    <w:rsid w:val="00E54D7F"/>
    <w:rsid w:val="00E555FB"/>
    <w:rsid w:val="00E55A27"/>
    <w:rsid w:val="00E57B21"/>
    <w:rsid w:val="00E57F48"/>
    <w:rsid w:val="00E6006A"/>
    <w:rsid w:val="00E603AA"/>
    <w:rsid w:val="00E626AA"/>
    <w:rsid w:val="00E62952"/>
    <w:rsid w:val="00E630F4"/>
    <w:rsid w:val="00E63368"/>
    <w:rsid w:val="00E635C5"/>
    <w:rsid w:val="00E64987"/>
    <w:rsid w:val="00E64B16"/>
    <w:rsid w:val="00E64C33"/>
    <w:rsid w:val="00E64F7F"/>
    <w:rsid w:val="00E6521B"/>
    <w:rsid w:val="00E65A02"/>
    <w:rsid w:val="00E70581"/>
    <w:rsid w:val="00E70D0B"/>
    <w:rsid w:val="00E70FF4"/>
    <w:rsid w:val="00E719A7"/>
    <w:rsid w:val="00E71A48"/>
    <w:rsid w:val="00E72D50"/>
    <w:rsid w:val="00E72DF3"/>
    <w:rsid w:val="00E733EB"/>
    <w:rsid w:val="00E73941"/>
    <w:rsid w:val="00E73EB1"/>
    <w:rsid w:val="00E7459D"/>
    <w:rsid w:val="00E74F5F"/>
    <w:rsid w:val="00E7554B"/>
    <w:rsid w:val="00E75672"/>
    <w:rsid w:val="00E756CC"/>
    <w:rsid w:val="00E758AB"/>
    <w:rsid w:val="00E7672C"/>
    <w:rsid w:val="00E768AF"/>
    <w:rsid w:val="00E76943"/>
    <w:rsid w:val="00E76AA2"/>
    <w:rsid w:val="00E76AEB"/>
    <w:rsid w:val="00E77276"/>
    <w:rsid w:val="00E77EB3"/>
    <w:rsid w:val="00E77F02"/>
    <w:rsid w:val="00E80A9F"/>
    <w:rsid w:val="00E80B08"/>
    <w:rsid w:val="00E80C59"/>
    <w:rsid w:val="00E81ADD"/>
    <w:rsid w:val="00E826DD"/>
    <w:rsid w:val="00E8272B"/>
    <w:rsid w:val="00E82FFA"/>
    <w:rsid w:val="00E830D4"/>
    <w:rsid w:val="00E834A8"/>
    <w:rsid w:val="00E83F7B"/>
    <w:rsid w:val="00E85AB2"/>
    <w:rsid w:val="00E8613F"/>
    <w:rsid w:val="00E902EF"/>
    <w:rsid w:val="00E9068B"/>
    <w:rsid w:val="00E91115"/>
    <w:rsid w:val="00E92386"/>
    <w:rsid w:val="00E9282D"/>
    <w:rsid w:val="00E92F11"/>
    <w:rsid w:val="00E9317C"/>
    <w:rsid w:val="00E935E4"/>
    <w:rsid w:val="00E942FC"/>
    <w:rsid w:val="00E9448C"/>
    <w:rsid w:val="00E949DE"/>
    <w:rsid w:val="00E94A97"/>
    <w:rsid w:val="00E94E73"/>
    <w:rsid w:val="00E94ECC"/>
    <w:rsid w:val="00E9598C"/>
    <w:rsid w:val="00E95A56"/>
    <w:rsid w:val="00E95B06"/>
    <w:rsid w:val="00E960DC"/>
    <w:rsid w:val="00E962A7"/>
    <w:rsid w:val="00E962AA"/>
    <w:rsid w:val="00E963AB"/>
    <w:rsid w:val="00E96C4C"/>
    <w:rsid w:val="00E977BC"/>
    <w:rsid w:val="00E9789B"/>
    <w:rsid w:val="00E97CC3"/>
    <w:rsid w:val="00EA08BD"/>
    <w:rsid w:val="00EA0F46"/>
    <w:rsid w:val="00EA0F8A"/>
    <w:rsid w:val="00EA1734"/>
    <w:rsid w:val="00EA1A23"/>
    <w:rsid w:val="00EA1B2D"/>
    <w:rsid w:val="00EA1B3B"/>
    <w:rsid w:val="00EA1D5B"/>
    <w:rsid w:val="00EA212D"/>
    <w:rsid w:val="00EA2E5E"/>
    <w:rsid w:val="00EA38F6"/>
    <w:rsid w:val="00EA3DFD"/>
    <w:rsid w:val="00EA3FA5"/>
    <w:rsid w:val="00EA4622"/>
    <w:rsid w:val="00EA49CA"/>
    <w:rsid w:val="00EA52F3"/>
    <w:rsid w:val="00EA6FA2"/>
    <w:rsid w:val="00EA77A0"/>
    <w:rsid w:val="00EA7FFE"/>
    <w:rsid w:val="00EB037D"/>
    <w:rsid w:val="00EB0B13"/>
    <w:rsid w:val="00EB0B50"/>
    <w:rsid w:val="00EB1C88"/>
    <w:rsid w:val="00EB35A6"/>
    <w:rsid w:val="00EB3955"/>
    <w:rsid w:val="00EB44FE"/>
    <w:rsid w:val="00EB4672"/>
    <w:rsid w:val="00EB4844"/>
    <w:rsid w:val="00EB4E63"/>
    <w:rsid w:val="00EB4FE7"/>
    <w:rsid w:val="00EB55F6"/>
    <w:rsid w:val="00EB58FC"/>
    <w:rsid w:val="00EB5B29"/>
    <w:rsid w:val="00EB6273"/>
    <w:rsid w:val="00EB635F"/>
    <w:rsid w:val="00EB6446"/>
    <w:rsid w:val="00EB6806"/>
    <w:rsid w:val="00EB6988"/>
    <w:rsid w:val="00EB6AA1"/>
    <w:rsid w:val="00EB720B"/>
    <w:rsid w:val="00EB72DC"/>
    <w:rsid w:val="00EB7B23"/>
    <w:rsid w:val="00EB7D31"/>
    <w:rsid w:val="00EC0897"/>
    <w:rsid w:val="00EC08C3"/>
    <w:rsid w:val="00EC161C"/>
    <w:rsid w:val="00EC1779"/>
    <w:rsid w:val="00EC1929"/>
    <w:rsid w:val="00EC23C1"/>
    <w:rsid w:val="00EC2624"/>
    <w:rsid w:val="00EC2687"/>
    <w:rsid w:val="00EC36A4"/>
    <w:rsid w:val="00EC3B67"/>
    <w:rsid w:val="00EC3C63"/>
    <w:rsid w:val="00EC3CD4"/>
    <w:rsid w:val="00EC44EA"/>
    <w:rsid w:val="00EC45CF"/>
    <w:rsid w:val="00EC46B5"/>
    <w:rsid w:val="00EC5298"/>
    <w:rsid w:val="00EC5F36"/>
    <w:rsid w:val="00EC6337"/>
    <w:rsid w:val="00EC79F9"/>
    <w:rsid w:val="00ED064C"/>
    <w:rsid w:val="00ED0830"/>
    <w:rsid w:val="00ED0D2C"/>
    <w:rsid w:val="00ED0F73"/>
    <w:rsid w:val="00ED1C5D"/>
    <w:rsid w:val="00ED1EC9"/>
    <w:rsid w:val="00ED307A"/>
    <w:rsid w:val="00ED3B5D"/>
    <w:rsid w:val="00ED3CE0"/>
    <w:rsid w:val="00ED3FAB"/>
    <w:rsid w:val="00ED5A87"/>
    <w:rsid w:val="00ED6657"/>
    <w:rsid w:val="00ED6D4F"/>
    <w:rsid w:val="00ED6E3A"/>
    <w:rsid w:val="00ED714D"/>
    <w:rsid w:val="00ED7612"/>
    <w:rsid w:val="00ED784F"/>
    <w:rsid w:val="00EE016F"/>
    <w:rsid w:val="00EE052B"/>
    <w:rsid w:val="00EE05FB"/>
    <w:rsid w:val="00EE0680"/>
    <w:rsid w:val="00EE07D1"/>
    <w:rsid w:val="00EE0EF7"/>
    <w:rsid w:val="00EE0FA1"/>
    <w:rsid w:val="00EE1A1F"/>
    <w:rsid w:val="00EE1AE9"/>
    <w:rsid w:val="00EE1C17"/>
    <w:rsid w:val="00EE23D5"/>
    <w:rsid w:val="00EE3DDE"/>
    <w:rsid w:val="00EE5664"/>
    <w:rsid w:val="00EE6173"/>
    <w:rsid w:val="00EE6391"/>
    <w:rsid w:val="00EE6BEC"/>
    <w:rsid w:val="00EF0FA4"/>
    <w:rsid w:val="00EF15E8"/>
    <w:rsid w:val="00EF17F0"/>
    <w:rsid w:val="00EF315F"/>
    <w:rsid w:val="00EF3223"/>
    <w:rsid w:val="00EF3D50"/>
    <w:rsid w:val="00EF420A"/>
    <w:rsid w:val="00EF4282"/>
    <w:rsid w:val="00EF4FA9"/>
    <w:rsid w:val="00EF5299"/>
    <w:rsid w:val="00EF5F94"/>
    <w:rsid w:val="00EF67E2"/>
    <w:rsid w:val="00EF6D54"/>
    <w:rsid w:val="00EF7CD8"/>
    <w:rsid w:val="00F00561"/>
    <w:rsid w:val="00F00970"/>
    <w:rsid w:val="00F011EF"/>
    <w:rsid w:val="00F01F11"/>
    <w:rsid w:val="00F02215"/>
    <w:rsid w:val="00F02C12"/>
    <w:rsid w:val="00F0301D"/>
    <w:rsid w:val="00F035C1"/>
    <w:rsid w:val="00F035E7"/>
    <w:rsid w:val="00F0367E"/>
    <w:rsid w:val="00F03AB7"/>
    <w:rsid w:val="00F063EA"/>
    <w:rsid w:val="00F067F6"/>
    <w:rsid w:val="00F0701D"/>
    <w:rsid w:val="00F1024D"/>
    <w:rsid w:val="00F10854"/>
    <w:rsid w:val="00F110AB"/>
    <w:rsid w:val="00F110EE"/>
    <w:rsid w:val="00F11201"/>
    <w:rsid w:val="00F116A1"/>
    <w:rsid w:val="00F11738"/>
    <w:rsid w:val="00F123CD"/>
    <w:rsid w:val="00F12730"/>
    <w:rsid w:val="00F12A10"/>
    <w:rsid w:val="00F12F3B"/>
    <w:rsid w:val="00F13124"/>
    <w:rsid w:val="00F134C9"/>
    <w:rsid w:val="00F1370B"/>
    <w:rsid w:val="00F13BFC"/>
    <w:rsid w:val="00F13CBA"/>
    <w:rsid w:val="00F14CD7"/>
    <w:rsid w:val="00F14DED"/>
    <w:rsid w:val="00F16844"/>
    <w:rsid w:val="00F169FA"/>
    <w:rsid w:val="00F16CEA"/>
    <w:rsid w:val="00F17032"/>
    <w:rsid w:val="00F17ADE"/>
    <w:rsid w:val="00F201FC"/>
    <w:rsid w:val="00F20968"/>
    <w:rsid w:val="00F209D1"/>
    <w:rsid w:val="00F20AE0"/>
    <w:rsid w:val="00F213E4"/>
    <w:rsid w:val="00F2148A"/>
    <w:rsid w:val="00F216B0"/>
    <w:rsid w:val="00F219F4"/>
    <w:rsid w:val="00F21CCA"/>
    <w:rsid w:val="00F22C37"/>
    <w:rsid w:val="00F23078"/>
    <w:rsid w:val="00F2330A"/>
    <w:rsid w:val="00F23575"/>
    <w:rsid w:val="00F23D3D"/>
    <w:rsid w:val="00F24620"/>
    <w:rsid w:val="00F24646"/>
    <w:rsid w:val="00F2527D"/>
    <w:rsid w:val="00F254CB"/>
    <w:rsid w:val="00F25DE8"/>
    <w:rsid w:val="00F26043"/>
    <w:rsid w:val="00F2640A"/>
    <w:rsid w:val="00F26C31"/>
    <w:rsid w:val="00F2747F"/>
    <w:rsid w:val="00F279FE"/>
    <w:rsid w:val="00F313DA"/>
    <w:rsid w:val="00F32192"/>
    <w:rsid w:val="00F323A1"/>
    <w:rsid w:val="00F330A5"/>
    <w:rsid w:val="00F33953"/>
    <w:rsid w:val="00F33BAB"/>
    <w:rsid w:val="00F34AD6"/>
    <w:rsid w:val="00F34B74"/>
    <w:rsid w:val="00F34D71"/>
    <w:rsid w:val="00F350E2"/>
    <w:rsid w:val="00F35720"/>
    <w:rsid w:val="00F35BFC"/>
    <w:rsid w:val="00F36006"/>
    <w:rsid w:val="00F3621D"/>
    <w:rsid w:val="00F36E36"/>
    <w:rsid w:val="00F3793C"/>
    <w:rsid w:val="00F37E39"/>
    <w:rsid w:val="00F41462"/>
    <w:rsid w:val="00F41D15"/>
    <w:rsid w:val="00F4219B"/>
    <w:rsid w:val="00F4235F"/>
    <w:rsid w:val="00F42501"/>
    <w:rsid w:val="00F42BD4"/>
    <w:rsid w:val="00F42DD1"/>
    <w:rsid w:val="00F43390"/>
    <w:rsid w:val="00F4349B"/>
    <w:rsid w:val="00F43909"/>
    <w:rsid w:val="00F43EE1"/>
    <w:rsid w:val="00F44EDA"/>
    <w:rsid w:val="00F452D2"/>
    <w:rsid w:val="00F4547B"/>
    <w:rsid w:val="00F4655E"/>
    <w:rsid w:val="00F47687"/>
    <w:rsid w:val="00F47B9A"/>
    <w:rsid w:val="00F50664"/>
    <w:rsid w:val="00F5074D"/>
    <w:rsid w:val="00F50A5C"/>
    <w:rsid w:val="00F50E1B"/>
    <w:rsid w:val="00F515C4"/>
    <w:rsid w:val="00F523DF"/>
    <w:rsid w:val="00F52406"/>
    <w:rsid w:val="00F5269C"/>
    <w:rsid w:val="00F52BE8"/>
    <w:rsid w:val="00F53448"/>
    <w:rsid w:val="00F53785"/>
    <w:rsid w:val="00F5430F"/>
    <w:rsid w:val="00F544C3"/>
    <w:rsid w:val="00F5518A"/>
    <w:rsid w:val="00F554B6"/>
    <w:rsid w:val="00F55CB3"/>
    <w:rsid w:val="00F55CEA"/>
    <w:rsid w:val="00F56596"/>
    <w:rsid w:val="00F5780E"/>
    <w:rsid w:val="00F57C1F"/>
    <w:rsid w:val="00F60975"/>
    <w:rsid w:val="00F60991"/>
    <w:rsid w:val="00F60B57"/>
    <w:rsid w:val="00F60CAC"/>
    <w:rsid w:val="00F61670"/>
    <w:rsid w:val="00F619C2"/>
    <w:rsid w:val="00F62B67"/>
    <w:rsid w:val="00F62CE2"/>
    <w:rsid w:val="00F62F59"/>
    <w:rsid w:val="00F63009"/>
    <w:rsid w:val="00F631F1"/>
    <w:rsid w:val="00F63902"/>
    <w:rsid w:val="00F64164"/>
    <w:rsid w:val="00F641C0"/>
    <w:rsid w:val="00F64616"/>
    <w:rsid w:val="00F64FDD"/>
    <w:rsid w:val="00F6505B"/>
    <w:rsid w:val="00F6540C"/>
    <w:rsid w:val="00F66179"/>
    <w:rsid w:val="00F6628E"/>
    <w:rsid w:val="00F66580"/>
    <w:rsid w:val="00F67673"/>
    <w:rsid w:val="00F7003B"/>
    <w:rsid w:val="00F704D0"/>
    <w:rsid w:val="00F70578"/>
    <w:rsid w:val="00F7086D"/>
    <w:rsid w:val="00F70904"/>
    <w:rsid w:val="00F71342"/>
    <w:rsid w:val="00F7137A"/>
    <w:rsid w:val="00F71A36"/>
    <w:rsid w:val="00F71D4F"/>
    <w:rsid w:val="00F71DEE"/>
    <w:rsid w:val="00F721DC"/>
    <w:rsid w:val="00F721E2"/>
    <w:rsid w:val="00F72754"/>
    <w:rsid w:val="00F72E7B"/>
    <w:rsid w:val="00F73582"/>
    <w:rsid w:val="00F73A1D"/>
    <w:rsid w:val="00F742A7"/>
    <w:rsid w:val="00F745E0"/>
    <w:rsid w:val="00F74761"/>
    <w:rsid w:val="00F74FEF"/>
    <w:rsid w:val="00F7623A"/>
    <w:rsid w:val="00F7630E"/>
    <w:rsid w:val="00F76B1F"/>
    <w:rsid w:val="00F76D25"/>
    <w:rsid w:val="00F76E22"/>
    <w:rsid w:val="00F77027"/>
    <w:rsid w:val="00F77383"/>
    <w:rsid w:val="00F7751D"/>
    <w:rsid w:val="00F77BA3"/>
    <w:rsid w:val="00F8009D"/>
    <w:rsid w:val="00F801D2"/>
    <w:rsid w:val="00F8096F"/>
    <w:rsid w:val="00F80B43"/>
    <w:rsid w:val="00F81B50"/>
    <w:rsid w:val="00F8234A"/>
    <w:rsid w:val="00F823B8"/>
    <w:rsid w:val="00F824E8"/>
    <w:rsid w:val="00F83653"/>
    <w:rsid w:val="00F83C0D"/>
    <w:rsid w:val="00F83D89"/>
    <w:rsid w:val="00F83DDD"/>
    <w:rsid w:val="00F854A8"/>
    <w:rsid w:val="00F865B8"/>
    <w:rsid w:val="00F86761"/>
    <w:rsid w:val="00F8751F"/>
    <w:rsid w:val="00F87CDD"/>
    <w:rsid w:val="00F91331"/>
    <w:rsid w:val="00F9168F"/>
    <w:rsid w:val="00F91A7B"/>
    <w:rsid w:val="00F9260C"/>
    <w:rsid w:val="00F92DDD"/>
    <w:rsid w:val="00F93309"/>
    <w:rsid w:val="00F9367E"/>
    <w:rsid w:val="00F9448C"/>
    <w:rsid w:val="00F945C5"/>
    <w:rsid w:val="00F95383"/>
    <w:rsid w:val="00F95663"/>
    <w:rsid w:val="00F95BFD"/>
    <w:rsid w:val="00F9714E"/>
    <w:rsid w:val="00F97F7F"/>
    <w:rsid w:val="00FA019B"/>
    <w:rsid w:val="00FA06F5"/>
    <w:rsid w:val="00FA0D18"/>
    <w:rsid w:val="00FA1BF0"/>
    <w:rsid w:val="00FA231D"/>
    <w:rsid w:val="00FA35BF"/>
    <w:rsid w:val="00FA475C"/>
    <w:rsid w:val="00FA4C9A"/>
    <w:rsid w:val="00FA5320"/>
    <w:rsid w:val="00FA577F"/>
    <w:rsid w:val="00FA5FDA"/>
    <w:rsid w:val="00FA6172"/>
    <w:rsid w:val="00FA6451"/>
    <w:rsid w:val="00FA6A1F"/>
    <w:rsid w:val="00FA6C7E"/>
    <w:rsid w:val="00FA75C4"/>
    <w:rsid w:val="00FB006F"/>
    <w:rsid w:val="00FB0161"/>
    <w:rsid w:val="00FB0F15"/>
    <w:rsid w:val="00FB2114"/>
    <w:rsid w:val="00FB2D17"/>
    <w:rsid w:val="00FB30D6"/>
    <w:rsid w:val="00FB3EFE"/>
    <w:rsid w:val="00FB477D"/>
    <w:rsid w:val="00FB485A"/>
    <w:rsid w:val="00FB49C5"/>
    <w:rsid w:val="00FB51B8"/>
    <w:rsid w:val="00FB5466"/>
    <w:rsid w:val="00FB58FA"/>
    <w:rsid w:val="00FB5D94"/>
    <w:rsid w:val="00FB6067"/>
    <w:rsid w:val="00FB691B"/>
    <w:rsid w:val="00FB6D3C"/>
    <w:rsid w:val="00FB701E"/>
    <w:rsid w:val="00FB78BD"/>
    <w:rsid w:val="00FB7940"/>
    <w:rsid w:val="00FC0145"/>
    <w:rsid w:val="00FC118C"/>
    <w:rsid w:val="00FC14F6"/>
    <w:rsid w:val="00FC16CB"/>
    <w:rsid w:val="00FC1FB5"/>
    <w:rsid w:val="00FC212C"/>
    <w:rsid w:val="00FC228B"/>
    <w:rsid w:val="00FC2597"/>
    <w:rsid w:val="00FC291A"/>
    <w:rsid w:val="00FC2FFB"/>
    <w:rsid w:val="00FC31D1"/>
    <w:rsid w:val="00FC3372"/>
    <w:rsid w:val="00FC370C"/>
    <w:rsid w:val="00FC5371"/>
    <w:rsid w:val="00FC5BDF"/>
    <w:rsid w:val="00FC5E9E"/>
    <w:rsid w:val="00FC5FF5"/>
    <w:rsid w:val="00FC64C0"/>
    <w:rsid w:val="00FC6A54"/>
    <w:rsid w:val="00FC6B6B"/>
    <w:rsid w:val="00FC6F55"/>
    <w:rsid w:val="00FC701C"/>
    <w:rsid w:val="00FC7283"/>
    <w:rsid w:val="00FC7718"/>
    <w:rsid w:val="00FD0165"/>
    <w:rsid w:val="00FD208E"/>
    <w:rsid w:val="00FD27CF"/>
    <w:rsid w:val="00FD29BC"/>
    <w:rsid w:val="00FD3F1D"/>
    <w:rsid w:val="00FD4387"/>
    <w:rsid w:val="00FD46BA"/>
    <w:rsid w:val="00FD4F25"/>
    <w:rsid w:val="00FD4FFB"/>
    <w:rsid w:val="00FD5357"/>
    <w:rsid w:val="00FD5603"/>
    <w:rsid w:val="00FD61FB"/>
    <w:rsid w:val="00FD64AC"/>
    <w:rsid w:val="00FD69B2"/>
    <w:rsid w:val="00FD6B7F"/>
    <w:rsid w:val="00FD6CDF"/>
    <w:rsid w:val="00FD7E85"/>
    <w:rsid w:val="00FE0552"/>
    <w:rsid w:val="00FE2444"/>
    <w:rsid w:val="00FE2A5A"/>
    <w:rsid w:val="00FE2B91"/>
    <w:rsid w:val="00FE2BAB"/>
    <w:rsid w:val="00FE2F1C"/>
    <w:rsid w:val="00FE2F21"/>
    <w:rsid w:val="00FE325F"/>
    <w:rsid w:val="00FE3CA2"/>
    <w:rsid w:val="00FE45AC"/>
    <w:rsid w:val="00FE464D"/>
    <w:rsid w:val="00FE4A5E"/>
    <w:rsid w:val="00FE4BBE"/>
    <w:rsid w:val="00FE4D31"/>
    <w:rsid w:val="00FE552B"/>
    <w:rsid w:val="00FE60D2"/>
    <w:rsid w:val="00FE65EA"/>
    <w:rsid w:val="00FE7739"/>
    <w:rsid w:val="00FF06F3"/>
    <w:rsid w:val="00FF0B94"/>
    <w:rsid w:val="00FF2A37"/>
    <w:rsid w:val="00FF35C3"/>
    <w:rsid w:val="00FF406E"/>
    <w:rsid w:val="00FF463A"/>
    <w:rsid w:val="00FF4956"/>
    <w:rsid w:val="00FF4A12"/>
    <w:rsid w:val="00FF4BD1"/>
    <w:rsid w:val="00FF50A1"/>
    <w:rsid w:val="00FF53DC"/>
    <w:rsid w:val="00FF5405"/>
    <w:rsid w:val="00FF5843"/>
    <w:rsid w:val="00FF5E14"/>
    <w:rsid w:val="00FF62B8"/>
    <w:rsid w:val="00FF6578"/>
    <w:rsid w:val="00FF7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6A9DD"/>
  <w15:chartTrackingRefBased/>
  <w15:docId w15:val="{C8D85AE6-78AC-4644-B3D5-F48EB28A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667"/>
    <w:pPr>
      <w:jc w:val="both"/>
    </w:pPr>
    <w:rPr>
      <w:rFonts w:ascii="Times New Roman" w:hAnsi="Times New Roman"/>
      <w:sz w:val="22"/>
    </w:rPr>
  </w:style>
  <w:style w:type="paragraph" w:styleId="Heading1">
    <w:name w:val="heading 1"/>
    <w:basedOn w:val="Normal"/>
    <w:next w:val="Normal"/>
    <w:link w:val="Heading1Char"/>
    <w:uiPriority w:val="9"/>
    <w:qFormat/>
    <w:rsid w:val="0042433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520C2C"/>
    <w:pPr>
      <w:keepNext/>
      <w:keepLines/>
      <w:spacing w:before="120" w:after="0" w:line="240" w:lineRule="auto"/>
      <w:outlineLvl w:val="1"/>
    </w:pPr>
    <w:rPr>
      <w:rFonts w:asciiTheme="majorHAnsi" w:eastAsiaTheme="majorEastAsia" w:hAnsiTheme="majorHAnsi" w:cstheme="majorBidi"/>
      <w:sz w:val="32"/>
      <w:szCs w:val="36"/>
    </w:rPr>
  </w:style>
  <w:style w:type="paragraph" w:styleId="Heading3">
    <w:name w:val="heading 3"/>
    <w:basedOn w:val="Normal"/>
    <w:next w:val="Normal"/>
    <w:link w:val="Heading3Char"/>
    <w:uiPriority w:val="9"/>
    <w:unhideWhenUsed/>
    <w:qFormat/>
    <w:rsid w:val="00D81C8F"/>
    <w:pPr>
      <w:keepNext/>
      <w:keepLines/>
      <w:spacing w:before="80" w:after="0" w:line="240" w:lineRule="auto"/>
      <w:outlineLvl w:val="2"/>
    </w:pPr>
    <w:rPr>
      <w:rFonts w:asciiTheme="majorHAnsi" w:eastAsiaTheme="majorEastAsia" w:hAnsiTheme="majorHAnsi" w:cstheme="majorBidi"/>
      <w:sz w:val="28"/>
      <w:szCs w:val="32"/>
    </w:rPr>
  </w:style>
  <w:style w:type="paragraph" w:styleId="Heading4">
    <w:name w:val="heading 4"/>
    <w:basedOn w:val="Normal"/>
    <w:next w:val="Normal"/>
    <w:link w:val="Heading4Char"/>
    <w:uiPriority w:val="9"/>
    <w:semiHidden/>
    <w:unhideWhenUsed/>
    <w:qFormat/>
    <w:rsid w:val="0042433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42433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42433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42433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42433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42433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MY">
    <w:name w:val="Caption MY"/>
    <w:basedOn w:val="Caption"/>
    <w:link w:val="CaptionMYChar"/>
    <w:autoRedefine/>
    <w:qFormat/>
    <w:rsid w:val="001231F3"/>
    <w:pPr>
      <w:keepNext/>
    </w:pPr>
    <w:rPr>
      <w:b w:val="0"/>
      <w:i/>
    </w:rPr>
  </w:style>
  <w:style w:type="character" w:customStyle="1" w:styleId="CaptionMYChar">
    <w:name w:val="Caption MY Char"/>
    <w:basedOn w:val="DefaultParagraphFont"/>
    <w:link w:val="CaptionMY"/>
    <w:rsid w:val="001231F3"/>
    <w:rPr>
      <w:rFonts w:ascii="Times New Roman" w:hAnsi="Times New Roman"/>
      <w:b/>
      <w:iCs/>
      <w:color w:val="44546A" w:themeColor="text2"/>
      <w:sz w:val="18"/>
      <w:szCs w:val="18"/>
    </w:rPr>
  </w:style>
  <w:style w:type="paragraph" w:styleId="Caption">
    <w:name w:val="caption"/>
    <w:aliases w:val="LVT Table Heading,Table,Légende Car Car,Légende Car1,Caption Char2,Caption Char1 Char,Caption Char Char Char1,Caption Char Char1,Caption Char Char Char Char,(Table Title),Caption Table,Char,Caption Char Char,Table title,Figure Head"/>
    <w:basedOn w:val="Normal"/>
    <w:next w:val="Normal"/>
    <w:link w:val="CaptionChar"/>
    <w:uiPriority w:val="35"/>
    <w:unhideWhenUsed/>
    <w:qFormat/>
    <w:rsid w:val="00424334"/>
    <w:pPr>
      <w:spacing w:line="240" w:lineRule="auto"/>
    </w:pPr>
    <w:rPr>
      <w:b/>
      <w:bCs/>
      <w:color w:val="404040" w:themeColor="text1" w:themeTint="BF"/>
      <w:sz w:val="16"/>
      <w:szCs w:val="16"/>
    </w:rPr>
  </w:style>
  <w:style w:type="character" w:customStyle="1" w:styleId="Heading2Char">
    <w:name w:val="Heading 2 Char"/>
    <w:basedOn w:val="DefaultParagraphFont"/>
    <w:link w:val="Heading2"/>
    <w:uiPriority w:val="9"/>
    <w:rsid w:val="00520C2C"/>
    <w:rPr>
      <w:rFonts w:asciiTheme="majorHAnsi" w:eastAsiaTheme="majorEastAsia" w:hAnsiTheme="majorHAnsi" w:cstheme="majorBidi"/>
      <w:sz w:val="32"/>
      <w:szCs w:val="36"/>
    </w:rPr>
  </w:style>
  <w:style w:type="character" w:customStyle="1" w:styleId="Heading3Char">
    <w:name w:val="Heading 3 Char"/>
    <w:basedOn w:val="DefaultParagraphFont"/>
    <w:link w:val="Heading3"/>
    <w:uiPriority w:val="9"/>
    <w:rsid w:val="00D81C8F"/>
    <w:rPr>
      <w:rFonts w:asciiTheme="majorHAnsi" w:eastAsiaTheme="majorEastAsia" w:hAnsiTheme="majorHAnsi" w:cstheme="majorBidi"/>
      <w:sz w:val="28"/>
      <w:szCs w:val="32"/>
    </w:rPr>
  </w:style>
  <w:style w:type="paragraph" w:styleId="Title">
    <w:name w:val="Title"/>
    <w:basedOn w:val="Normal"/>
    <w:next w:val="Normal"/>
    <w:link w:val="TitleChar"/>
    <w:uiPriority w:val="10"/>
    <w:qFormat/>
    <w:rsid w:val="0042433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424334"/>
    <w:rPr>
      <w:rFonts w:asciiTheme="majorHAnsi" w:eastAsiaTheme="majorEastAsia" w:hAnsiTheme="majorHAnsi" w:cstheme="majorBidi"/>
      <w:color w:val="262626" w:themeColor="text1" w:themeTint="D9"/>
      <w:sz w:val="96"/>
      <w:szCs w:val="96"/>
    </w:rPr>
  </w:style>
  <w:style w:type="character" w:customStyle="1" w:styleId="Heading1Char">
    <w:name w:val="Heading 1 Char"/>
    <w:basedOn w:val="DefaultParagraphFont"/>
    <w:link w:val="Heading1"/>
    <w:uiPriority w:val="9"/>
    <w:rsid w:val="00424334"/>
    <w:rPr>
      <w:rFonts w:asciiTheme="majorHAnsi" w:eastAsiaTheme="majorEastAsia" w:hAnsiTheme="majorHAnsi" w:cstheme="majorBidi"/>
      <w:color w:val="262626" w:themeColor="text1" w:themeTint="D9"/>
      <w:sz w:val="40"/>
      <w:szCs w:val="40"/>
    </w:rPr>
  </w:style>
  <w:style w:type="paragraph" w:styleId="Header">
    <w:name w:val="header"/>
    <w:basedOn w:val="Normal"/>
    <w:link w:val="HeaderChar"/>
    <w:uiPriority w:val="99"/>
    <w:unhideWhenUsed/>
    <w:rsid w:val="00FC2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91A"/>
  </w:style>
  <w:style w:type="paragraph" w:styleId="Footer">
    <w:name w:val="footer"/>
    <w:basedOn w:val="Normal"/>
    <w:link w:val="FooterChar"/>
    <w:uiPriority w:val="99"/>
    <w:unhideWhenUsed/>
    <w:rsid w:val="00FC2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91A"/>
  </w:style>
  <w:style w:type="paragraph" w:styleId="BodyText">
    <w:name w:val="Body Text"/>
    <w:basedOn w:val="Normal"/>
    <w:link w:val="BodyTextChar"/>
    <w:uiPriority w:val="1"/>
    <w:rsid w:val="00FC3372"/>
    <w:pPr>
      <w:widowControl w:val="0"/>
      <w:autoSpaceDE w:val="0"/>
      <w:autoSpaceDN w:val="0"/>
      <w:spacing w:after="0" w:line="240" w:lineRule="auto"/>
    </w:pPr>
    <w:rPr>
      <w:rFonts w:ascii="Century" w:eastAsia="Century" w:hAnsi="Century" w:cs="Century"/>
      <w:sz w:val="20"/>
      <w:szCs w:val="20"/>
    </w:rPr>
  </w:style>
  <w:style w:type="character" w:customStyle="1" w:styleId="BodyTextChar">
    <w:name w:val="Body Text Char"/>
    <w:basedOn w:val="DefaultParagraphFont"/>
    <w:link w:val="BodyText"/>
    <w:uiPriority w:val="1"/>
    <w:rsid w:val="00FC3372"/>
    <w:rPr>
      <w:rFonts w:ascii="Century" w:eastAsia="Century" w:hAnsi="Century" w:cs="Century"/>
      <w:sz w:val="20"/>
      <w:szCs w:val="20"/>
    </w:rPr>
  </w:style>
  <w:style w:type="paragraph" w:customStyle="1" w:styleId="TableParagraph">
    <w:name w:val="Table Paragraph"/>
    <w:basedOn w:val="Normal"/>
    <w:uiPriority w:val="1"/>
    <w:rsid w:val="00FC3372"/>
    <w:pPr>
      <w:widowControl w:val="0"/>
      <w:autoSpaceDE w:val="0"/>
      <w:autoSpaceDN w:val="0"/>
      <w:spacing w:after="0" w:line="240" w:lineRule="auto"/>
    </w:pPr>
    <w:rPr>
      <w:rFonts w:ascii="Calibri" w:eastAsia="Calibri" w:hAnsi="Calibri" w:cs="Calibri"/>
    </w:rPr>
  </w:style>
  <w:style w:type="paragraph" w:customStyle="1" w:styleId="Caption2">
    <w:name w:val="Caption 2"/>
    <w:basedOn w:val="Caption"/>
    <w:link w:val="Caption2Char"/>
    <w:qFormat/>
    <w:rsid w:val="00E456ED"/>
    <w:pPr>
      <w:keepNext/>
      <w:spacing w:before="120" w:after="120"/>
      <w:jc w:val="center"/>
    </w:pPr>
    <w:rPr>
      <w:rFonts w:eastAsia="Gulim" w:cs="Times New Roman"/>
      <w:b w:val="0"/>
      <w:i/>
      <w:color w:val="auto"/>
      <w:sz w:val="20"/>
      <w:szCs w:val="20"/>
    </w:rPr>
  </w:style>
  <w:style w:type="character" w:customStyle="1" w:styleId="Caption2Char">
    <w:name w:val="Caption 2 Char"/>
    <w:basedOn w:val="DefaultParagraphFont"/>
    <w:link w:val="Caption2"/>
    <w:rsid w:val="00E456ED"/>
    <w:rPr>
      <w:rFonts w:ascii="Times New Roman" w:eastAsia="Gulim" w:hAnsi="Times New Roman" w:cs="Times New Roman"/>
      <w:b/>
      <w:iCs/>
      <w:sz w:val="20"/>
      <w:szCs w:val="20"/>
    </w:rPr>
  </w:style>
  <w:style w:type="table" w:styleId="TableGrid">
    <w:name w:val="Table Grid"/>
    <w:basedOn w:val="TableNormal"/>
    <w:uiPriority w:val="59"/>
    <w:rsid w:val="002123D4"/>
    <w:pPr>
      <w:spacing w:after="0" w:line="240" w:lineRule="auto"/>
    </w:pPr>
    <w:rPr>
      <w:rFonts w:ascii="Times New Roman" w:eastAsia="SimSun" w:hAnsi="Times New Roman" w:cs="Times New Roman"/>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2123D4"/>
    <w:pPr>
      <w:spacing w:after="0" w:line="240" w:lineRule="auto"/>
    </w:pPr>
    <w:rPr>
      <w:rFonts w:eastAsia="SimSun"/>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Boxtitle">
    <w:name w:val="Box title"/>
    <w:basedOn w:val="Caption"/>
    <w:link w:val="BoxtitleChar"/>
    <w:qFormat/>
    <w:rsid w:val="002123D4"/>
    <w:pPr>
      <w:widowControl w:val="0"/>
      <w:spacing w:after="0"/>
    </w:pPr>
    <w:rPr>
      <w:rFonts w:eastAsia="MS Mincho" w:cs="Times New Roman"/>
      <w:b w:val="0"/>
      <w:i/>
      <w:iCs/>
      <w:color w:val="auto"/>
      <w:sz w:val="24"/>
      <w:szCs w:val="24"/>
    </w:rPr>
  </w:style>
  <w:style w:type="character" w:customStyle="1" w:styleId="BoxtitleChar">
    <w:name w:val="Box title Char"/>
    <w:link w:val="Boxtitle"/>
    <w:rsid w:val="002123D4"/>
    <w:rPr>
      <w:rFonts w:ascii="Times New Roman" w:eastAsia="MS Mincho" w:hAnsi="Times New Roman" w:cs="Times New Roman"/>
      <w:b/>
      <w:sz w:val="24"/>
      <w:szCs w:val="24"/>
    </w:rPr>
  </w:style>
  <w:style w:type="character" w:customStyle="1" w:styleId="Heading4Char">
    <w:name w:val="Heading 4 Char"/>
    <w:basedOn w:val="DefaultParagraphFont"/>
    <w:link w:val="Heading4"/>
    <w:uiPriority w:val="9"/>
    <w:semiHidden/>
    <w:rsid w:val="00424334"/>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424334"/>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424334"/>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424334"/>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424334"/>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424334"/>
    <w:rPr>
      <w:rFonts w:asciiTheme="majorHAnsi" w:eastAsiaTheme="majorEastAsia" w:hAnsiTheme="majorHAnsi" w:cstheme="majorBidi"/>
      <w:i/>
      <w:iCs/>
      <w:color w:val="833C0B" w:themeColor="accent2" w:themeShade="80"/>
      <w:sz w:val="22"/>
      <w:szCs w:val="22"/>
    </w:rPr>
  </w:style>
  <w:style w:type="paragraph" w:styleId="Subtitle">
    <w:name w:val="Subtitle"/>
    <w:basedOn w:val="Normal"/>
    <w:next w:val="Normal"/>
    <w:link w:val="SubtitleChar"/>
    <w:uiPriority w:val="11"/>
    <w:qFormat/>
    <w:rsid w:val="0042433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424334"/>
    <w:rPr>
      <w:caps/>
      <w:color w:val="404040" w:themeColor="text1" w:themeTint="BF"/>
      <w:spacing w:val="20"/>
      <w:sz w:val="28"/>
      <w:szCs w:val="28"/>
    </w:rPr>
  </w:style>
  <w:style w:type="character" w:styleId="Strong">
    <w:name w:val="Strong"/>
    <w:basedOn w:val="DefaultParagraphFont"/>
    <w:uiPriority w:val="22"/>
    <w:qFormat/>
    <w:rsid w:val="00424334"/>
    <w:rPr>
      <w:b/>
      <w:bCs/>
    </w:rPr>
  </w:style>
  <w:style w:type="character" w:styleId="Emphasis">
    <w:name w:val="Emphasis"/>
    <w:basedOn w:val="DefaultParagraphFont"/>
    <w:uiPriority w:val="20"/>
    <w:qFormat/>
    <w:rsid w:val="00424334"/>
    <w:rPr>
      <w:i/>
      <w:iCs/>
      <w:color w:val="000000" w:themeColor="text1"/>
    </w:rPr>
  </w:style>
  <w:style w:type="paragraph" w:styleId="NoSpacing">
    <w:name w:val="No Spacing"/>
    <w:uiPriority w:val="1"/>
    <w:qFormat/>
    <w:rsid w:val="00424334"/>
    <w:pPr>
      <w:spacing w:after="0" w:line="240" w:lineRule="auto"/>
    </w:pPr>
  </w:style>
  <w:style w:type="paragraph" w:styleId="Quote">
    <w:name w:val="Quote"/>
    <w:basedOn w:val="Normal"/>
    <w:next w:val="Normal"/>
    <w:link w:val="QuoteChar"/>
    <w:uiPriority w:val="29"/>
    <w:qFormat/>
    <w:rsid w:val="0042433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42433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2433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2433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24334"/>
    <w:rPr>
      <w:i/>
      <w:iCs/>
      <w:color w:val="595959" w:themeColor="text1" w:themeTint="A6"/>
    </w:rPr>
  </w:style>
  <w:style w:type="character" w:styleId="IntenseEmphasis">
    <w:name w:val="Intense Emphasis"/>
    <w:basedOn w:val="DefaultParagraphFont"/>
    <w:uiPriority w:val="21"/>
    <w:qFormat/>
    <w:rsid w:val="00424334"/>
    <w:rPr>
      <w:b/>
      <w:bCs/>
      <w:i/>
      <w:iCs/>
      <w:caps w:val="0"/>
      <w:smallCaps w:val="0"/>
      <w:strike w:val="0"/>
      <w:dstrike w:val="0"/>
      <w:color w:val="ED7D31" w:themeColor="accent2"/>
    </w:rPr>
  </w:style>
  <w:style w:type="character" w:styleId="SubtleReference">
    <w:name w:val="Subtle Reference"/>
    <w:basedOn w:val="DefaultParagraphFont"/>
    <w:uiPriority w:val="31"/>
    <w:qFormat/>
    <w:rsid w:val="0042433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24334"/>
    <w:rPr>
      <w:b/>
      <w:bCs/>
      <w:caps w:val="0"/>
      <w:smallCaps/>
      <w:color w:val="auto"/>
      <w:spacing w:val="0"/>
      <w:u w:val="single"/>
    </w:rPr>
  </w:style>
  <w:style w:type="character" w:styleId="BookTitle">
    <w:name w:val="Book Title"/>
    <w:basedOn w:val="DefaultParagraphFont"/>
    <w:uiPriority w:val="33"/>
    <w:qFormat/>
    <w:rsid w:val="00424334"/>
    <w:rPr>
      <w:b/>
      <w:bCs/>
      <w:caps w:val="0"/>
      <w:smallCaps/>
      <w:spacing w:val="0"/>
    </w:rPr>
  </w:style>
  <w:style w:type="paragraph" w:styleId="TOCHeading">
    <w:name w:val="TOC Heading"/>
    <w:basedOn w:val="Heading1"/>
    <w:next w:val="Normal"/>
    <w:uiPriority w:val="39"/>
    <w:semiHidden/>
    <w:unhideWhenUsed/>
    <w:qFormat/>
    <w:rsid w:val="00424334"/>
    <w:pPr>
      <w:outlineLvl w:val="9"/>
    </w:pPr>
  </w:style>
  <w:style w:type="paragraph" w:customStyle="1" w:styleId="FigureandTable">
    <w:name w:val="Figure and Table"/>
    <w:basedOn w:val="Normal"/>
    <w:link w:val="FigureandTableChar"/>
    <w:qFormat/>
    <w:rsid w:val="00B123FA"/>
    <w:rPr>
      <w:rFonts w:cs="Times New Roman"/>
      <w:b/>
      <w:sz w:val="18"/>
      <w:szCs w:val="18"/>
    </w:rPr>
  </w:style>
  <w:style w:type="paragraph" w:styleId="ListParagraph">
    <w:name w:val="List Paragraph"/>
    <w:basedOn w:val="Normal"/>
    <w:uiPriority w:val="34"/>
    <w:qFormat/>
    <w:rsid w:val="00104047"/>
    <w:pPr>
      <w:ind w:left="720"/>
      <w:contextualSpacing/>
    </w:pPr>
  </w:style>
  <w:style w:type="character" w:customStyle="1" w:styleId="FigureandTableChar">
    <w:name w:val="Figure and Table Char"/>
    <w:basedOn w:val="DefaultParagraphFont"/>
    <w:link w:val="FigureandTable"/>
    <w:rsid w:val="00B123FA"/>
    <w:rPr>
      <w:rFonts w:ascii="Times New Roman" w:hAnsi="Times New Roman" w:cs="Times New Roman"/>
      <w:b/>
      <w:sz w:val="18"/>
      <w:szCs w:val="18"/>
    </w:rPr>
  </w:style>
  <w:style w:type="paragraph" w:styleId="FootnoteText">
    <w:name w:val="footnote text"/>
    <w:aliases w:val="ALTS FOOTNOTE,fn,FOOTNOTES,single space,Footnote Text Char1,Footnote Text Char2 Char,Footnote Text Char1 Char Char,Footnote Text Char2 Char Char Char,Footnote Text Char1 Char Char Char Char,footnote text,Footnote Text Char Char,footnote,ft"/>
    <w:basedOn w:val="Normal"/>
    <w:link w:val="FootnoteTextChar"/>
    <w:uiPriority w:val="99"/>
    <w:unhideWhenUsed/>
    <w:qFormat/>
    <w:rsid w:val="00F7751D"/>
    <w:pPr>
      <w:spacing w:after="0" w:line="240" w:lineRule="auto"/>
    </w:pPr>
    <w:rPr>
      <w:sz w:val="20"/>
      <w:szCs w:val="20"/>
    </w:rPr>
  </w:style>
  <w:style w:type="character" w:customStyle="1" w:styleId="FootnoteTextChar">
    <w:name w:val="Footnote Text Char"/>
    <w:aliases w:val="ALTS FOOTNOTE Char,fn Char,FOOTNOTES Char,single space Char,Footnote Text Char1 Char,Footnote Text Char2 Char Char,Footnote Text Char1 Char Char Char,Footnote Text Char2 Char Char Char Char,Footnote Text Char1 Char Char Char Char Char"/>
    <w:basedOn w:val="DefaultParagraphFont"/>
    <w:link w:val="FootnoteText"/>
    <w:uiPriority w:val="99"/>
    <w:rsid w:val="00F7751D"/>
    <w:rPr>
      <w:rFonts w:ascii="Times New Roman" w:hAnsi="Times New Roman"/>
      <w:sz w:val="20"/>
      <w:szCs w:val="20"/>
    </w:rPr>
  </w:style>
  <w:style w:type="character" w:styleId="FootnoteReference">
    <w:name w:val="footnote reference"/>
    <w:aliases w:val="Char Char,ftref,Знак сноски 1,Ciae niinee 1,16 Point,Superscript 6 Point,Ref,de nota al pie,Footnote Reference 2,Footnote Reference1,Error-Fußnotenzeichen5,Error-Fußnotenzeichen6,Error-Fußnotenzeichen3,Footnote Reference Number"/>
    <w:basedOn w:val="DefaultParagraphFont"/>
    <w:link w:val="FNRefeCharChar"/>
    <w:uiPriority w:val="99"/>
    <w:unhideWhenUsed/>
    <w:qFormat/>
    <w:rsid w:val="00F7751D"/>
    <w:rPr>
      <w:vertAlign w:val="superscript"/>
    </w:rPr>
  </w:style>
  <w:style w:type="paragraph" w:styleId="ListNumber">
    <w:name w:val="List Number"/>
    <w:basedOn w:val="Normal"/>
    <w:uiPriority w:val="99"/>
    <w:unhideWhenUsed/>
    <w:qFormat/>
    <w:rsid w:val="007E6DB1"/>
    <w:pPr>
      <w:numPr>
        <w:numId w:val="5"/>
      </w:numPr>
      <w:spacing w:before="120" w:after="120" w:line="264" w:lineRule="auto"/>
      <w:ind w:left="0" w:firstLine="0"/>
    </w:pPr>
    <w:rPr>
      <w:rFonts w:asciiTheme="minorHAnsi" w:eastAsiaTheme="minorHAnsi" w:hAnsiTheme="minorHAnsi"/>
      <w:szCs w:val="22"/>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link w:val="FootnoteReference"/>
    <w:uiPriority w:val="99"/>
    <w:rsid w:val="00C56BD7"/>
    <w:pPr>
      <w:spacing w:line="240" w:lineRule="exact"/>
      <w:jc w:val="left"/>
    </w:pPr>
    <w:rPr>
      <w:rFonts w:asciiTheme="minorHAnsi" w:hAnsiTheme="minorHAnsi"/>
      <w:sz w:val="21"/>
      <w:vertAlign w:val="superscript"/>
    </w:rPr>
  </w:style>
  <w:style w:type="character" w:styleId="Hyperlink">
    <w:name w:val="Hyperlink"/>
    <w:basedOn w:val="DefaultParagraphFont"/>
    <w:uiPriority w:val="99"/>
    <w:unhideWhenUsed/>
    <w:rsid w:val="00F34AD6"/>
    <w:rPr>
      <w:color w:val="0000FF"/>
      <w:u w:val="single"/>
    </w:rPr>
  </w:style>
  <w:style w:type="paragraph" w:customStyle="1" w:styleId="Default">
    <w:name w:val="Default"/>
    <w:rsid w:val="0045613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B7DB7"/>
    <w:rPr>
      <w:color w:val="808080"/>
    </w:rPr>
  </w:style>
  <w:style w:type="character" w:styleId="CommentReference">
    <w:name w:val="annotation reference"/>
    <w:basedOn w:val="DefaultParagraphFont"/>
    <w:uiPriority w:val="99"/>
    <w:semiHidden/>
    <w:unhideWhenUsed/>
    <w:rsid w:val="005078E0"/>
    <w:rPr>
      <w:sz w:val="16"/>
      <w:szCs w:val="16"/>
    </w:rPr>
  </w:style>
  <w:style w:type="paragraph" w:styleId="CommentText">
    <w:name w:val="annotation text"/>
    <w:basedOn w:val="Normal"/>
    <w:link w:val="CommentTextChar"/>
    <w:uiPriority w:val="99"/>
    <w:semiHidden/>
    <w:unhideWhenUsed/>
    <w:rsid w:val="005078E0"/>
    <w:pPr>
      <w:spacing w:line="240" w:lineRule="auto"/>
    </w:pPr>
    <w:rPr>
      <w:sz w:val="20"/>
      <w:szCs w:val="20"/>
    </w:rPr>
  </w:style>
  <w:style w:type="character" w:customStyle="1" w:styleId="CommentTextChar">
    <w:name w:val="Comment Text Char"/>
    <w:basedOn w:val="DefaultParagraphFont"/>
    <w:link w:val="CommentText"/>
    <w:uiPriority w:val="99"/>
    <w:semiHidden/>
    <w:rsid w:val="005078E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078E0"/>
    <w:rPr>
      <w:b/>
      <w:bCs/>
    </w:rPr>
  </w:style>
  <w:style w:type="character" w:customStyle="1" w:styleId="CommentSubjectChar">
    <w:name w:val="Comment Subject Char"/>
    <w:basedOn w:val="CommentTextChar"/>
    <w:link w:val="CommentSubject"/>
    <w:uiPriority w:val="99"/>
    <w:semiHidden/>
    <w:rsid w:val="005078E0"/>
    <w:rPr>
      <w:rFonts w:ascii="Times New Roman" w:hAnsi="Times New Roman"/>
      <w:b/>
      <w:bCs/>
      <w:sz w:val="20"/>
      <w:szCs w:val="20"/>
    </w:rPr>
  </w:style>
  <w:style w:type="paragraph" w:styleId="BalloonText">
    <w:name w:val="Balloon Text"/>
    <w:basedOn w:val="Normal"/>
    <w:link w:val="BalloonTextChar"/>
    <w:uiPriority w:val="99"/>
    <w:semiHidden/>
    <w:unhideWhenUsed/>
    <w:rsid w:val="005078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8E0"/>
    <w:rPr>
      <w:rFonts w:ascii="Segoe UI" w:hAnsi="Segoe UI" w:cs="Segoe UI"/>
      <w:sz w:val="18"/>
      <w:szCs w:val="18"/>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autoRedefine/>
    <w:uiPriority w:val="99"/>
    <w:rsid w:val="00BD2338"/>
    <w:pPr>
      <w:spacing w:line="240" w:lineRule="exact"/>
      <w:jc w:val="left"/>
    </w:pPr>
    <w:rPr>
      <w:rFonts w:asciiTheme="minorHAnsi" w:hAnsiTheme="minorHAnsi"/>
      <w:sz w:val="21"/>
      <w:vertAlign w:val="superscript"/>
    </w:rPr>
  </w:style>
  <w:style w:type="paragraph" w:styleId="NormalWeb">
    <w:name w:val="Normal (Web)"/>
    <w:basedOn w:val="Normal"/>
    <w:uiPriority w:val="99"/>
    <w:semiHidden/>
    <w:unhideWhenUsed/>
    <w:rsid w:val="00917C43"/>
    <w:pPr>
      <w:spacing w:before="100" w:beforeAutospacing="1" w:after="100" w:afterAutospacing="1" w:line="240" w:lineRule="auto"/>
      <w:jc w:val="left"/>
    </w:pPr>
    <w:rPr>
      <w:rFonts w:eastAsia="Times New Roman" w:cs="Times New Roman"/>
      <w:sz w:val="24"/>
      <w:szCs w:val="24"/>
    </w:rPr>
  </w:style>
  <w:style w:type="table" w:styleId="GridTable5Dark-Accent5">
    <w:name w:val="Grid Table 5 Dark Accent 5"/>
    <w:basedOn w:val="TableNormal"/>
    <w:uiPriority w:val="50"/>
    <w:rsid w:val="004D4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PlainTable4">
    <w:name w:val="Plain Table 4"/>
    <w:basedOn w:val="TableNormal"/>
    <w:uiPriority w:val="44"/>
    <w:rsid w:val="004D46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61F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aliases w:val="LVT Table Heading Char,Table Char,Légende Car Car Char,Légende Car1 Char,Caption Char2 Char,Caption Char1 Char Char,Caption Char Char Char1 Char,Caption Char Char1 Char,Caption Char Char Char Char Char,(Table Title) Char,Caption Table Char"/>
    <w:basedOn w:val="DefaultParagraphFont"/>
    <w:link w:val="Caption"/>
    <w:uiPriority w:val="35"/>
    <w:locked/>
    <w:rsid w:val="005C72CD"/>
    <w:rPr>
      <w:rFonts w:ascii="Times New Roman" w:hAnsi="Times New Roman"/>
      <w:b/>
      <w:bCs/>
      <w:color w:val="404040" w:themeColor="text1" w:themeTint="BF"/>
      <w:sz w:val="16"/>
      <w:szCs w:val="16"/>
    </w:rPr>
  </w:style>
  <w:style w:type="paragraph" w:styleId="Bibliography">
    <w:name w:val="Bibliography"/>
    <w:basedOn w:val="Normal"/>
    <w:next w:val="Normal"/>
    <w:uiPriority w:val="37"/>
    <w:unhideWhenUsed/>
    <w:rsid w:val="00DD06D0"/>
  </w:style>
  <w:style w:type="paragraph" w:styleId="PlainText">
    <w:name w:val="Plain Text"/>
    <w:basedOn w:val="Normal"/>
    <w:link w:val="PlainTextChar"/>
    <w:uiPriority w:val="99"/>
    <w:unhideWhenUsed/>
    <w:rsid w:val="00071FB6"/>
    <w:pPr>
      <w:spacing w:after="0" w:line="240" w:lineRule="auto"/>
      <w:jc w:val="left"/>
    </w:pPr>
    <w:rPr>
      <w:rFonts w:ascii="Calibri" w:hAnsi="Calibri"/>
      <w:lang w:eastAsia="zh-CN"/>
    </w:rPr>
  </w:style>
  <w:style w:type="character" w:customStyle="1" w:styleId="PlainTextChar">
    <w:name w:val="Plain Text Char"/>
    <w:basedOn w:val="DefaultParagraphFont"/>
    <w:link w:val="PlainText"/>
    <w:uiPriority w:val="99"/>
    <w:rsid w:val="00071FB6"/>
    <w:rPr>
      <w:rFonts w:ascii="Calibri" w:hAnsi="Calibri"/>
      <w:sz w:val="22"/>
      <w:lang w:eastAsia="zh-CN"/>
    </w:rPr>
  </w:style>
  <w:style w:type="paragraph" w:styleId="TOC1">
    <w:name w:val="toc 1"/>
    <w:basedOn w:val="Normal"/>
    <w:next w:val="Normal"/>
    <w:autoRedefine/>
    <w:uiPriority w:val="39"/>
    <w:unhideWhenUsed/>
    <w:rsid w:val="00847D21"/>
    <w:pPr>
      <w:spacing w:after="100"/>
    </w:pPr>
  </w:style>
  <w:style w:type="paragraph" w:styleId="TOC2">
    <w:name w:val="toc 2"/>
    <w:basedOn w:val="Normal"/>
    <w:next w:val="Normal"/>
    <w:autoRedefine/>
    <w:uiPriority w:val="39"/>
    <w:unhideWhenUsed/>
    <w:rsid w:val="00847D21"/>
    <w:pPr>
      <w:spacing w:after="100"/>
      <w:ind w:left="220"/>
    </w:pPr>
  </w:style>
  <w:style w:type="paragraph" w:styleId="TOC3">
    <w:name w:val="toc 3"/>
    <w:basedOn w:val="Normal"/>
    <w:next w:val="Normal"/>
    <w:autoRedefine/>
    <w:uiPriority w:val="39"/>
    <w:unhideWhenUsed/>
    <w:rsid w:val="00847D21"/>
    <w:pPr>
      <w:spacing w:after="100"/>
      <w:ind w:left="440"/>
    </w:pPr>
  </w:style>
  <w:style w:type="paragraph" w:styleId="TableofFigures">
    <w:name w:val="table of figures"/>
    <w:basedOn w:val="Normal"/>
    <w:next w:val="Normal"/>
    <w:uiPriority w:val="99"/>
    <w:unhideWhenUsed/>
    <w:rsid w:val="00847D21"/>
    <w:pPr>
      <w:spacing w:after="0"/>
    </w:pPr>
  </w:style>
  <w:style w:type="character" w:styleId="UnresolvedMention">
    <w:name w:val="Unresolved Mention"/>
    <w:basedOn w:val="DefaultParagraphFont"/>
    <w:uiPriority w:val="99"/>
    <w:semiHidden/>
    <w:unhideWhenUsed/>
    <w:rsid w:val="006A7FED"/>
    <w:rPr>
      <w:color w:val="605E5C"/>
      <w:shd w:val="clear" w:color="auto" w:fill="E1DFDD"/>
    </w:rPr>
  </w:style>
  <w:style w:type="paragraph" w:customStyle="1" w:styleId="AnnexLevel">
    <w:name w:val="Annex Level"/>
    <w:basedOn w:val="TOC2"/>
    <w:next w:val="Normal"/>
    <w:rsid w:val="00857545"/>
    <w:pPr>
      <w:numPr>
        <w:numId w:val="19"/>
      </w:numPr>
      <w:spacing w:before="240" w:after="0" w:line="259" w:lineRule="auto"/>
      <w:jc w:val="left"/>
    </w:pPr>
    <w:rPr>
      <w:rFonts w:asciiTheme="majorHAnsi" w:eastAsia="SimSun" w:hAnsiTheme="majorHAnsi" w:cstheme="minorHAnsi"/>
      <w:b/>
      <w:bCs/>
      <w:color w:val="2F5496" w:themeColor="accent1" w:themeShade="BF"/>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6248">
      <w:bodyDiv w:val="1"/>
      <w:marLeft w:val="0"/>
      <w:marRight w:val="0"/>
      <w:marTop w:val="0"/>
      <w:marBottom w:val="0"/>
      <w:divBdr>
        <w:top w:val="none" w:sz="0" w:space="0" w:color="auto"/>
        <w:left w:val="none" w:sz="0" w:space="0" w:color="auto"/>
        <w:bottom w:val="none" w:sz="0" w:space="0" w:color="auto"/>
        <w:right w:val="none" w:sz="0" w:space="0" w:color="auto"/>
      </w:divBdr>
    </w:div>
    <w:div w:id="147720363">
      <w:bodyDiv w:val="1"/>
      <w:marLeft w:val="0"/>
      <w:marRight w:val="0"/>
      <w:marTop w:val="0"/>
      <w:marBottom w:val="0"/>
      <w:divBdr>
        <w:top w:val="none" w:sz="0" w:space="0" w:color="auto"/>
        <w:left w:val="none" w:sz="0" w:space="0" w:color="auto"/>
        <w:bottom w:val="none" w:sz="0" w:space="0" w:color="auto"/>
        <w:right w:val="none" w:sz="0" w:space="0" w:color="auto"/>
      </w:divBdr>
    </w:div>
    <w:div w:id="187916649">
      <w:bodyDiv w:val="1"/>
      <w:marLeft w:val="0"/>
      <w:marRight w:val="0"/>
      <w:marTop w:val="0"/>
      <w:marBottom w:val="0"/>
      <w:divBdr>
        <w:top w:val="none" w:sz="0" w:space="0" w:color="auto"/>
        <w:left w:val="none" w:sz="0" w:space="0" w:color="auto"/>
        <w:bottom w:val="none" w:sz="0" w:space="0" w:color="auto"/>
        <w:right w:val="none" w:sz="0" w:space="0" w:color="auto"/>
      </w:divBdr>
    </w:div>
    <w:div w:id="317467874">
      <w:bodyDiv w:val="1"/>
      <w:marLeft w:val="0"/>
      <w:marRight w:val="0"/>
      <w:marTop w:val="0"/>
      <w:marBottom w:val="0"/>
      <w:divBdr>
        <w:top w:val="none" w:sz="0" w:space="0" w:color="auto"/>
        <w:left w:val="none" w:sz="0" w:space="0" w:color="auto"/>
        <w:bottom w:val="none" w:sz="0" w:space="0" w:color="auto"/>
        <w:right w:val="none" w:sz="0" w:space="0" w:color="auto"/>
      </w:divBdr>
    </w:div>
    <w:div w:id="405880016">
      <w:bodyDiv w:val="1"/>
      <w:marLeft w:val="0"/>
      <w:marRight w:val="0"/>
      <w:marTop w:val="0"/>
      <w:marBottom w:val="0"/>
      <w:divBdr>
        <w:top w:val="none" w:sz="0" w:space="0" w:color="auto"/>
        <w:left w:val="none" w:sz="0" w:space="0" w:color="auto"/>
        <w:bottom w:val="none" w:sz="0" w:space="0" w:color="auto"/>
        <w:right w:val="none" w:sz="0" w:space="0" w:color="auto"/>
      </w:divBdr>
    </w:div>
    <w:div w:id="545994073">
      <w:bodyDiv w:val="1"/>
      <w:marLeft w:val="0"/>
      <w:marRight w:val="0"/>
      <w:marTop w:val="0"/>
      <w:marBottom w:val="0"/>
      <w:divBdr>
        <w:top w:val="none" w:sz="0" w:space="0" w:color="auto"/>
        <w:left w:val="none" w:sz="0" w:space="0" w:color="auto"/>
        <w:bottom w:val="none" w:sz="0" w:space="0" w:color="auto"/>
        <w:right w:val="none" w:sz="0" w:space="0" w:color="auto"/>
      </w:divBdr>
    </w:div>
    <w:div w:id="576749136">
      <w:bodyDiv w:val="1"/>
      <w:marLeft w:val="0"/>
      <w:marRight w:val="0"/>
      <w:marTop w:val="0"/>
      <w:marBottom w:val="0"/>
      <w:divBdr>
        <w:top w:val="none" w:sz="0" w:space="0" w:color="auto"/>
        <w:left w:val="none" w:sz="0" w:space="0" w:color="auto"/>
        <w:bottom w:val="none" w:sz="0" w:space="0" w:color="auto"/>
        <w:right w:val="none" w:sz="0" w:space="0" w:color="auto"/>
      </w:divBdr>
    </w:div>
    <w:div w:id="602735563">
      <w:bodyDiv w:val="1"/>
      <w:marLeft w:val="0"/>
      <w:marRight w:val="0"/>
      <w:marTop w:val="0"/>
      <w:marBottom w:val="0"/>
      <w:divBdr>
        <w:top w:val="none" w:sz="0" w:space="0" w:color="auto"/>
        <w:left w:val="none" w:sz="0" w:space="0" w:color="auto"/>
        <w:bottom w:val="none" w:sz="0" w:space="0" w:color="auto"/>
        <w:right w:val="none" w:sz="0" w:space="0" w:color="auto"/>
      </w:divBdr>
    </w:div>
    <w:div w:id="755252327">
      <w:bodyDiv w:val="1"/>
      <w:marLeft w:val="0"/>
      <w:marRight w:val="0"/>
      <w:marTop w:val="0"/>
      <w:marBottom w:val="0"/>
      <w:divBdr>
        <w:top w:val="none" w:sz="0" w:space="0" w:color="auto"/>
        <w:left w:val="none" w:sz="0" w:space="0" w:color="auto"/>
        <w:bottom w:val="none" w:sz="0" w:space="0" w:color="auto"/>
        <w:right w:val="none" w:sz="0" w:space="0" w:color="auto"/>
      </w:divBdr>
    </w:div>
    <w:div w:id="807018535">
      <w:bodyDiv w:val="1"/>
      <w:marLeft w:val="0"/>
      <w:marRight w:val="0"/>
      <w:marTop w:val="0"/>
      <w:marBottom w:val="0"/>
      <w:divBdr>
        <w:top w:val="none" w:sz="0" w:space="0" w:color="auto"/>
        <w:left w:val="none" w:sz="0" w:space="0" w:color="auto"/>
        <w:bottom w:val="none" w:sz="0" w:space="0" w:color="auto"/>
        <w:right w:val="none" w:sz="0" w:space="0" w:color="auto"/>
      </w:divBdr>
    </w:div>
    <w:div w:id="822086471">
      <w:bodyDiv w:val="1"/>
      <w:marLeft w:val="0"/>
      <w:marRight w:val="0"/>
      <w:marTop w:val="0"/>
      <w:marBottom w:val="0"/>
      <w:divBdr>
        <w:top w:val="none" w:sz="0" w:space="0" w:color="auto"/>
        <w:left w:val="none" w:sz="0" w:space="0" w:color="auto"/>
        <w:bottom w:val="none" w:sz="0" w:space="0" w:color="auto"/>
        <w:right w:val="none" w:sz="0" w:space="0" w:color="auto"/>
      </w:divBdr>
    </w:div>
    <w:div w:id="893733219">
      <w:bodyDiv w:val="1"/>
      <w:marLeft w:val="0"/>
      <w:marRight w:val="0"/>
      <w:marTop w:val="0"/>
      <w:marBottom w:val="0"/>
      <w:divBdr>
        <w:top w:val="none" w:sz="0" w:space="0" w:color="auto"/>
        <w:left w:val="none" w:sz="0" w:space="0" w:color="auto"/>
        <w:bottom w:val="none" w:sz="0" w:space="0" w:color="auto"/>
        <w:right w:val="none" w:sz="0" w:space="0" w:color="auto"/>
      </w:divBdr>
    </w:div>
    <w:div w:id="902789855">
      <w:bodyDiv w:val="1"/>
      <w:marLeft w:val="0"/>
      <w:marRight w:val="0"/>
      <w:marTop w:val="0"/>
      <w:marBottom w:val="0"/>
      <w:divBdr>
        <w:top w:val="none" w:sz="0" w:space="0" w:color="auto"/>
        <w:left w:val="none" w:sz="0" w:space="0" w:color="auto"/>
        <w:bottom w:val="none" w:sz="0" w:space="0" w:color="auto"/>
        <w:right w:val="none" w:sz="0" w:space="0" w:color="auto"/>
      </w:divBdr>
    </w:div>
    <w:div w:id="973288316">
      <w:bodyDiv w:val="1"/>
      <w:marLeft w:val="0"/>
      <w:marRight w:val="0"/>
      <w:marTop w:val="0"/>
      <w:marBottom w:val="0"/>
      <w:divBdr>
        <w:top w:val="none" w:sz="0" w:space="0" w:color="auto"/>
        <w:left w:val="none" w:sz="0" w:space="0" w:color="auto"/>
        <w:bottom w:val="none" w:sz="0" w:space="0" w:color="auto"/>
        <w:right w:val="none" w:sz="0" w:space="0" w:color="auto"/>
      </w:divBdr>
    </w:div>
    <w:div w:id="1117984818">
      <w:bodyDiv w:val="1"/>
      <w:marLeft w:val="0"/>
      <w:marRight w:val="0"/>
      <w:marTop w:val="0"/>
      <w:marBottom w:val="0"/>
      <w:divBdr>
        <w:top w:val="none" w:sz="0" w:space="0" w:color="auto"/>
        <w:left w:val="none" w:sz="0" w:space="0" w:color="auto"/>
        <w:bottom w:val="none" w:sz="0" w:space="0" w:color="auto"/>
        <w:right w:val="none" w:sz="0" w:space="0" w:color="auto"/>
      </w:divBdr>
    </w:div>
    <w:div w:id="1121001569">
      <w:bodyDiv w:val="1"/>
      <w:marLeft w:val="0"/>
      <w:marRight w:val="0"/>
      <w:marTop w:val="0"/>
      <w:marBottom w:val="0"/>
      <w:divBdr>
        <w:top w:val="none" w:sz="0" w:space="0" w:color="auto"/>
        <w:left w:val="none" w:sz="0" w:space="0" w:color="auto"/>
        <w:bottom w:val="none" w:sz="0" w:space="0" w:color="auto"/>
        <w:right w:val="none" w:sz="0" w:space="0" w:color="auto"/>
      </w:divBdr>
    </w:div>
    <w:div w:id="1137912541">
      <w:bodyDiv w:val="1"/>
      <w:marLeft w:val="0"/>
      <w:marRight w:val="0"/>
      <w:marTop w:val="0"/>
      <w:marBottom w:val="0"/>
      <w:divBdr>
        <w:top w:val="none" w:sz="0" w:space="0" w:color="auto"/>
        <w:left w:val="none" w:sz="0" w:space="0" w:color="auto"/>
        <w:bottom w:val="none" w:sz="0" w:space="0" w:color="auto"/>
        <w:right w:val="none" w:sz="0" w:space="0" w:color="auto"/>
      </w:divBdr>
    </w:div>
    <w:div w:id="1172842652">
      <w:bodyDiv w:val="1"/>
      <w:marLeft w:val="0"/>
      <w:marRight w:val="0"/>
      <w:marTop w:val="0"/>
      <w:marBottom w:val="0"/>
      <w:divBdr>
        <w:top w:val="none" w:sz="0" w:space="0" w:color="auto"/>
        <w:left w:val="none" w:sz="0" w:space="0" w:color="auto"/>
        <w:bottom w:val="none" w:sz="0" w:space="0" w:color="auto"/>
        <w:right w:val="none" w:sz="0" w:space="0" w:color="auto"/>
      </w:divBdr>
      <w:divsChild>
        <w:div w:id="1701972351">
          <w:marLeft w:val="0"/>
          <w:marRight w:val="0"/>
          <w:marTop w:val="0"/>
          <w:marBottom w:val="0"/>
          <w:divBdr>
            <w:top w:val="none" w:sz="0" w:space="0" w:color="auto"/>
            <w:left w:val="none" w:sz="0" w:space="0" w:color="auto"/>
            <w:bottom w:val="none" w:sz="0" w:space="0" w:color="auto"/>
            <w:right w:val="none" w:sz="0" w:space="0" w:color="auto"/>
          </w:divBdr>
        </w:div>
        <w:div w:id="1361974273">
          <w:marLeft w:val="0"/>
          <w:marRight w:val="0"/>
          <w:marTop w:val="0"/>
          <w:marBottom w:val="0"/>
          <w:divBdr>
            <w:top w:val="none" w:sz="0" w:space="0" w:color="auto"/>
            <w:left w:val="none" w:sz="0" w:space="0" w:color="auto"/>
            <w:bottom w:val="none" w:sz="0" w:space="0" w:color="auto"/>
            <w:right w:val="none" w:sz="0" w:space="0" w:color="auto"/>
          </w:divBdr>
        </w:div>
        <w:div w:id="1890606508">
          <w:marLeft w:val="0"/>
          <w:marRight w:val="0"/>
          <w:marTop w:val="0"/>
          <w:marBottom w:val="0"/>
          <w:divBdr>
            <w:top w:val="none" w:sz="0" w:space="0" w:color="auto"/>
            <w:left w:val="none" w:sz="0" w:space="0" w:color="auto"/>
            <w:bottom w:val="none" w:sz="0" w:space="0" w:color="auto"/>
            <w:right w:val="none" w:sz="0" w:space="0" w:color="auto"/>
          </w:divBdr>
        </w:div>
      </w:divsChild>
    </w:div>
    <w:div w:id="1195197835">
      <w:bodyDiv w:val="1"/>
      <w:marLeft w:val="0"/>
      <w:marRight w:val="0"/>
      <w:marTop w:val="0"/>
      <w:marBottom w:val="0"/>
      <w:divBdr>
        <w:top w:val="none" w:sz="0" w:space="0" w:color="auto"/>
        <w:left w:val="none" w:sz="0" w:space="0" w:color="auto"/>
        <w:bottom w:val="none" w:sz="0" w:space="0" w:color="auto"/>
        <w:right w:val="none" w:sz="0" w:space="0" w:color="auto"/>
      </w:divBdr>
    </w:div>
    <w:div w:id="1215700670">
      <w:bodyDiv w:val="1"/>
      <w:marLeft w:val="0"/>
      <w:marRight w:val="0"/>
      <w:marTop w:val="0"/>
      <w:marBottom w:val="0"/>
      <w:divBdr>
        <w:top w:val="none" w:sz="0" w:space="0" w:color="auto"/>
        <w:left w:val="none" w:sz="0" w:space="0" w:color="auto"/>
        <w:bottom w:val="none" w:sz="0" w:space="0" w:color="auto"/>
        <w:right w:val="none" w:sz="0" w:space="0" w:color="auto"/>
      </w:divBdr>
    </w:div>
    <w:div w:id="1352145711">
      <w:bodyDiv w:val="1"/>
      <w:marLeft w:val="0"/>
      <w:marRight w:val="0"/>
      <w:marTop w:val="0"/>
      <w:marBottom w:val="0"/>
      <w:divBdr>
        <w:top w:val="none" w:sz="0" w:space="0" w:color="auto"/>
        <w:left w:val="none" w:sz="0" w:space="0" w:color="auto"/>
        <w:bottom w:val="none" w:sz="0" w:space="0" w:color="auto"/>
        <w:right w:val="none" w:sz="0" w:space="0" w:color="auto"/>
      </w:divBdr>
    </w:div>
    <w:div w:id="1377388445">
      <w:bodyDiv w:val="1"/>
      <w:marLeft w:val="0"/>
      <w:marRight w:val="0"/>
      <w:marTop w:val="0"/>
      <w:marBottom w:val="0"/>
      <w:divBdr>
        <w:top w:val="none" w:sz="0" w:space="0" w:color="auto"/>
        <w:left w:val="none" w:sz="0" w:space="0" w:color="auto"/>
        <w:bottom w:val="none" w:sz="0" w:space="0" w:color="auto"/>
        <w:right w:val="none" w:sz="0" w:space="0" w:color="auto"/>
      </w:divBdr>
    </w:div>
    <w:div w:id="1402217358">
      <w:bodyDiv w:val="1"/>
      <w:marLeft w:val="0"/>
      <w:marRight w:val="0"/>
      <w:marTop w:val="0"/>
      <w:marBottom w:val="0"/>
      <w:divBdr>
        <w:top w:val="none" w:sz="0" w:space="0" w:color="auto"/>
        <w:left w:val="none" w:sz="0" w:space="0" w:color="auto"/>
        <w:bottom w:val="none" w:sz="0" w:space="0" w:color="auto"/>
        <w:right w:val="none" w:sz="0" w:space="0" w:color="auto"/>
      </w:divBdr>
    </w:div>
    <w:div w:id="1406881351">
      <w:bodyDiv w:val="1"/>
      <w:marLeft w:val="0"/>
      <w:marRight w:val="0"/>
      <w:marTop w:val="0"/>
      <w:marBottom w:val="0"/>
      <w:divBdr>
        <w:top w:val="none" w:sz="0" w:space="0" w:color="auto"/>
        <w:left w:val="none" w:sz="0" w:space="0" w:color="auto"/>
        <w:bottom w:val="none" w:sz="0" w:space="0" w:color="auto"/>
        <w:right w:val="none" w:sz="0" w:space="0" w:color="auto"/>
      </w:divBdr>
    </w:div>
    <w:div w:id="1447000495">
      <w:bodyDiv w:val="1"/>
      <w:marLeft w:val="0"/>
      <w:marRight w:val="0"/>
      <w:marTop w:val="0"/>
      <w:marBottom w:val="0"/>
      <w:divBdr>
        <w:top w:val="none" w:sz="0" w:space="0" w:color="auto"/>
        <w:left w:val="none" w:sz="0" w:space="0" w:color="auto"/>
        <w:bottom w:val="none" w:sz="0" w:space="0" w:color="auto"/>
        <w:right w:val="none" w:sz="0" w:space="0" w:color="auto"/>
      </w:divBdr>
    </w:div>
    <w:div w:id="1557934738">
      <w:bodyDiv w:val="1"/>
      <w:marLeft w:val="0"/>
      <w:marRight w:val="0"/>
      <w:marTop w:val="0"/>
      <w:marBottom w:val="0"/>
      <w:divBdr>
        <w:top w:val="none" w:sz="0" w:space="0" w:color="auto"/>
        <w:left w:val="none" w:sz="0" w:space="0" w:color="auto"/>
        <w:bottom w:val="none" w:sz="0" w:space="0" w:color="auto"/>
        <w:right w:val="none" w:sz="0" w:space="0" w:color="auto"/>
      </w:divBdr>
    </w:div>
    <w:div w:id="1636914700">
      <w:bodyDiv w:val="1"/>
      <w:marLeft w:val="0"/>
      <w:marRight w:val="0"/>
      <w:marTop w:val="0"/>
      <w:marBottom w:val="0"/>
      <w:divBdr>
        <w:top w:val="none" w:sz="0" w:space="0" w:color="auto"/>
        <w:left w:val="none" w:sz="0" w:space="0" w:color="auto"/>
        <w:bottom w:val="none" w:sz="0" w:space="0" w:color="auto"/>
        <w:right w:val="none" w:sz="0" w:space="0" w:color="auto"/>
      </w:divBdr>
    </w:div>
    <w:div w:id="1688436057">
      <w:bodyDiv w:val="1"/>
      <w:marLeft w:val="0"/>
      <w:marRight w:val="0"/>
      <w:marTop w:val="0"/>
      <w:marBottom w:val="0"/>
      <w:divBdr>
        <w:top w:val="none" w:sz="0" w:space="0" w:color="auto"/>
        <w:left w:val="none" w:sz="0" w:space="0" w:color="auto"/>
        <w:bottom w:val="none" w:sz="0" w:space="0" w:color="auto"/>
        <w:right w:val="none" w:sz="0" w:space="0" w:color="auto"/>
      </w:divBdr>
    </w:div>
    <w:div w:id="1699236962">
      <w:bodyDiv w:val="1"/>
      <w:marLeft w:val="0"/>
      <w:marRight w:val="0"/>
      <w:marTop w:val="0"/>
      <w:marBottom w:val="0"/>
      <w:divBdr>
        <w:top w:val="none" w:sz="0" w:space="0" w:color="auto"/>
        <w:left w:val="none" w:sz="0" w:space="0" w:color="auto"/>
        <w:bottom w:val="none" w:sz="0" w:space="0" w:color="auto"/>
        <w:right w:val="none" w:sz="0" w:space="0" w:color="auto"/>
      </w:divBdr>
    </w:div>
    <w:div w:id="1711801317">
      <w:bodyDiv w:val="1"/>
      <w:marLeft w:val="0"/>
      <w:marRight w:val="0"/>
      <w:marTop w:val="0"/>
      <w:marBottom w:val="0"/>
      <w:divBdr>
        <w:top w:val="none" w:sz="0" w:space="0" w:color="auto"/>
        <w:left w:val="none" w:sz="0" w:space="0" w:color="auto"/>
        <w:bottom w:val="none" w:sz="0" w:space="0" w:color="auto"/>
        <w:right w:val="none" w:sz="0" w:space="0" w:color="auto"/>
      </w:divBdr>
    </w:div>
    <w:div w:id="1817647330">
      <w:bodyDiv w:val="1"/>
      <w:marLeft w:val="0"/>
      <w:marRight w:val="0"/>
      <w:marTop w:val="0"/>
      <w:marBottom w:val="0"/>
      <w:divBdr>
        <w:top w:val="none" w:sz="0" w:space="0" w:color="auto"/>
        <w:left w:val="none" w:sz="0" w:space="0" w:color="auto"/>
        <w:bottom w:val="none" w:sz="0" w:space="0" w:color="auto"/>
        <w:right w:val="none" w:sz="0" w:space="0" w:color="auto"/>
      </w:divBdr>
    </w:div>
    <w:div w:id="1854223712">
      <w:bodyDiv w:val="1"/>
      <w:marLeft w:val="0"/>
      <w:marRight w:val="0"/>
      <w:marTop w:val="0"/>
      <w:marBottom w:val="0"/>
      <w:divBdr>
        <w:top w:val="none" w:sz="0" w:space="0" w:color="auto"/>
        <w:left w:val="none" w:sz="0" w:space="0" w:color="auto"/>
        <w:bottom w:val="none" w:sz="0" w:space="0" w:color="auto"/>
        <w:right w:val="none" w:sz="0" w:space="0" w:color="auto"/>
      </w:divBdr>
    </w:div>
    <w:div w:id="1859351256">
      <w:bodyDiv w:val="1"/>
      <w:marLeft w:val="0"/>
      <w:marRight w:val="0"/>
      <w:marTop w:val="0"/>
      <w:marBottom w:val="0"/>
      <w:divBdr>
        <w:top w:val="none" w:sz="0" w:space="0" w:color="auto"/>
        <w:left w:val="none" w:sz="0" w:space="0" w:color="auto"/>
        <w:bottom w:val="none" w:sz="0" w:space="0" w:color="auto"/>
        <w:right w:val="none" w:sz="0" w:space="0" w:color="auto"/>
      </w:divBdr>
    </w:div>
    <w:div w:id="1860581513">
      <w:bodyDiv w:val="1"/>
      <w:marLeft w:val="0"/>
      <w:marRight w:val="0"/>
      <w:marTop w:val="0"/>
      <w:marBottom w:val="0"/>
      <w:divBdr>
        <w:top w:val="none" w:sz="0" w:space="0" w:color="auto"/>
        <w:left w:val="none" w:sz="0" w:space="0" w:color="auto"/>
        <w:bottom w:val="none" w:sz="0" w:space="0" w:color="auto"/>
        <w:right w:val="none" w:sz="0" w:space="0" w:color="auto"/>
      </w:divBdr>
    </w:div>
    <w:div w:id="1922323834">
      <w:bodyDiv w:val="1"/>
      <w:marLeft w:val="0"/>
      <w:marRight w:val="0"/>
      <w:marTop w:val="0"/>
      <w:marBottom w:val="0"/>
      <w:divBdr>
        <w:top w:val="none" w:sz="0" w:space="0" w:color="auto"/>
        <w:left w:val="none" w:sz="0" w:space="0" w:color="auto"/>
        <w:bottom w:val="none" w:sz="0" w:space="0" w:color="auto"/>
        <w:right w:val="none" w:sz="0" w:space="0" w:color="auto"/>
      </w:divBdr>
    </w:div>
    <w:div w:id="1964385281">
      <w:bodyDiv w:val="1"/>
      <w:marLeft w:val="0"/>
      <w:marRight w:val="0"/>
      <w:marTop w:val="0"/>
      <w:marBottom w:val="0"/>
      <w:divBdr>
        <w:top w:val="none" w:sz="0" w:space="0" w:color="auto"/>
        <w:left w:val="none" w:sz="0" w:space="0" w:color="auto"/>
        <w:bottom w:val="none" w:sz="0" w:space="0" w:color="auto"/>
        <w:right w:val="none" w:sz="0" w:space="0" w:color="auto"/>
      </w:divBdr>
    </w:div>
    <w:div w:id="2043897820">
      <w:bodyDiv w:val="1"/>
      <w:marLeft w:val="0"/>
      <w:marRight w:val="0"/>
      <w:marTop w:val="0"/>
      <w:marBottom w:val="0"/>
      <w:divBdr>
        <w:top w:val="none" w:sz="0" w:space="0" w:color="auto"/>
        <w:left w:val="none" w:sz="0" w:space="0" w:color="auto"/>
        <w:bottom w:val="none" w:sz="0" w:space="0" w:color="auto"/>
        <w:right w:val="none" w:sz="0" w:space="0" w:color="auto"/>
      </w:divBdr>
      <w:divsChild>
        <w:div w:id="720207735">
          <w:marLeft w:val="0"/>
          <w:marRight w:val="0"/>
          <w:marTop w:val="0"/>
          <w:marBottom w:val="0"/>
          <w:divBdr>
            <w:top w:val="none" w:sz="0" w:space="0" w:color="auto"/>
            <w:left w:val="none" w:sz="0" w:space="0" w:color="auto"/>
            <w:bottom w:val="none" w:sz="0" w:space="0" w:color="auto"/>
            <w:right w:val="none" w:sz="0" w:space="0" w:color="auto"/>
          </w:divBdr>
        </w:div>
        <w:div w:id="419378696">
          <w:marLeft w:val="0"/>
          <w:marRight w:val="0"/>
          <w:marTop w:val="0"/>
          <w:marBottom w:val="0"/>
          <w:divBdr>
            <w:top w:val="none" w:sz="0" w:space="0" w:color="auto"/>
            <w:left w:val="none" w:sz="0" w:space="0" w:color="auto"/>
            <w:bottom w:val="none" w:sz="0" w:space="0" w:color="auto"/>
            <w:right w:val="none" w:sz="0" w:space="0" w:color="auto"/>
          </w:divBdr>
        </w:div>
      </w:divsChild>
    </w:div>
    <w:div w:id="2051606611">
      <w:bodyDiv w:val="1"/>
      <w:marLeft w:val="0"/>
      <w:marRight w:val="0"/>
      <w:marTop w:val="0"/>
      <w:marBottom w:val="0"/>
      <w:divBdr>
        <w:top w:val="none" w:sz="0" w:space="0" w:color="auto"/>
        <w:left w:val="none" w:sz="0" w:space="0" w:color="auto"/>
        <w:bottom w:val="none" w:sz="0" w:space="0" w:color="auto"/>
        <w:right w:val="none" w:sz="0" w:space="0" w:color="auto"/>
      </w:divBdr>
    </w:div>
    <w:div w:id="2066641008">
      <w:bodyDiv w:val="1"/>
      <w:marLeft w:val="0"/>
      <w:marRight w:val="0"/>
      <w:marTop w:val="0"/>
      <w:marBottom w:val="0"/>
      <w:divBdr>
        <w:top w:val="none" w:sz="0" w:space="0" w:color="auto"/>
        <w:left w:val="none" w:sz="0" w:space="0" w:color="auto"/>
        <w:bottom w:val="none" w:sz="0" w:space="0" w:color="auto"/>
        <w:right w:val="none" w:sz="0" w:space="0" w:color="auto"/>
      </w:divBdr>
    </w:div>
    <w:div w:id="2068644695">
      <w:bodyDiv w:val="1"/>
      <w:marLeft w:val="0"/>
      <w:marRight w:val="0"/>
      <w:marTop w:val="0"/>
      <w:marBottom w:val="0"/>
      <w:divBdr>
        <w:top w:val="none" w:sz="0" w:space="0" w:color="auto"/>
        <w:left w:val="none" w:sz="0" w:space="0" w:color="auto"/>
        <w:bottom w:val="none" w:sz="0" w:space="0" w:color="auto"/>
        <w:right w:val="none" w:sz="0" w:space="0" w:color="auto"/>
      </w:divBdr>
      <w:divsChild>
        <w:div w:id="1419248871">
          <w:marLeft w:val="0"/>
          <w:marRight w:val="0"/>
          <w:marTop w:val="0"/>
          <w:marBottom w:val="0"/>
          <w:divBdr>
            <w:top w:val="none" w:sz="0" w:space="0" w:color="auto"/>
            <w:left w:val="none" w:sz="0" w:space="0" w:color="auto"/>
            <w:bottom w:val="none" w:sz="0" w:space="0" w:color="auto"/>
            <w:right w:val="none" w:sz="0" w:space="0" w:color="auto"/>
          </w:divBdr>
        </w:div>
        <w:div w:id="424501271">
          <w:marLeft w:val="0"/>
          <w:marRight w:val="0"/>
          <w:marTop w:val="0"/>
          <w:marBottom w:val="0"/>
          <w:divBdr>
            <w:top w:val="none" w:sz="0" w:space="0" w:color="auto"/>
            <w:left w:val="none" w:sz="0" w:space="0" w:color="auto"/>
            <w:bottom w:val="none" w:sz="0" w:space="0" w:color="auto"/>
            <w:right w:val="none" w:sz="0" w:space="0" w:color="auto"/>
          </w:divBdr>
        </w:div>
        <w:div w:id="113864114">
          <w:marLeft w:val="0"/>
          <w:marRight w:val="0"/>
          <w:marTop w:val="0"/>
          <w:marBottom w:val="0"/>
          <w:divBdr>
            <w:top w:val="none" w:sz="0" w:space="0" w:color="auto"/>
            <w:left w:val="none" w:sz="0" w:space="0" w:color="auto"/>
            <w:bottom w:val="none" w:sz="0" w:space="0" w:color="auto"/>
            <w:right w:val="none" w:sz="0" w:space="0" w:color="auto"/>
          </w:divBdr>
        </w:div>
      </w:divsChild>
    </w:div>
    <w:div w:id="2135323603">
      <w:bodyDiv w:val="1"/>
      <w:marLeft w:val="0"/>
      <w:marRight w:val="0"/>
      <w:marTop w:val="0"/>
      <w:marBottom w:val="0"/>
      <w:divBdr>
        <w:top w:val="none" w:sz="0" w:space="0" w:color="auto"/>
        <w:left w:val="none" w:sz="0" w:space="0" w:color="auto"/>
        <w:bottom w:val="none" w:sz="0" w:space="0" w:color="auto"/>
        <w:right w:val="none" w:sz="0" w:space="0" w:color="auto"/>
      </w:divBdr>
      <w:divsChild>
        <w:div w:id="797528035">
          <w:marLeft w:val="0"/>
          <w:marRight w:val="0"/>
          <w:marTop w:val="0"/>
          <w:marBottom w:val="0"/>
          <w:divBdr>
            <w:top w:val="none" w:sz="0" w:space="0" w:color="auto"/>
            <w:left w:val="none" w:sz="0" w:space="0" w:color="auto"/>
            <w:bottom w:val="none" w:sz="0" w:space="0" w:color="auto"/>
            <w:right w:val="none" w:sz="0" w:space="0" w:color="auto"/>
          </w:divBdr>
        </w:div>
        <w:div w:id="1737050933">
          <w:marLeft w:val="0"/>
          <w:marRight w:val="0"/>
          <w:marTop w:val="0"/>
          <w:marBottom w:val="0"/>
          <w:divBdr>
            <w:top w:val="none" w:sz="0" w:space="0" w:color="auto"/>
            <w:left w:val="none" w:sz="0" w:space="0" w:color="auto"/>
            <w:bottom w:val="none" w:sz="0" w:space="0" w:color="auto"/>
            <w:right w:val="none" w:sz="0" w:space="0" w:color="auto"/>
          </w:divBdr>
        </w:div>
        <w:div w:id="1517693079">
          <w:marLeft w:val="0"/>
          <w:marRight w:val="0"/>
          <w:marTop w:val="0"/>
          <w:marBottom w:val="0"/>
          <w:divBdr>
            <w:top w:val="none" w:sz="0" w:space="0" w:color="auto"/>
            <w:left w:val="none" w:sz="0" w:space="0" w:color="auto"/>
            <w:bottom w:val="none" w:sz="0" w:space="0" w:color="auto"/>
            <w:right w:val="none" w:sz="0" w:space="0" w:color="auto"/>
          </w:divBdr>
        </w:div>
        <w:div w:id="892274058">
          <w:marLeft w:val="0"/>
          <w:marRight w:val="0"/>
          <w:marTop w:val="0"/>
          <w:marBottom w:val="0"/>
          <w:divBdr>
            <w:top w:val="none" w:sz="0" w:space="0" w:color="auto"/>
            <w:left w:val="none" w:sz="0" w:space="0" w:color="auto"/>
            <w:bottom w:val="none" w:sz="0" w:space="0" w:color="auto"/>
            <w:right w:val="none" w:sz="0" w:space="0" w:color="auto"/>
          </w:divBdr>
        </w:div>
        <w:div w:id="2037074019">
          <w:marLeft w:val="0"/>
          <w:marRight w:val="0"/>
          <w:marTop w:val="0"/>
          <w:marBottom w:val="0"/>
          <w:divBdr>
            <w:top w:val="none" w:sz="0" w:space="0" w:color="auto"/>
            <w:left w:val="none" w:sz="0" w:space="0" w:color="auto"/>
            <w:bottom w:val="none" w:sz="0" w:space="0" w:color="auto"/>
            <w:right w:val="none" w:sz="0" w:space="0" w:color="auto"/>
          </w:divBdr>
        </w:div>
        <w:div w:id="742141673">
          <w:marLeft w:val="0"/>
          <w:marRight w:val="0"/>
          <w:marTop w:val="0"/>
          <w:marBottom w:val="0"/>
          <w:divBdr>
            <w:top w:val="none" w:sz="0" w:space="0" w:color="auto"/>
            <w:left w:val="none" w:sz="0" w:space="0" w:color="auto"/>
            <w:bottom w:val="none" w:sz="0" w:space="0" w:color="auto"/>
            <w:right w:val="none" w:sz="0" w:space="0" w:color="auto"/>
          </w:divBdr>
        </w:div>
        <w:div w:id="472526083">
          <w:marLeft w:val="0"/>
          <w:marRight w:val="0"/>
          <w:marTop w:val="0"/>
          <w:marBottom w:val="0"/>
          <w:divBdr>
            <w:top w:val="none" w:sz="0" w:space="0" w:color="auto"/>
            <w:left w:val="none" w:sz="0" w:space="0" w:color="auto"/>
            <w:bottom w:val="none" w:sz="0" w:space="0" w:color="auto"/>
            <w:right w:val="none" w:sz="0" w:space="0" w:color="auto"/>
          </w:divBdr>
          <w:divsChild>
            <w:div w:id="1522931477">
              <w:marLeft w:val="0"/>
              <w:marRight w:val="0"/>
              <w:marTop w:val="0"/>
              <w:marBottom w:val="0"/>
              <w:divBdr>
                <w:top w:val="none" w:sz="0" w:space="0" w:color="auto"/>
                <w:left w:val="none" w:sz="0" w:space="0" w:color="auto"/>
                <w:bottom w:val="none" w:sz="0" w:space="0" w:color="auto"/>
                <w:right w:val="none" w:sz="0" w:space="0" w:color="auto"/>
              </w:divBdr>
            </w:div>
          </w:divsChild>
        </w:div>
        <w:div w:id="1819154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taxpolicycenter.org/UploadedPDF/412501-Implications-of-Different-Bases-for-a-VA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commitmentoequity.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ldbankgroup-my.sharepoint.com/personal/mranzani_worldbank_org/Documents/Mauritius/docs/Info%20for%20CEQ/Expenditure/Education/Final%20Data%20on%20Education%20Expenditure%20and%20Stud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orldbankgroup-my.sharepoint.com/personal/mranzani_worldbank_org/Documents/Mauritius/output/FY19/CEQ/Graphs_CEQ.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b315489\Desktop\Simula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78315412186379"/>
          <c:y val="0.1168935567146713"/>
          <c:w val="0.88821684587813621"/>
          <c:h val="0.58348514874774338"/>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5D-431B-A3B7-73B351628C3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5D-431B-A3B7-73B351628C3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5D-431B-A3B7-73B351628C38}"/>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5D-431B-A3B7-73B351628C38}"/>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5D-431B-A3B7-73B351628C38}"/>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5D-431B-A3B7-73B351628C38}"/>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95D-431B-A3B7-73B351628C38}"/>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 from Edu Yr18'!$O$14:$O$20</c:f>
              <c:strCache>
                <c:ptCount val="7"/>
                <c:pt idx="0">
                  <c:v>Pre-primary</c:v>
                </c:pt>
                <c:pt idx="1">
                  <c:v>Primary</c:v>
                </c:pt>
                <c:pt idx="2">
                  <c:v>Secondary</c:v>
                </c:pt>
                <c:pt idx="3">
                  <c:v>Technical &amp; Vocational</c:v>
                </c:pt>
                <c:pt idx="4">
                  <c:v>Special Education Needs</c:v>
                </c:pt>
                <c:pt idx="5">
                  <c:v>Tertiary Education</c:v>
                </c:pt>
                <c:pt idx="6">
                  <c:v>Other</c:v>
                </c:pt>
              </c:strCache>
            </c:strRef>
          </c:cat>
          <c:val>
            <c:numRef>
              <c:f>'exp from Edu Yr18'!$M$14:$M$20</c:f>
              <c:numCache>
                <c:formatCode>0.0</c:formatCode>
                <c:ptCount val="7"/>
                <c:pt idx="0">
                  <c:v>1.6672451483653323</c:v>
                </c:pt>
                <c:pt idx="1">
                  <c:v>27.009006046656069</c:v>
                </c:pt>
                <c:pt idx="2">
                  <c:v>54.757250811396695</c:v>
                </c:pt>
                <c:pt idx="3">
                  <c:v>2.8710960096941354</c:v>
                </c:pt>
                <c:pt idx="4">
                  <c:v>0.85858862644087619</c:v>
                </c:pt>
                <c:pt idx="5">
                  <c:v>7.5172174421366078</c:v>
                </c:pt>
                <c:pt idx="6">
                  <c:v>5.3195959153102796</c:v>
                </c:pt>
              </c:numCache>
            </c:numRef>
          </c:val>
          <c:extLst>
            <c:ext xmlns:c16="http://schemas.microsoft.com/office/drawing/2014/chart" uri="{C3380CC4-5D6E-409C-BE32-E72D297353CC}">
              <c16:uniqueId val="{0000000E-C95D-431B-A3B7-73B351628C3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6242203595518304E-2"/>
          <c:y val="0.75752618301353103"/>
          <c:w val="0.90303530607061211"/>
          <c:h val="0.19766425761380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62963192593047E-2"/>
          <c:y val="3.873239436619718E-2"/>
          <c:w val="0.87767754424397737"/>
          <c:h val="0.71795786517278548"/>
        </c:manualLayout>
      </c:layout>
      <c:barChart>
        <c:barDir val="col"/>
        <c:grouping val="stacked"/>
        <c:varyColors val="0"/>
        <c:ser>
          <c:idx val="3"/>
          <c:order val="0"/>
          <c:tx>
            <c:strRef>
              <c:f>Sheet1!$B$2</c:f>
              <c:strCache>
                <c:ptCount val="1"/>
                <c:pt idx="0">
                  <c:v>Direct Taxes</c:v>
                </c:pt>
              </c:strCache>
            </c:strRef>
          </c:tx>
          <c:spPr>
            <a:solidFill>
              <a:schemeClr val="accent6">
                <a:lumMod val="60000"/>
                <a:lumOff val="40000"/>
              </a:schemeClr>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Sheet1!$B$3:$B$12</c:f>
              <c:numCache>
                <c:formatCode>General</c:formatCode>
                <c:ptCount val="10"/>
                <c:pt idx="0">
                  <c:v>-2.7693370000000002</c:v>
                </c:pt>
                <c:pt idx="1">
                  <c:v>-5.6223169999999998</c:v>
                </c:pt>
                <c:pt idx="2">
                  <c:v>-7.3222659999999999</c:v>
                </c:pt>
                <c:pt idx="3">
                  <c:v>-7.4774589999999996</c:v>
                </c:pt>
                <c:pt idx="4">
                  <c:v>-7.3574630000000001</c:v>
                </c:pt>
                <c:pt idx="5">
                  <c:v>-7.6693420000000003</c:v>
                </c:pt>
                <c:pt idx="6">
                  <c:v>-8.4019600000000008</c:v>
                </c:pt>
                <c:pt idx="7">
                  <c:v>-8.8932500000000001</c:v>
                </c:pt>
                <c:pt idx="8">
                  <c:v>-9.6328689999999995</c:v>
                </c:pt>
                <c:pt idx="9">
                  <c:v>-11.10084</c:v>
                </c:pt>
              </c:numCache>
            </c:numRef>
          </c:val>
          <c:extLst>
            <c:ext xmlns:c16="http://schemas.microsoft.com/office/drawing/2014/chart" uri="{C3380CC4-5D6E-409C-BE32-E72D297353CC}">
              <c16:uniqueId val="{00000000-AED5-4287-A5A3-4BB34355249D}"/>
            </c:ext>
          </c:extLst>
        </c:ser>
        <c:ser>
          <c:idx val="4"/>
          <c:order val="1"/>
          <c:tx>
            <c:strRef>
              <c:f>Sheet1!$C$2</c:f>
              <c:strCache>
                <c:ptCount val="1"/>
                <c:pt idx="0">
                  <c:v>Direct Transfers</c:v>
                </c:pt>
              </c:strCache>
            </c:strRef>
          </c:tx>
          <c:spPr>
            <a:solidFill>
              <a:schemeClr val="accent5">
                <a:lumMod val="60000"/>
                <a:lumOff val="40000"/>
              </a:schemeClr>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Sheet1!$C$3:$C$12</c:f>
              <c:numCache>
                <c:formatCode>General</c:formatCode>
                <c:ptCount val="10"/>
                <c:pt idx="0">
                  <c:v>179.797</c:v>
                </c:pt>
                <c:pt idx="1">
                  <c:v>38.373539999999998</c:v>
                </c:pt>
                <c:pt idx="2">
                  <c:v>21.530740000000002</c:v>
                </c:pt>
                <c:pt idx="3">
                  <c:v>16.699839999999998</c:v>
                </c:pt>
                <c:pt idx="4">
                  <c:v>11.702719999999999</c:v>
                </c:pt>
                <c:pt idx="5">
                  <c:v>9.4648909999999997</c:v>
                </c:pt>
                <c:pt idx="6">
                  <c:v>8.0536379999999994</c:v>
                </c:pt>
                <c:pt idx="7">
                  <c:v>6.7666760000000004</c:v>
                </c:pt>
                <c:pt idx="8">
                  <c:v>6.1137370000000004</c:v>
                </c:pt>
                <c:pt idx="9">
                  <c:v>3.658776</c:v>
                </c:pt>
              </c:numCache>
            </c:numRef>
          </c:val>
          <c:extLst>
            <c:ext xmlns:c16="http://schemas.microsoft.com/office/drawing/2014/chart" uri="{C3380CC4-5D6E-409C-BE32-E72D297353CC}">
              <c16:uniqueId val="{00000001-AED5-4287-A5A3-4BB34355249D}"/>
            </c:ext>
          </c:extLst>
        </c:ser>
        <c:ser>
          <c:idx val="5"/>
          <c:order val="2"/>
          <c:tx>
            <c:strRef>
              <c:f>Sheet1!$D$2</c:f>
              <c:strCache>
                <c:ptCount val="1"/>
                <c:pt idx="0">
                  <c:v>Indirect Taxes</c:v>
                </c:pt>
              </c:strCache>
            </c:strRef>
          </c:tx>
          <c:spPr>
            <a:solidFill>
              <a:schemeClr val="accent6">
                <a:lumMod val="75000"/>
              </a:schemeClr>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Sheet1!$D$3:$D$12</c:f>
              <c:numCache>
                <c:formatCode>General</c:formatCode>
                <c:ptCount val="10"/>
                <c:pt idx="0">
                  <c:v>-28.011220000000002</c:v>
                </c:pt>
                <c:pt idx="1">
                  <c:v>-15.870279999999999</c:v>
                </c:pt>
                <c:pt idx="2">
                  <c:v>-14.50117</c:v>
                </c:pt>
                <c:pt idx="3">
                  <c:v>-14.06626</c:v>
                </c:pt>
                <c:pt idx="4">
                  <c:v>-13.926159999999999</c:v>
                </c:pt>
                <c:pt idx="5">
                  <c:v>-13.65305</c:v>
                </c:pt>
                <c:pt idx="6">
                  <c:v>-13.437049999999999</c:v>
                </c:pt>
                <c:pt idx="7">
                  <c:v>-13.78393</c:v>
                </c:pt>
                <c:pt idx="8">
                  <c:v>-13.72833</c:v>
                </c:pt>
                <c:pt idx="9">
                  <c:v>-12.90033</c:v>
                </c:pt>
              </c:numCache>
            </c:numRef>
          </c:val>
          <c:extLst>
            <c:ext xmlns:c16="http://schemas.microsoft.com/office/drawing/2014/chart" uri="{C3380CC4-5D6E-409C-BE32-E72D297353CC}">
              <c16:uniqueId val="{00000002-AED5-4287-A5A3-4BB34355249D}"/>
            </c:ext>
          </c:extLst>
        </c:ser>
        <c:ser>
          <c:idx val="6"/>
          <c:order val="3"/>
          <c:tx>
            <c:strRef>
              <c:f>Sheet1!$E$2</c:f>
              <c:strCache>
                <c:ptCount val="1"/>
                <c:pt idx="0">
                  <c:v>Indirect Subsidies</c:v>
                </c:pt>
              </c:strCache>
            </c:strRef>
          </c:tx>
          <c:spPr>
            <a:solidFill>
              <a:srgbClr val="FFFF00"/>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Sheet1!$E$3:$E$12</c:f>
              <c:numCache>
                <c:formatCode>General</c:formatCode>
                <c:ptCount val="10"/>
                <c:pt idx="0">
                  <c:v>5.8995790000000001</c:v>
                </c:pt>
                <c:pt idx="1">
                  <c:v>1.7719020000000001</c:v>
                </c:pt>
                <c:pt idx="2">
                  <c:v>1.1936</c:v>
                </c:pt>
                <c:pt idx="3">
                  <c:v>0.89408279999999996</c:v>
                </c:pt>
                <c:pt idx="4">
                  <c:v>0.72014029999999996</c:v>
                </c:pt>
                <c:pt idx="5">
                  <c:v>0.59674990000000006</c:v>
                </c:pt>
                <c:pt idx="6">
                  <c:v>0.4795468</c:v>
                </c:pt>
                <c:pt idx="7">
                  <c:v>0.41150920000000002</c:v>
                </c:pt>
                <c:pt idx="8">
                  <c:v>0.3223974</c:v>
                </c:pt>
                <c:pt idx="9">
                  <c:v>0.19470370000000001</c:v>
                </c:pt>
              </c:numCache>
            </c:numRef>
          </c:val>
          <c:extLst>
            <c:ext xmlns:c16="http://schemas.microsoft.com/office/drawing/2014/chart" uri="{C3380CC4-5D6E-409C-BE32-E72D297353CC}">
              <c16:uniqueId val="{00000003-AED5-4287-A5A3-4BB34355249D}"/>
            </c:ext>
          </c:extLst>
        </c:ser>
        <c:ser>
          <c:idx val="7"/>
          <c:order val="4"/>
          <c:tx>
            <c:strRef>
              <c:f>Sheet1!$F$2</c:f>
              <c:strCache>
                <c:ptCount val="1"/>
                <c:pt idx="0">
                  <c:v>In-kind health</c:v>
                </c:pt>
              </c:strCache>
            </c:strRef>
          </c:tx>
          <c:spPr>
            <a:solidFill>
              <a:srgbClr val="FFC000"/>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Sheet1!$F$3:$F$12</c:f>
              <c:numCache>
                <c:formatCode>General</c:formatCode>
                <c:ptCount val="10"/>
                <c:pt idx="0">
                  <c:v>28.772939999999998</c:v>
                </c:pt>
                <c:pt idx="1">
                  <c:v>11.566610000000001</c:v>
                </c:pt>
                <c:pt idx="2">
                  <c:v>8.7386769999999991</c:v>
                </c:pt>
                <c:pt idx="3">
                  <c:v>7.099907</c:v>
                </c:pt>
                <c:pt idx="4">
                  <c:v>5.9800079999999998</c:v>
                </c:pt>
                <c:pt idx="5">
                  <c:v>5.0572720000000002</c:v>
                </c:pt>
                <c:pt idx="6">
                  <c:v>4.1822949999999999</c:v>
                </c:pt>
                <c:pt idx="7">
                  <c:v>3.4456910000000001</c:v>
                </c:pt>
                <c:pt idx="8">
                  <c:v>2.623516</c:v>
                </c:pt>
                <c:pt idx="9">
                  <c:v>1.5081629999999999</c:v>
                </c:pt>
              </c:numCache>
            </c:numRef>
          </c:val>
          <c:extLst>
            <c:ext xmlns:c16="http://schemas.microsoft.com/office/drawing/2014/chart" uri="{C3380CC4-5D6E-409C-BE32-E72D297353CC}">
              <c16:uniqueId val="{00000004-AED5-4287-A5A3-4BB34355249D}"/>
            </c:ext>
          </c:extLst>
        </c:ser>
        <c:ser>
          <c:idx val="8"/>
          <c:order val="5"/>
          <c:tx>
            <c:strRef>
              <c:f>Sheet1!$G$2</c:f>
              <c:strCache>
                <c:ptCount val="1"/>
                <c:pt idx="0">
                  <c:v>In-kind education</c:v>
                </c:pt>
              </c:strCache>
            </c:strRef>
          </c:tx>
          <c:spPr>
            <a:solidFill>
              <a:srgbClr val="FF0000"/>
            </a:solidFill>
            <a:ln>
              <a:noFill/>
            </a:ln>
            <a:effectLst/>
          </c:spPr>
          <c:invertIfNegative val="0"/>
          <c:cat>
            <c:strRef>
              <c:f>Sheet1!$A$3:$A$12</c:f>
              <c:strCache>
                <c:ptCount val="10"/>
                <c:pt idx="0">
                  <c:v>Poorest</c:v>
                </c:pt>
                <c:pt idx="1">
                  <c:v>2</c:v>
                </c:pt>
                <c:pt idx="2">
                  <c:v>3</c:v>
                </c:pt>
                <c:pt idx="3">
                  <c:v>4</c:v>
                </c:pt>
                <c:pt idx="4">
                  <c:v>5</c:v>
                </c:pt>
                <c:pt idx="5">
                  <c:v>6</c:v>
                </c:pt>
                <c:pt idx="6">
                  <c:v>7</c:v>
                </c:pt>
                <c:pt idx="7">
                  <c:v>8</c:v>
                </c:pt>
                <c:pt idx="8">
                  <c:v>9</c:v>
                </c:pt>
                <c:pt idx="9">
                  <c:v>Richest</c:v>
                </c:pt>
              </c:strCache>
            </c:strRef>
          </c:cat>
          <c:val>
            <c:numRef>
              <c:f>Sheet1!$G$3:$G$12</c:f>
              <c:numCache>
                <c:formatCode>General</c:formatCode>
                <c:ptCount val="10"/>
                <c:pt idx="0">
                  <c:v>44.06324</c:v>
                </c:pt>
                <c:pt idx="1">
                  <c:v>17.07038</c:v>
                </c:pt>
                <c:pt idx="2">
                  <c:v>12.36138</c:v>
                </c:pt>
                <c:pt idx="3">
                  <c:v>10.37848</c:v>
                </c:pt>
                <c:pt idx="4">
                  <c:v>8.4128299999999996</c:v>
                </c:pt>
                <c:pt idx="5">
                  <c:v>6.8182369999999999</c:v>
                </c:pt>
                <c:pt idx="6">
                  <c:v>5.0727580000000003</c:v>
                </c:pt>
                <c:pt idx="7">
                  <c:v>4.3511790000000001</c:v>
                </c:pt>
                <c:pt idx="8">
                  <c:v>2.8609520000000002</c:v>
                </c:pt>
                <c:pt idx="9">
                  <c:v>1.7350760000000001</c:v>
                </c:pt>
              </c:numCache>
            </c:numRef>
          </c:val>
          <c:extLst>
            <c:ext xmlns:c16="http://schemas.microsoft.com/office/drawing/2014/chart" uri="{C3380CC4-5D6E-409C-BE32-E72D297353CC}">
              <c16:uniqueId val="{00000005-AED5-4287-A5A3-4BB34355249D}"/>
            </c:ext>
          </c:extLst>
        </c:ser>
        <c:dLbls>
          <c:showLegendKey val="0"/>
          <c:showVal val="0"/>
          <c:showCatName val="0"/>
          <c:showSerName val="0"/>
          <c:showPercent val="0"/>
          <c:showBubbleSize val="0"/>
        </c:dLbls>
        <c:gapWidth val="150"/>
        <c:overlap val="100"/>
        <c:axId val="1927840463"/>
        <c:axId val="1926497359"/>
      </c:barChart>
      <c:lineChart>
        <c:grouping val="standard"/>
        <c:varyColors val="0"/>
        <c:ser>
          <c:idx val="9"/>
          <c:order val="6"/>
          <c:tx>
            <c:strRef>
              <c:f>Sheet1!$H$2</c:f>
              <c:strCache>
                <c:ptCount val="1"/>
                <c:pt idx="0">
                  <c:v>Net Cash Benefit</c:v>
                </c:pt>
              </c:strCache>
            </c:strRef>
          </c:tx>
          <c:spPr>
            <a:ln w="28575" cap="rnd">
              <a:solidFill>
                <a:schemeClr val="accent2">
                  <a:lumMod val="75000"/>
                </a:schemeClr>
              </a:solidFill>
              <a:prstDash val="sysDash"/>
              <a:round/>
            </a:ln>
            <a:effectLst/>
          </c:spPr>
          <c:marker>
            <c:symbol val="none"/>
          </c:marker>
          <c:val>
            <c:numRef>
              <c:f>Sheet1!$H$3:$H$12</c:f>
              <c:numCache>
                <c:formatCode>General</c:formatCode>
                <c:ptCount val="10"/>
                <c:pt idx="0">
                  <c:v>154.916</c:v>
                </c:pt>
                <c:pt idx="1">
                  <c:v>18.652850000000001</c:v>
                </c:pt>
                <c:pt idx="2">
                  <c:v>0.9009085</c:v>
                </c:pt>
                <c:pt idx="3">
                  <c:v>-3.949802</c:v>
                </c:pt>
                <c:pt idx="4">
                  <c:v>-8.8607619999999994</c:v>
                </c:pt>
                <c:pt idx="5">
                  <c:v>-11.26075</c:v>
                </c:pt>
                <c:pt idx="6">
                  <c:v>-13.30583</c:v>
                </c:pt>
                <c:pt idx="7">
                  <c:v>-15.498989999999999</c:v>
                </c:pt>
                <c:pt idx="8">
                  <c:v>-16.925059999999998</c:v>
                </c:pt>
                <c:pt idx="9">
                  <c:v>-20.147680000000001</c:v>
                </c:pt>
              </c:numCache>
            </c:numRef>
          </c:val>
          <c:smooth val="0"/>
          <c:extLst>
            <c:ext xmlns:c16="http://schemas.microsoft.com/office/drawing/2014/chart" uri="{C3380CC4-5D6E-409C-BE32-E72D297353CC}">
              <c16:uniqueId val="{00000006-AED5-4287-A5A3-4BB34355249D}"/>
            </c:ext>
          </c:extLst>
        </c:ser>
        <c:ser>
          <c:idx val="0"/>
          <c:order val="7"/>
          <c:tx>
            <c:strRef>
              <c:f>Sheet1!$I$2</c:f>
              <c:strCache>
                <c:ptCount val="1"/>
                <c:pt idx="0">
                  <c:v>Total Net Benefit</c:v>
                </c:pt>
              </c:strCache>
            </c:strRef>
          </c:tx>
          <c:spPr>
            <a:ln w="28575" cap="rnd">
              <a:solidFill>
                <a:schemeClr val="tx1"/>
              </a:solidFill>
              <a:prstDash val="solid"/>
              <a:round/>
            </a:ln>
            <a:effectLst/>
          </c:spPr>
          <c:marker>
            <c:symbol val="none"/>
          </c:marker>
          <c:val>
            <c:numRef>
              <c:f>Sheet1!$I$3:$I$12</c:f>
              <c:numCache>
                <c:formatCode>General</c:formatCode>
                <c:ptCount val="10"/>
                <c:pt idx="0">
                  <c:v>227.75219999999999</c:v>
                </c:pt>
                <c:pt idx="1">
                  <c:v>47.289839999999998</c:v>
                </c:pt>
                <c:pt idx="2">
                  <c:v>22.000969999999999</c:v>
                </c:pt>
                <c:pt idx="3">
                  <c:v>13.52858</c:v>
                </c:pt>
                <c:pt idx="4">
                  <c:v>5.5320770000000001</c:v>
                </c:pt>
                <c:pt idx="5">
                  <c:v>0.61475829999999998</c:v>
                </c:pt>
                <c:pt idx="6">
                  <c:v>-4.0507739999999997</c:v>
                </c:pt>
                <c:pt idx="7">
                  <c:v>-7.7021259999999998</c:v>
                </c:pt>
                <c:pt idx="8">
                  <c:v>-11.44059</c:v>
                </c:pt>
                <c:pt idx="9">
                  <c:v>-16.904440000000001</c:v>
                </c:pt>
              </c:numCache>
            </c:numRef>
          </c:val>
          <c:smooth val="0"/>
          <c:extLst>
            <c:ext xmlns:c16="http://schemas.microsoft.com/office/drawing/2014/chart" uri="{C3380CC4-5D6E-409C-BE32-E72D297353CC}">
              <c16:uniqueId val="{00000007-AED5-4287-A5A3-4BB34355249D}"/>
            </c:ext>
          </c:extLst>
        </c:ser>
        <c:dLbls>
          <c:showLegendKey val="0"/>
          <c:showVal val="0"/>
          <c:showCatName val="0"/>
          <c:showSerName val="0"/>
          <c:showPercent val="0"/>
          <c:showBubbleSize val="0"/>
        </c:dLbls>
        <c:marker val="1"/>
        <c:smooth val="0"/>
        <c:axId val="1927840463"/>
        <c:axId val="1926497359"/>
      </c:lineChart>
      <c:catAx>
        <c:axId val="19278404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Decile of Per Adult Equivalent Market Income Plus Pensions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26497359"/>
        <c:crosses val="autoZero"/>
        <c:auto val="1"/>
        <c:lblAlgn val="ctr"/>
        <c:lblOffset val="100"/>
        <c:noMultiLvlLbl val="0"/>
      </c:catAx>
      <c:valAx>
        <c:axId val="19264973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27840463"/>
        <c:crosses val="autoZero"/>
        <c:crossBetween val="between"/>
      </c:valAx>
      <c:spPr>
        <a:noFill/>
        <a:ln>
          <a:noFill/>
        </a:ln>
        <a:effectLst/>
      </c:spPr>
    </c:plotArea>
    <c:legend>
      <c:legendPos val="b"/>
      <c:layout>
        <c:manualLayout>
          <c:xMode val="edge"/>
          <c:yMode val="edge"/>
          <c:x val="5.9643827847057011E-2"/>
          <c:y val="0.88738161250970393"/>
          <c:w val="0.90416626768707231"/>
          <c:h val="9.149162692691582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01205436137201E-2"/>
          <c:y val="5.6338028169014086E-2"/>
          <c:w val="0.84612474083826339"/>
          <c:h val="0.70811981408853986"/>
        </c:manualLayout>
      </c:layout>
      <c:lineChart>
        <c:grouping val="standard"/>
        <c:varyColors val="0"/>
        <c:ser>
          <c:idx val="0"/>
          <c:order val="0"/>
          <c:tx>
            <c:strRef>
              <c:f>Sheet1!$C$4</c:f>
              <c:strCache>
                <c:ptCount val="1"/>
                <c:pt idx="0">
                  <c:v>Gross market income</c:v>
                </c:pt>
              </c:strCache>
            </c:strRef>
          </c:tx>
          <c:spPr>
            <a:ln w="28575" cap="rnd">
              <a:solidFill>
                <a:schemeClr val="tx1"/>
              </a:solidFill>
              <a:round/>
            </a:ln>
            <a:effectLst/>
          </c:spPr>
          <c:marker>
            <c:symbol val="none"/>
          </c:marker>
          <c:cat>
            <c:numRef>
              <c:f>Sheet1!$B$5:$B$105</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Sheet1!$C$5:$C$105</c:f>
              <c:numCache>
                <c:formatCode>General</c:formatCode>
                <c:ptCount val="101"/>
                <c:pt idx="0">
                  <c:v>0</c:v>
                </c:pt>
                <c:pt idx="1">
                  <c:v>0.12919440403222712</c:v>
                </c:pt>
                <c:pt idx="2">
                  <c:v>0.31803497444738871</c:v>
                </c:pt>
                <c:pt idx="3">
                  <c:v>0.5454059474469406</c:v>
                </c:pt>
                <c:pt idx="4">
                  <c:v>0.79602265761084035</c:v>
                </c:pt>
                <c:pt idx="5">
                  <c:v>1.0742132787108183</c:v>
                </c:pt>
                <c:pt idx="6">
                  <c:v>1.3692301622065159</c:v>
                </c:pt>
                <c:pt idx="7">
                  <c:v>1.6763907310263191</c:v>
                </c:pt>
                <c:pt idx="8">
                  <c:v>2.0059560613798566</c:v>
                </c:pt>
                <c:pt idx="9">
                  <c:v>2.3445908438015857</c:v>
                </c:pt>
                <c:pt idx="10">
                  <c:v>2.6968647044179765</c:v>
                </c:pt>
                <c:pt idx="11">
                  <c:v>3.0687375579794831</c:v>
                </c:pt>
                <c:pt idx="12">
                  <c:v>3.4484097037340322</c:v>
                </c:pt>
                <c:pt idx="13">
                  <c:v>3.8381212847117698</c:v>
                </c:pt>
                <c:pt idx="14">
                  <c:v>4.2507878504552972</c:v>
                </c:pt>
                <c:pt idx="15">
                  <c:v>4.6670514236815794</c:v>
                </c:pt>
                <c:pt idx="16">
                  <c:v>5.092067256200342</c:v>
                </c:pt>
                <c:pt idx="17">
                  <c:v>5.5268177970463714</c:v>
                </c:pt>
                <c:pt idx="18">
                  <c:v>5.9675736367269572</c:v>
                </c:pt>
                <c:pt idx="19">
                  <c:v>6.4315827952372162</c:v>
                </c:pt>
                <c:pt idx="20">
                  <c:v>6.9031554591120665</c:v>
                </c:pt>
                <c:pt idx="21">
                  <c:v>7.3769696136018652</c:v>
                </c:pt>
                <c:pt idx="22">
                  <c:v>7.8609971774588523</c:v>
                </c:pt>
                <c:pt idx="23">
                  <c:v>8.3565688533903302</c:v>
                </c:pt>
                <c:pt idx="24">
                  <c:v>8.8700657999071755</c:v>
                </c:pt>
                <c:pt idx="25">
                  <c:v>9.3916200843656519</c:v>
                </c:pt>
                <c:pt idx="26">
                  <c:v>9.9144243154784917</c:v>
                </c:pt>
                <c:pt idx="27">
                  <c:v>10.449365623519823</c:v>
                </c:pt>
                <c:pt idx="28">
                  <c:v>10.990660564149616</c:v>
                </c:pt>
                <c:pt idx="29">
                  <c:v>11.550710443608718</c:v>
                </c:pt>
                <c:pt idx="30">
                  <c:v>12.11083439828883</c:v>
                </c:pt>
                <c:pt idx="31">
                  <c:v>12.673597217942936</c:v>
                </c:pt>
                <c:pt idx="32">
                  <c:v>13.267135853231929</c:v>
                </c:pt>
                <c:pt idx="33">
                  <c:v>13.858452152931122</c:v>
                </c:pt>
                <c:pt idx="34">
                  <c:v>14.456749951728717</c:v>
                </c:pt>
                <c:pt idx="35">
                  <c:v>15.074062055095672</c:v>
                </c:pt>
                <c:pt idx="36">
                  <c:v>15.694231022080924</c:v>
                </c:pt>
                <c:pt idx="37">
                  <c:v>16.317388543939046</c:v>
                </c:pt>
                <c:pt idx="38">
                  <c:v>16.955336291547741</c:v>
                </c:pt>
                <c:pt idx="39">
                  <c:v>17.590831733388086</c:v>
                </c:pt>
                <c:pt idx="40">
                  <c:v>18.259940249407482</c:v>
                </c:pt>
                <c:pt idx="41">
                  <c:v>18.923689635477356</c:v>
                </c:pt>
                <c:pt idx="42">
                  <c:v>19.597881322203403</c:v>
                </c:pt>
                <c:pt idx="43">
                  <c:v>20.289449214896411</c:v>
                </c:pt>
                <c:pt idx="44">
                  <c:v>20.98208479431808</c:v>
                </c:pt>
                <c:pt idx="45">
                  <c:v>21.692531562796056</c:v>
                </c:pt>
                <c:pt idx="46">
                  <c:v>22.409682131056581</c:v>
                </c:pt>
                <c:pt idx="47">
                  <c:v>23.137484721054026</c:v>
                </c:pt>
                <c:pt idx="48">
                  <c:v>23.874048260397483</c:v>
                </c:pt>
                <c:pt idx="49">
                  <c:v>24.628459385339944</c:v>
                </c:pt>
                <c:pt idx="50">
                  <c:v>25.38186808311163</c:v>
                </c:pt>
                <c:pt idx="51">
                  <c:v>26.154801512651883</c:v>
                </c:pt>
                <c:pt idx="52">
                  <c:v>26.94407626713727</c:v>
                </c:pt>
                <c:pt idx="53">
                  <c:v>27.742795197037012</c:v>
                </c:pt>
                <c:pt idx="54">
                  <c:v>28.550355185514508</c:v>
                </c:pt>
                <c:pt idx="55">
                  <c:v>29.360002844865384</c:v>
                </c:pt>
                <c:pt idx="56">
                  <c:v>30.21137821885252</c:v>
                </c:pt>
                <c:pt idx="57">
                  <c:v>31.064706309868072</c:v>
                </c:pt>
                <c:pt idx="58">
                  <c:v>31.932041538259163</c:v>
                </c:pt>
                <c:pt idx="59">
                  <c:v>32.811037731972988</c:v>
                </c:pt>
                <c:pt idx="60">
                  <c:v>33.70431027385937</c:v>
                </c:pt>
                <c:pt idx="61">
                  <c:v>34.61817616512505</c:v>
                </c:pt>
                <c:pt idx="62">
                  <c:v>35.535530762868163</c:v>
                </c:pt>
                <c:pt idx="63">
                  <c:v>36.479539131886149</c:v>
                </c:pt>
                <c:pt idx="64">
                  <c:v>37.437344023347421</c:v>
                </c:pt>
                <c:pt idx="65">
                  <c:v>38.414252182828328</c:v>
                </c:pt>
                <c:pt idx="66">
                  <c:v>39.398129471698425</c:v>
                </c:pt>
                <c:pt idx="67">
                  <c:v>40.40111087407351</c:v>
                </c:pt>
                <c:pt idx="68">
                  <c:v>41.435646323744187</c:v>
                </c:pt>
                <c:pt idx="69">
                  <c:v>42.474157368568989</c:v>
                </c:pt>
                <c:pt idx="70">
                  <c:v>43.547960217205414</c:v>
                </c:pt>
                <c:pt idx="71">
                  <c:v>44.630560860738264</c:v>
                </c:pt>
                <c:pt idx="72">
                  <c:v>45.74259225900083</c:v>
                </c:pt>
                <c:pt idx="73">
                  <c:v>46.857314669872352</c:v>
                </c:pt>
                <c:pt idx="74">
                  <c:v>48.023062541800982</c:v>
                </c:pt>
                <c:pt idx="75">
                  <c:v>49.19184759682669</c:v>
                </c:pt>
                <c:pt idx="76">
                  <c:v>50.386269715875976</c:v>
                </c:pt>
                <c:pt idx="77">
                  <c:v>51.612340490666355</c:v>
                </c:pt>
                <c:pt idx="78">
                  <c:v>52.866077444523377</c:v>
                </c:pt>
                <c:pt idx="79">
                  <c:v>54.155774973656953</c:v>
                </c:pt>
                <c:pt idx="80">
                  <c:v>55.465583173512115</c:v>
                </c:pt>
                <c:pt idx="81">
                  <c:v>56.813503720978041</c:v>
                </c:pt>
                <c:pt idx="82">
                  <c:v>58.209764751096962</c:v>
                </c:pt>
                <c:pt idx="83">
                  <c:v>59.650492381369666</c:v>
                </c:pt>
                <c:pt idx="84">
                  <c:v>61.141033774181849</c:v>
                </c:pt>
                <c:pt idx="85">
                  <c:v>62.652686426932512</c:v>
                </c:pt>
                <c:pt idx="86">
                  <c:v>64.255217571072123</c:v>
                </c:pt>
                <c:pt idx="87">
                  <c:v>65.875286321240296</c:v>
                </c:pt>
                <c:pt idx="88">
                  <c:v>67.5551901571706</c:v>
                </c:pt>
                <c:pt idx="89">
                  <c:v>69.332837914843807</c:v>
                </c:pt>
                <c:pt idx="90">
                  <c:v>71.14482320664564</c:v>
                </c:pt>
                <c:pt idx="91">
                  <c:v>73.061669641667223</c:v>
                </c:pt>
                <c:pt idx="92">
                  <c:v>75.045113023602909</c:v>
                </c:pt>
                <c:pt idx="93">
                  <c:v>77.14139968326262</c:v>
                </c:pt>
                <c:pt idx="94">
                  <c:v>79.377068424725849</c:v>
                </c:pt>
                <c:pt idx="95">
                  <c:v>81.691042710241447</c:v>
                </c:pt>
                <c:pt idx="96">
                  <c:v>84.303505566441459</c:v>
                </c:pt>
                <c:pt idx="97">
                  <c:v>87.066738277384687</c:v>
                </c:pt>
                <c:pt idx="98">
                  <c:v>90.18374398497447</c:v>
                </c:pt>
                <c:pt idx="99">
                  <c:v>93.922517682968703</c:v>
                </c:pt>
                <c:pt idx="100">
                  <c:v>100</c:v>
                </c:pt>
              </c:numCache>
            </c:numRef>
          </c:val>
          <c:smooth val="0"/>
          <c:extLst>
            <c:ext xmlns:c16="http://schemas.microsoft.com/office/drawing/2014/chart" uri="{C3380CC4-5D6E-409C-BE32-E72D297353CC}">
              <c16:uniqueId val="{00000000-EF99-496C-AA77-D9090E32425B}"/>
            </c:ext>
          </c:extLst>
        </c:ser>
        <c:ser>
          <c:idx val="1"/>
          <c:order val="1"/>
          <c:tx>
            <c:strRef>
              <c:f>Sheet1!$D$4</c:f>
              <c:strCache>
                <c:ptCount val="1"/>
                <c:pt idx="0">
                  <c:v>Marshall plan social contract</c:v>
                </c:pt>
              </c:strCache>
            </c:strRef>
          </c:tx>
          <c:spPr>
            <a:ln w="28575" cap="rnd">
              <a:solidFill>
                <a:schemeClr val="accent2">
                  <a:lumMod val="75000"/>
                </a:schemeClr>
              </a:solidFill>
              <a:round/>
            </a:ln>
            <a:effectLst/>
          </c:spPr>
          <c:marker>
            <c:symbol val="none"/>
          </c:marker>
          <c:cat>
            <c:numRef>
              <c:f>Sheet1!$B$5:$B$105</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Sheet1!$D$5:$D$105</c:f>
              <c:numCache>
                <c:formatCode>General</c:formatCode>
                <c:ptCount val="101"/>
                <c:pt idx="0">
                  <c:v>0</c:v>
                </c:pt>
                <c:pt idx="1">
                  <c:v>15.670495163945485</c:v>
                </c:pt>
                <c:pt idx="2">
                  <c:v>27.948607971902351</c:v>
                </c:pt>
                <c:pt idx="3">
                  <c:v>35.939277602215185</c:v>
                </c:pt>
                <c:pt idx="4">
                  <c:v>49.647332483994447</c:v>
                </c:pt>
                <c:pt idx="5">
                  <c:v>59.542664594287352</c:v>
                </c:pt>
                <c:pt idx="6">
                  <c:v>61.961968336140529</c:v>
                </c:pt>
                <c:pt idx="7">
                  <c:v>68.070193734433843</c:v>
                </c:pt>
                <c:pt idx="8">
                  <c:v>73.082481436443203</c:v>
                </c:pt>
                <c:pt idx="9">
                  <c:v>78.309556154466009</c:v>
                </c:pt>
                <c:pt idx="10">
                  <c:v>81.719268067006624</c:v>
                </c:pt>
                <c:pt idx="11">
                  <c:v>84.424274316354698</c:v>
                </c:pt>
                <c:pt idx="12">
                  <c:v>84.696277549055111</c:v>
                </c:pt>
                <c:pt idx="13">
                  <c:v>86.877825832986417</c:v>
                </c:pt>
                <c:pt idx="14">
                  <c:v>89.010640079420753</c:v>
                </c:pt>
                <c:pt idx="15">
                  <c:v>90.596085384160247</c:v>
                </c:pt>
                <c:pt idx="16">
                  <c:v>90.810136454398574</c:v>
                </c:pt>
                <c:pt idx="17">
                  <c:v>90.855139718517066</c:v>
                </c:pt>
                <c:pt idx="18">
                  <c:v>90.855139718517066</c:v>
                </c:pt>
                <c:pt idx="19">
                  <c:v>93.06555260026235</c:v>
                </c:pt>
                <c:pt idx="20">
                  <c:v>93.784210083137481</c:v>
                </c:pt>
                <c:pt idx="21">
                  <c:v>94.177469874976282</c:v>
                </c:pt>
                <c:pt idx="22">
                  <c:v>94.661549351838772</c:v>
                </c:pt>
                <c:pt idx="23">
                  <c:v>95.005168826743102</c:v>
                </c:pt>
                <c:pt idx="24">
                  <c:v>95.005168826743102</c:v>
                </c:pt>
                <c:pt idx="25">
                  <c:v>96.107914460751047</c:v>
                </c:pt>
                <c:pt idx="26">
                  <c:v>96.107914460751047</c:v>
                </c:pt>
                <c:pt idx="27">
                  <c:v>96.858989855249348</c:v>
                </c:pt>
                <c:pt idx="28">
                  <c:v>98.262592155624034</c:v>
                </c:pt>
                <c:pt idx="29">
                  <c:v>98.350144345713829</c:v>
                </c:pt>
                <c:pt idx="30">
                  <c:v>99.247085958453724</c:v>
                </c:pt>
                <c:pt idx="31">
                  <c:v>99.247085958453724</c:v>
                </c:pt>
                <c:pt idx="32">
                  <c:v>99.298446352105572</c:v>
                </c:pt>
                <c:pt idx="33">
                  <c:v>99.298446352105572</c:v>
                </c:pt>
                <c:pt idx="34">
                  <c:v>99.298446352105572</c:v>
                </c:pt>
                <c:pt idx="35">
                  <c:v>99.623541829613032</c:v>
                </c:pt>
                <c:pt idx="36">
                  <c:v>99.623541829613032</c:v>
                </c:pt>
                <c:pt idx="37">
                  <c:v>99.675630246740013</c:v>
                </c:pt>
                <c:pt idx="38">
                  <c:v>99.675630246740013</c:v>
                </c:pt>
                <c:pt idx="39">
                  <c:v>99.675630246740013</c:v>
                </c:pt>
                <c:pt idx="40">
                  <c:v>99.675630246740013</c:v>
                </c:pt>
                <c:pt idx="41">
                  <c:v>99.675630246740013</c:v>
                </c:pt>
                <c:pt idx="42">
                  <c:v>99.675630246740013</c:v>
                </c:pt>
                <c:pt idx="43">
                  <c:v>99.675630246740013</c:v>
                </c:pt>
                <c:pt idx="44">
                  <c:v>99.675630246740013</c:v>
                </c:pt>
                <c:pt idx="45">
                  <c:v>99.675630246740013</c:v>
                </c:pt>
                <c:pt idx="46">
                  <c:v>99.675630246740013</c:v>
                </c:pt>
                <c:pt idx="47">
                  <c:v>99.675630246740013</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numCache>
            </c:numRef>
          </c:val>
          <c:smooth val="0"/>
          <c:extLst>
            <c:ext xmlns:c16="http://schemas.microsoft.com/office/drawing/2014/chart" uri="{C3380CC4-5D6E-409C-BE32-E72D297353CC}">
              <c16:uniqueId val="{00000001-EF99-496C-AA77-D9090E32425B}"/>
            </c:ext>
          </c:extLst>
        </c:ser>
        <c:ser>
          <c:idx val="2"/>
          <c:order val="2"/>
          <c:tx>
            <c:strRef>
              <c:f>Sheet1!$E$4</c:f>
              <c:strCache>
                <c:ptCount val="1"/>
                <c:pt idx="0">
                  <c:v>Negative income tax</c:v>
                </c:pt>
              </c:strCache>
            </c:strRef>
          </c:tx>
          <c:spPr>
            <a:ln w="28575" cap="rnd">
              <a:solidFill>
                <a:srgbClr val="00B050"/>
              </a:solidFill>
              <a:round/>
            </a:ln>
            <a:effectLst/>
          </c:spPr>
          <c:marker>
            <c:symbol val="none"/>
          </c:marker>
          <c:cat>
            <c:numRef>
              <c:f>Sheet1!$B$5:$B$105</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Sheet1!$E$5:$E$105</c:f>
              <c:numCache>
                <c:formatCode>General</c:formatCode>
                <c:ptCount val="101"/>
                <c:pt idx="0">
                  <c:v>0</c:v>
                </c:pt>
                <c:pt idx="1">
                  <c:v>0.68055247878072744</c:v>
                </c:pt>
                <c:pt idx="2">
                  <c:v>1.0357683171599246</c:v>
                </c:pt>
                <c:pt idx="3">
                  <c:v>1.4528219271934457</c:v>
                </c:pt>
                <c:pt idx="4">
                  <c:v>2.0360519352500579</c:v>
                </c:pt>
                <c:pt idx="5">
                  <c:v>2.7027452569483579</c:v>
                </c:pt>
                <c:pt idx="6">
                  <c:v>3.6218563854922983</c:v>
                </c:pt>
                <c:pt idx="7">
                  <c:v>4.3873822995575136</c:v>
                </c:pt>
                <c:pt idx="8">
                  <c:v>5.1152449594944747</c:v>
                </c:pt>
                <c:pt idx="9">
                  <c:v>6.4676728538370032</c:v>
                </c:pt>
                <c:pt idx="10">
                  <c:v>7.8671510479403466</c:v>
                </c:pt>
                <c:pt idx="11">
                  <c:v>9.5230451179776221</c:v>
                </c:pt>
                <c:pt idx="12">
                  <c:v>10.092258658515144</c:v>
                </c:pt>
                <c:pt idx="13">
                  <c:v>11.389148417970119</c:v>
                </c:pt>
                <c:pt idx="14">
                  <c:v>12.552587026679477</c:v>
                </c:pt>
                <c:pt idx="15">
                  <c:v>14.72260895422804</c:v>
                </c:pt>
                <c:pt idx="16">
                  <c:v>15.517389695834339</c:v>
                </c:pt>
                <c:pt idx="17">
                  <c:v>16.403619743623199</c:v>
                </c:pt>
                <c:pt idx="18">
                  <c:v>17.875349966490603</c:v>
                </c:pt>
                <c:pt idx="19">
                  <c:v>19.0211032831719</c:v>
                </c:pt>
                <c:pt idx="20">
                  <c:v>20.350589897523459</c:v>
                </c:pt>
                <c:pt idx="21">
                  <c:v>21.819768836942089</c:v>
                </c:pt>
                <c:pt idx="22">
                  <c:v>22.664847835152411</c:v>
                </c:pt>
                <c:pt idx="23">
                  <c:v>24.018923950703403</c:v>
                </c:pt>
                <c:pt idx="24">
                  <c:v>25.363202900019576</c:v>
                </c:pt>
                <c:pt idx="25">
                  <c:v>27.345116722584272</c:v>
                </c:pt>
                <c:pt idx="26">
                  <c:v>28.816631194312652</c:v>
                </c:pt>
                <c:pt idx="27">
                  <c:v>30.020482101675665</c:v>
                </c:pt>
                <c:pt idx="28">
                  <c:v>30.906610534746186</c:v>
                </c:pt>
                <c:pt idx="29">
                  <c:v>32.389575275352087</c:v>
                </c:pt>
                <c:pt idx="30">
                  <c:v>33.887409348436684</c:v>
                </c:pt>
                <c:pt idx="31">
                  <c:v>35.552925240913162</c:v>
                </c:pt>
                <c:pt idx="32">
                  <c:v>37.749705504845046</c:v>
                </c:pt>
                <c:pt idx="33">
                  <c:v>39.356243247041753</c:v>
                </c:pt>
                <c:pt idx="34">
                  <c:v>40.222903871813301</c:v>
                </c:pt>
                <c:pt idx="35">
                  <c:v>41.296025901003098</c:v>
                </c:pt>
                <c:pt idx="36">
                  <c:v>42.691502144107375</c:v>
                </c:pt>
                <c:pt idx="37">
                  <c:v>43.704066431217875</c:v>
                </c:pt>
                <c:pt idx="38">
                  <c:v>45.173331570946111</c:v>
                </c:pt>
                <c:pt idx="39">
                  <c:v>46.274237151332812</c:v>
                </c:pt>
                <c:pt idx="40">
                  <c:v>47.465101175401642</c:v>
                </c:pt>
                <c:pt idx="41">
                  <c:v>49.283418668548109</c:v>
                </c:pt>
                <c:pt idx="42">
                  <c:v>50.920259954663507</c:v>
                </c:pt>
                <c:pt idx="43">
                  <c:v>52.442879261534124</c:v>
                </c:pt>
                <c:pt idx="44">
                  <c:v>55.165746049687456</c:v>
                </c:pt>
                <c:pt idx="45">
                  <c:v>56.544876676051203</c:v>
                </c:pt>
                <c:pt idx="46">
                  <c:v>57.848257328454785</c:v>
                </c:pt>
                <c:pt idx="47">
                  <c:v>59.195074257834179</c:v>
                </c:pt>
                <c:pt idx="48">
                  <c:v>61.915380282721109</c:v>
                </c:pt>
                <c:pt idx="49">
                  <c:v>62.911517548162479</c:v>
                </c:pt>
                <c:pt idx="50">
                  <c:v>64.100519010477441</c:v>
                </c:pt>
                <c:pt idx="51">
                  <c:v>65.231301067244061</c:v>
                </c:pt>
                <c:pt idx="52">
                  <c:v>66.503894623043621</c:v>
                </c:pt>
                <c:pt idx="53">
                  <c:v>67.615965428005509</c:v>
                </c:pt>
                <c:pt idx="54">
                  <c:v>68.996822992918069</c:v>
                </c:pt>
                <c:pt idx="55">
                  <c:v>70.237703707893104</c:v>
                </c:pt>
                <c:pt idx="56">
                  <c:v>71.270298143681217</c:v>
                </c:pt>
                <c:pt idx="57">
                  <c:v>72.678944569119352</c:v>
                </c:pt>
                <c:pt idx="58">
                  <c:v>73.787563397890366</c:v>
                </c:pt>
                <c:pt idx="59">
                  <c:v>74.71318841275442</c:v>
                </c:pt>
                <c:pt idx="60">
                  <c:v>76.020209942909162</c:v>
                </c:pt>
                <c:pt idx="61">
                  <c:v>77.263035299915316</c:v>
                </c:pt>
                <c:pt idx="62">
                  <c:v>78.753125183918655</c:v>
                </c:pt>
                <c:pt idx="63">
                  <c:v>79.260590556443304</c:v>
                </c:pt>
                <c:pt idx="64">
                  <c:v>80.495808157334466</c:v>
                </c:pt>
                <c:pt idx="65">
                  <c:v>82.319163873086381</c:v>
                </c:pt>
                <c:pt idx="66">
                  <c:v>84.101969020341343</c:v>
                </c:pt>
                <c:pt idx="67">
                  <c:v>85.133413331494964</c:v>
                </c:pt>
                <c:pt idx="68">
                  <c:v>86.417620983535841</c:v>
                </c:pt>
                <c:pt idx="69">
                  <c:v>87.681068445369974</c:v>
                </c:pt>
                <c:pt idx="70">
                  <c:v>88.238619316109308</c:v>
                </c:pt>
                <c:pt idx="71">
                  <c:v>88.732966260012901</c:v>
                </c:pt>
                <c:pt idx="72">
                  <c:v>89.737060703320111</c:v>
                </c:pt>
                <c:pt idx="73">
                  <c:v>90.2942481468002</c:v>
                </c:pt>
                <c:pt idx="74">
                  <c:v>91.033321449423994</c:v>
                </c:pt>
                <c:pt idx="75">
                  <c:v>92.30894822461957</c:v>
                </c:pt>
                <c:pt idx="76">
                  <c:v>93.131988719517679</c:v>
                </c:pt>
                <c:pt idx="77">
                  <c:v>94.172169386505317</c:v>
                </c:pt>
                <c:pt idx="78">
                  <c:v>94.242159305144256</c:v>
                </c:pt>
                <c:pt idx="79">
                  <c:v>94.785286444258261</c:v>
                </c:pt>
                <c:pt idx="80">
                  <c:v>95.414785796868614</c:v>
                </c:pt>
                <c:pt idx="81">
                  <c:v>96.008991192187949</c:v>
                </c:pt>
                <c:pt idx="82">
                  <c:v>96.666472063768111</c:v>
                </c:pt>
                <c:pt idx="83">
                  <c:v>97.404289028981481</c:v>
                </c:pt>
                <c:pt idx="84">
                  <c:v>97.720214845054912</c:v>
                </c:pt>
                <c:pt idx="85">
                  <c:v>98.002956686229908</c:v>
                </c:pt>
                <c:pt idx="86">
                  <c:v>98.114694443148551</c:v>
                </c:pt>
                <c:pt idx="87">
                  <c:v>98.372379909357861</c:v>
                </c:pt>
                <c:pt idx="88">
                  <c:v>98.684404283046007</c:v>
                </c:pt>
                <c:pt idx="89">
                  <c:v>98.992339504000654</c:v>
                </c:pt>
                <c:pt idx="90">
                  <c:v>99.278366238786091</c:v>
                </c:pt>
                <c:pt idx="91">
                  <c:v>99.312859507264989</c:v>
                </c:pt>
                <c:pt idx="92">
                  <c:v>99.644246148845838</c:v>
                </c:pt>
                <c:pt idx="93">
                  <c:v>99.644246148845838</c:v>
                </c:pt>
                <c:pt idx="94">
                  <c:v>99.75634613695739</c:v>
                </c:pt>
                <c:pt idx="95">
                  <c:v>99.75634613695739</c:v>
                </c:pt>
                <c:pt idx="96">
                  <c:v>99.838032484278045</c:v>
                </c:pt>
                <c:pt idx="97">
                  <c:v>99.838032484278045</c:v>
                </c:pt>
                <c:pt idx="98">
                  <c:v>100</c:v>
                </c:pt>
                <c:pt idx="99">
                  <c:v>100</c:v>
                </c:pt>
                <c:pt idx="100">
                  <c:v>100</c:v>
                </c:pt>
              </c:numCache>
            </c:numRef>
          </c:val>
          <c:smooth val="0"/>
          <c:extLst>
            <c:ext xmlns:c16="http://schemas.microsoft.com/office/drawing/2014/chart" uri="{C3380CC4-5D6E-409C-BE32-E72D297353CC}">
              <c16:uniqueId val="{00000002-EF99-496C-AA77-D9090E32425B}"/>
            </c:ext>
          </c:extLst>
        </c:ser>
        <c:ser>
          <c:idx val="3"/>
          <c:order val="3"/>
          <c:tx>
            <c:strRef>
              <c:f>Sheet1!$F$4</c:f>
              <c:strCache>
                <c:ptCount val="1"/>
                <c:pt idx="0">
                  <c:v>Disposable income</c:v>
                </c:pt>
              </c:strCache>
            </c:strRef>
          </c:tx>
          <c:spPr>
            <a:ln w="28575" cap="rnd">
              <a:solidFill>
                <a:schemeClr val="accent4"/>
              </a:solidFill>
              <a:round/>
            </a:ln>
            <a:effectLst/>
          </c:spPr>
          <c:marker>
            <c:symbol val="none"/>
          </c:marker>
          <c:cat>
            <c:numRef>
              <c:f>Sheet1!$B$5:$B$105</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Sheet1!$F$5:$F$105</c:f>
              <c:numCache>
                <c:formatCode>General</c:formatCode>
                <c:ptCount val="101"/>
                <c:pt idx="0">
                  <c:v>0</c:v>
                </c:pt>
                <c:pt idx="1">
                  <c:v>0.15220191151144044</c:v>
                </c:pt>
                <c:pt idx="2">
                  <c:v>0.36018436924853259</c:v>
                </c:pt>
                <c:pt idx="3">
                  <c:v>0.60218384417827442</c:v>
                </c:pt>
                <c:pt idx="4">
                  <c:v>0.87524321863543109</c:v>
                </c:pt>
                <c:pt idx="5">
                  <c:v>1.171809144273974</c:v>
                </c:pt>
                <c:pt idx="6">
                  <c:v>1.4767797055702661</c:v>
                </c:pt>
                <c:pt idx="7">
                  <c:v>1.7983361135947487</c:v>
                </c:pt>
                <c:pt idx="8">
                  <c:v>2.141244319468417</c:v>
                </c:pt>
                <c:pt idx="9">
                  <c:v>2.4949614415727184</c:v>
                </c:pt>
                <c:pt idx="10">
                  <c:v>2.8604026963747056</c:v>
                </c:pt>
                <c:pt idx="11">
                  <c:v>3.2454471742264022</c:v>
                </c:pt>
                <c:pt idx="12">
                  <c:v>3.6331202204700208</c:v>
                </c:pt>
                <c:pt idx="13">
                  <c:v>4.0349014657181561</c:v>
                </c:pt>
                <c:pt idx="14">
                  <c:v>4.4596861891472406</c:v>
                </c:pt>
                <c:pt idx="15">
                  <c:v>4.8895792598217707</c:v>
                </c:pt>
                <c:pt idx="16">
                  <c:v>5.3237726892389627</c:v>
                </c:pt>
                <c:pt idx="17">
                  <c:v>5.767850765967645</c:v>
                </c:pt>
                <c:pt idx="18">
                  <c:v>6.219217778914703</c:v>
                </c:pt>
                <c:pt idx="19">
                  <c:v>6.6962775046817917</c:v>
                </c:pt>
                <c:pt idx="20">
                  <c:v>7.1795736618628645</c:v>
                </c:pt>
                <c:pt idx="21">
                  <c:v>7.6650423731074877</c:v>
                </c:pt>
                <c:pt idx="22">
                  <c:v>8.1596919756936099</c:v>
                </c:pt>
                <c:pt idx="23">
                  <c:v>8.6669839661018564</c:v>
                </c:pt>
                <c:pt idx="24">
                  <c:v>9.1920608605694483</c:v>
                </c:pt>
                <c:pt idx="25">
                  <c:v>9.7280425746851851</c:v>
                </c:pt>
                <c:pt idx="26">
                  <c:v>10.262853989792479</c:v>
                </c:pt>
                <c:pt idx="27">
                  <c:v>10.810371950647573</c:v>
                </c:pt>
                <c:pt idx="28">
                  <c:v>11.364486997152859</c:v>
                </c:pt>
                <c:pt idx="29">
                  <c:v>11.937310397496745</c:v>
                </c:pt>
                <c:pt idx="30">
                  <c:v>12.5112410639074</c:v>
                </c:pt>
                <c:pt idx="31">
                  <c:v>13.087101052878412</c:v>
                </c:pt>
                <c:pt idx="32">
                  <c:v>13.695446617650362</c:v>
                </c:pt>
                <c:pt idx="33">
                  <c:v>14.30022145693435</c:v>
                </c:pt>
                <c:pt idx="34">
                  <c:v>14.909532798411378</c:v>
                </c:pt>
                <c:pt idx="35">
                  <c:v>15.540020733807964</c:v>
                </c:pt>
                <c:pt idx="36">
                  <c:v>16.173693375134953</c:v>
                </c:pt>
                <c:pt idx="37">
                  <c:v>16.809660797892175</c:v>
                </c:pt>
                <c:pt idx="38">
                  <c:v>17.460805377679293</c:v>
                </c:pt>
                <c:pt idx="39">
                  <c:v>18.109442972946241</c:v>
                </c:pt>
                <c:pt idx="40">
                  <c:v>18.792171533442055</c:v>
                </c:pt>
                <c:pt idx="41">
                  <c:v>19.471044324910043</c:v>
                </c:pt>
                <c:pt idx="42">
                  <c:v>20.160165247431891</c:v>
                </c:pt>
                <c:pt idx="43">
                  <c:v>20.86672065488014</c:v>
                </c:pt>
                <c:pt idx="44">
                  <c:v>21.57689783462077</c:v>
                </c:pt>
                <c:pt idx="45">
                  <c:v>22.302326045510945</c:v>
                </c:pt>
                <c:pt idx="46">
                  <c:v>23.034363132607528</c:v>
                </c:pt>
                <c:pt idx="47">
                  <c:v>23.776990335713567</c:v>
                </c:pt>
                <c:pt idx="48">
                  <c:v>24.532217482462237</c:v>
                </c:pt>
                <c:pt idx="49">
                  <c:v>25.301416439663548</c:v>
                </c:pt>
                <c:pt idx="50">
                  <c:v>26.070129218848415</c:v>
                </c:pt>
                <c:pt idx="51">
                  <c:v>26.858554469457037</c:v>
                </c:pt>
                <c:pt idx="52">
                  <c:v>27.663261966640064</c:v>
                </c:pt>
                <c:pt idx="53">
                  <c:v>28.477740219901769</c:v>
                </c:pt>
                <c:pt idx="54">
                  <c:v>29.301962394915314</c:v>
                </c:pt>
                <c:pt idx="55">
                  <c:v>30.127786889939191</c:v>
                </c:pt>
                <c:pt idx="56">
                  <c:v>30.995834363517549</c:v>
                </c:pt>
                <c:pt idx="57">
                  <c:v>31.865503163312876</c:v>
                </c:pt>
                <c:pt idx="58">
                  <c:v>32.748584186477245</c:v>
                </c:pt>
                <c:pt idx="59">
                  <c:v>33.642592426742965</c:v>
                </c:pt>
                <c:pt idx="60">
                  <c:v>34.551818436294027</c:v>
                </c:pt>
                <c:pt idx="61">
                  <c:v>35.482979990859548</c:v>
                </c:pt>
                <c:pt idx="62">
                  <c:v>36.417485106954977</c:v>
                </c:pt>
                <c:pt idx="63">
                  <c:v>37.376752963421993</c:v>
                </c:pt>
                <c:pt idx="64">
                  <c:v>38.350931883169764</c:v>
                </c:pt>
                <c:pt idx="65">
                  <c:v>39.345029809051994</c:v>
                </c:pt>
                <c:pt idx="66">
                  <c:v>40.347468513475725</c:v>
                </c:pt>
                <c:pt idx="67">
                  <c:v>41.365682681811649</c:v>
                </c:pt>
                <c:pt idx="68">
                  <c:v>42.417530346577109</c:v>
                </c:pt>
                <c:pt idx="69">
                  <c:v>43.473054687104629</c:v>
                </c:pt>
                <c:pt idx="70">
                  <c:v>44.561342588630346</c:v>
                </c:pt>
                <c:pt idx="71">
                  <c:v>45.65719432392612</c:v>
                </c:pt>
                <c:pt idx="72">
                  <c:v>46.786298328515251</c:v>
                </c:pt>
                <c:pt idx="73">
                  <c:v>47.914843066181973</c:v>
                </c:pt>
                <c:pt idx="74">
                  <c:v>49.093381418938101</c:v>
                </c:pt>
                <c:pt idx="75">
                  <c:v>50.275747470933361</c:v>
                </c:pt>
                <c:pt idx="76">
                  <c:v>51.479833892585845</c:v>
                </c:pt>
                <c:pt idx="77">
                  <c:v>52.719020099493733</c:v>
                </c:pt>
                <c:pt idx="78">
                  <c:v>53.982018684499565</c:v>
                </c:pt>
                <c:pt idx="79">
                  <c:v>55.282545567729315</c:v>
                </c:pt>
                <c:pt idx="80">
                  <c:v>56.600404022180385</c:v>
                </c:pt>
                <c:pt idx="81">
                  <c:v>57.953627355383254</c:v>
                </c:pt>
                <c:pt idx="82">
                  <c:v>59.349946477118287</c:v>
                </c:pt>
                <c:pt idx="83">
                  <c:v>60.792475792203895</c:v>
                </c:pt>
                <c:pt idx="84">
                  <c:v>62.283893683222537</c:v>
                </c:pt>
                <c:pt idx="85">
                  <c:v>63.788469213086699</c:v>
                </c:pt>
                <c:pt idx="86">
                  <c:v>65.390875535916962</c:v>
                </c:pt>
                <c:pt idx="87">
                  <c:v>66.999869013583819</c:v>
                </c:pt>
                <c:pt idx="88">
                  <c:v>68.670301903341084</c:v>
                </c:pt>
                <c:pt idx="89">
                  <c:v>70.437434583367221</c:v>
                </c:pt>
                <c:pt idx="90">
                  <c:v>72.224095595978127</c:v>
                </c:pt>
                <c:pt idx="91">
                  <c:v>74.107455437073838</c:v>
                </c:pt>
                <c:pt idx="92">
                  <c:v>76.052249427504933</c:v>
                </c:pt>
                <c:pt idx="93">
                  <c:v>78.122720996082379</c:v>
                </c:pt>
                <c:pt idx="94">
                  <c:v>80.31336511124222</c:v>
                </c:pt>
                <c:pt idx="95">
                  <c:v>82.578455056752105</c:v>
                </c:pt>
                <c:pt idx="96">
                  <c:v>85.122882298126882</c:v>
                </c:pt>
                <c:pt idx="97">
                  <c:v>87.789172849356646</c:v>
                </c:pt>
                <c:pt idx="98">
                  <c:v>90.7948986181583</c:v>
                </c:pt>
                <c:pt idx="99">
                  <c:v>94.355612296070106</c:v>
                </c:pt>
                <c:pt idx="100">
                  <c:v>100</c:v>
                </c:pt>
              </c:numCache>
            </c:numRef>
          </c:val>
          <c:smooth val="0"/>
          <c:extLst>
            <c:ext xmlns:c16="http://schemas.microsoft.com/office/drawing/2014/chart" uri="{C3380CC4-5D6E-409C-BE32-E72D297353CC}">
              <c16:uniqueId val="{00000003-EF99-496C-AA77-D9090E32425B}"/>
            </c:ext>
          </c:extLst>
        </c:ser>
        <c:ser>
          <c:idx val="4"/>
          <c:order val="4"/>
          <c:tx>
            <c:strRef>
              <c:f>Sheet1!$G$4</c:f>
              <c:strCache>
                <c:ptCount val="1"/>
                <c:pt idx="0">
                  <c:v>45-degree line</c:v>
                </c:pt>
              </c:strCache>
            </c:strRef>
          </c:tx>
          <c:spPr>
            <a:ln w="28575" cap="rnd">
              <a:solidFill>
                <a:schemeClr val="accent5"/>
              </a:solidFill>
              <a:prstDash val="sysDot"/>
              <a:round/>
            </a:ln>
            <a:effectLst/>
          </c:spPr>
          <c:marker>
            <c:symbol val="none"/>
          </c:marker>
          <c:val>
            <c:numRef>
              <c:f>Sheet1!$G$5:$G$105</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val>
          <c:smooth val="0"/>
          <c:extLst>
            <c:ext xmlns:c16="http://schemas.microsoft.com/office/drawing/2014/chart" uri="{C3380CC4-5D6E-409C-BE32-E72D297353CC}">
              <c16:uniqueId val="{00000004-EF99-496C-AA77-D9090E32425B}"/>
            </c:ext>
          </c:extLst>
        </c:ser>
        <c:dLbls>
          <c:showLegendKey val="0"/>
          <c:showVal val="0"/>
          <c:showCatName val="0"/>
          <c:showSerName val="0"/>
          <c:showPercent val="0"/>
          <c:showBubbleSize val="0"/>
        </c:dLbls>
        <c:smooth val="0"/>
        <c:axId val="786219903"/>
        <c:axId val="1148578863"/>
      </c:lineChart>
      <c:catAx>
        <c:axId val="78621990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Percentile</a:t>
                </a:r>
                <a:r>
                  <a:rPr lang="en-US" baseline="0"/>
                  <a:t> of pre-fiscal market income</a:t>
                </a:r>
                <a:endParaRPr lang="en-US"/>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48578863"/>
        <c:crosses val="autoZero"/>
        <c:auto val="1"/>
        <c:lblAlgn val="ctr"/>
        <c:lblOffset val="100"/>
        <c:tickLblSkip val="10"/>
        <c:tickMarkSkip val="10"/>
        <c:noMultiLvlLbl val="0"/>
      </c:catAx>
      <c:valAx>
        <c:axId val="1148578863"/>
        <c:scaling>
          <c:orientation val="minMax"/>
          <c:max val="10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Cumulative</a:t>
                </a:r>
                <a:r>
                  <a:rPr lang="en-US" baseline="0"/>
                  <a:t> share</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6219903"/>
        <c:crosses val="autoZero"/>
        <c:crossBetween val="between"/>
      </c:valAx>
      <c:spPr>
        <a:noFill/>
        <a:ln>
          <a:noFill/>
        </a:ln>
        <a:effectLst/>
      </c:spPr>
    </c:plotArea>
    <c:legend>
      <c:legendPos val="b"/>
      <c:layout>
        <c:manualLayout>
          <c:xMode val="edge"/>
          <c:yMode val="edge"/>
          <c:x val="3.9232925671525108E-2"/>
          <c:y val="0.90837105669089702"/>
          <c:w val="0.92367409057790606"/>
          <c:h val="9.162894330910302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Wor181</b:Tag>
    <b:SourceType>Report</b:SourceType>
    <b:Guid>{C7789B2D-AE8F-4C44-AA55-5ED3C132E2E5}</b:Guid>
    <b:Author>
      <b:Author>
        <b:Corporate>World Bank</b:Corporate>
      </b:Author>
      <b:BookAuthor>
        <b:NameList>
          <b:Person>
            <b:Last>Bank</b:Last>
            <b:First>The</b:First>
            <b:Middle>World</b:Middle>
          </b:Person>
        </b:NameList>
      </b:BookAuthor>
    </b:Author>
    <b:Title>Kenya Poverty and Gender Assessment</b:Title>
    <b:Year>2018b</b:Year>
    <b:City>Washington</b:City>
    <b:BookTitle>Kenya Poverty and Gender Assessment</b:BookTitle>
    <b:StateProvince>DC</b:StateProvince>
    <b:Publisher>The World Bank Group</b:Publisher>
    <b:RefOrder>1</b:RefOrder>
  </b:Source>
  <b:Source>
    <b:Tag>Bar171</b:Tag>
    <b:SourceType>JournalArticle</b:SourceType>
    <b:Guid>{E0157D97-65C1-405F-A5C8-434BD2397964}</b:Guid>
    <b:Author>
      <b:Author>
        <b:NameList>
          <b:Person>
            <b:Last>Barton</b:Last>
            <b:First>Nicholas</b:First>
          </b:Person>
          <b:Person>
            <b:Last>Bold</b:Last>
            <b:First>Tessa</b:First>
          </b:Person>
          <b:Person>
            <b:Last>Sandefur</b:Last>
            <b:First>Justin</b:First>
          </b:Person>
        </b:NameList>
      </b:Author>
    </b:Author>
    <b:Title>Measuring Rents from Public Employment: Regression Discontinuity Evidence from Kenya</b:Title>
    <b:JournalName>Center for Global Development Working Paper 457</b:JournalName>
    <b:Year>2017</b:Year>
    <b:Month>June</b:Month>
    <b:RefOrder>2</b:RefOrder>
  </b:Source>
  <b:Source>
    <b:Tag>Bol111</b:Tag>
    <b:SourceType>JournalArticle</b:SourceType>
    <b:Guid>{1B0AF1C5-D454-4E5E-9C31-EB2BB8E36A3A}</b:Guid>
    <b:Author>
      <b:Author>
        <b:NameList>
          <b:Person>
            <b:Last>Bold</b:Last>
            <b:First>Tessa</b:First>
          </b:Person>
          <b:Person>
            <b:Last>Kimenyi</b:Last>
            <b:First>Mwangi</b:First>
          </b:Person>
          <b:Person>
            <b:Last>Mwabu</b:Last>
            <b:First>Germano</b:First>
          </b:Person>
          <b:Person>
            <b:Last>Sandefur</b:Last>
            <b:First>Justin</b:First>
          </b:Person>
        </b:NameList>
      </b:Author>
    </b:Author>
    <b:Title>The High Returns to Private Schooling in a Low-Income Country</b:Title>
    <b:JournalName>Center for Global Development Working Paper 279</b:JournalName>
    <b:Year>2011</b:Year>
    <b:RefOrder>3</b:RefOrder>
  </b:Source>
  <b:Source>
    <b:Tag>Luc121</b:Tag>
    <b:SourceType>JournalArticle</b:SourceType>
    <b:Guid>{6EC4247D-529C-4952-B013-370DBAD9076F}</b:Guid>
    <b:Title>Access, Sorting, and Achievement: The Short-Run Effects of Free Primary Education in Kenya</b:Title>
    <b:Year>2012</b:Year>
    <b:Pages>226-253</b:Pages>
    <b:Author>
      <b:Author>
        <b:NameList>
          <b:Person>
            <b:Last>Lucas</b:Last>
            <b:First>Adrienne</b:First>
            <b:Middle>M.</b:Middle>
          </b:Person>
          <b:Person>
            <b:Last>Mbiti</b:Last>
            <b:First>Isaac</b:First>
            <b:Middle>M.</b:Middle>
          </b:Person>
        </b:NameList>
      </b:Author>
    </b:Author>
    <b:JournalName>American Economic Journal: Applied Economics</b:JournalName>
    <b:Volume>4</b:Volume>
    <b:Issue>4</b:Issue>
    <b:RefOrder>4</b:RefOrder>
  </b:Source>
  <b:Source>
    <b:Tag>Bol141</b:Tag>
    <b:SourceType>JournalArticle</b:SourceType>
    <b:Guid>{08BF0521-C88B-4ADB-A917-0518078B1666}</b:Guid>
    <b:Author>
      <b:Author>
        <b:NameList>
          <b:Person>
            <b:Last>Bold</b:Last>
            <b:First>Tessa</b:First>
          </b:Person>
          <b:Person>
            <b:Last>Kimenyi</b:Last>
            <b:First>Mwangi</b:First>
          </b:Person>
          <b:Person>
            <b:Last>Mwabu</b:Last>
            <b:First>Germano</b:First>
          </b:Person>
          <b:Person>
            <b:Last>Sandefur</b:Last>
            <b:First>Justin</b:First>
          </b:Person>
        </b:NameList>
      </b:Author>
    </b:Author>
    <b:Title>Can Free Provision Reduce Demand for Public Services? Evidence from Kenyan Education</b:Title>
    <b:JournalName>World Bank Economic Review</b:JournalName>
    <b:Year>2014</b:Year>
    <b:Pages>293-326</b:Pages>
    <b:Volume>29</b:Volume>
    <b:Issue>2</b:Issue>
    <b:RefOrder>5</b:RefOrder>
  </b:Source>
  <b:Source>
    <b:Tag>Coa041</b:Tag>
    <b:SourceType>JournalArticle</b:SourceType>
    <b:Guid>{BAB08DB3-559A-404B-93C6-A5E47C455BA4}</b:Guid>
    <b:Title>Targeting Outcomes Redux</b:Title>
    <b:Year>2004</b:Year>
    <b:Author>
      <b:Author>
        <b:NameList>
          <b:Person>
            <b:Last>Coady</b:Last>
            <b:First>David</b:First>
          </b:Person>
          <b:Person>
            <b:Last>Grosh</b:Last>
            <b:First>Margaret</b:First>
          </b:Person>
          <b:Person>
            <b:Last>Hoddinott</b:Last>
            <b:First>John</b:First>
          </b:Person>
        </b:NameList>
      </b:Author>
    </b:Author>
    <b:JournalName>World Bank Research Observer</b:JournalName>
    <b:Pages>61-85</b:Pages>
    <b:Volume>19</b:Volume>
    <b:RefOrder>6</b:RefOrder>
  </b:Source>
  <b:Source>
    <b:Tag>Fuc17</b:Tag>
    <b:SourceType>Report</b:SourceType>
    <b:Guid>{A055E627-95ED-4BD9-95DE-DEFA562C9B05}</b:Guid>
    <b:Author>
      <b:Author>
        <b:NameList>
          <b:Person>
            <b:Last>Fuchs</b:Last>
            <b:First>Alan</b:First>
          </b:Person>
          <b:Person>
            <b:Last>Meneses</b:Last>
            <b:First>Francisco</b:First>
          </b:Person>
        </b:NameList>
      </b:Author>
    </b:Author>
    <b:Title>Regressive or Progressive? The Effect of Tobacco Taxes in Ukraine</b:Title>
    <b:Year>2017a</b:Year>
    <b:Publisher>World Bank</b:Publisher>
    <b:City>Washington, DC</b:City>
    <b:RefOrder>7</b:RefOrder>
  </b:Source>
  <b:Source>
    <b:Tag>Fuc7b</b:Tag>
    <b:SourceType>Report</b:SourceType>
    <b:Guid>{A3BB0E58-7084-42A7-A21A-BC1FA90941F5}</b:Guid>
    <b:Author>
      <b:Author>
        <b:NameList>
          <b:Person>
            <b:Last>Fuchs</b:Last>
            <b:First>Alan</b:First>
          </b:Person>
          <b:Person>
            <b:Last>Meneses</b:Last>
            <b:First>Francisco</b:First>
          </b:Person>
        </b:NameList>
      </b:Author>
    </b:Author>
    <b:Title>Are Tobacco Taxes Really Regressive? Evidence from Chile</b:Title>
    <b:Year>2017b</b:Year>
    <b:Publisher>The World Bank</b:Publisher>
    <b:City>Washington DC</b:City>
    <b:RefOrder>8</b:RefOrder>
  </b:Source>
  <b:Source>
    <b:Tag>Fuc18</b:Tag>
    <b:SourceType>JournalArticle</b:SourceType>
    <b:Guid>{6233E084-17C3-4586-85F0-9AABBB594185}</b:Guid>
    <b:Title>Long-Run Impacts of Increasing Tobacco Taxes: Evidence from South Africa</b:Title>
    <b:Year>2018</b:Year>
    <b:Author>
      <b:Author>
        <b:NameList>
          <b:Person>
            <b:Last>Fuchs</b:Last>
            <b:First>Alan</b:First>
          </b:Person>
          <b:Person>
            <b:Last>Del Carmen</b:Last>
            <b:First>Giselle</b:First>
          </b:Person>
          <b:Person>
            <b:Last>Kechia Mukong</b:Last>
            <b:First>Alfred</b:First>
          </b:Person>
        </b:NameList>
      </b:Author>
    </b:Author>
    <b:JournalName>World Bank Policy Research Working Paper No. 8369</b:JournalName>
    <b:RefOrder>9</b:RefOrder>
  </b:Source>
  <b:Source>
    <b:Tag>Wor172</b:Tag>
    <b:SourceType>Report</b:SourceType>
    <b:Guid>{3DAE7B58-09E6-409F-9395-6A1BBE26491E}</b:Guid>
    <b:Author>
      <b:Author>
        <b:Corporate>World Bank</b:Corporate>
      </b:Author>
    </b:Author>
    <b:Title>Value Added Tax &amp; Corporate Income Tax: Summary of Findings and Recommendations</b:Title>
    <b:Year>2017</b:Year>
    <b:Publisher>The World Bank Group</b:Publisher>
    <b:City>Washington DC</b:City>
    <b:RefOrder>2</b:RefOrder>
  </b:Source>
  <b:Source>
    <b:Tag>Ken18</b:Tag>
    <b:SourceType>InternetSite</b:SourceType>
    <b:Guid>{4B355906-3515-42BB-9147-73935B37F6A0}</b:Guid>
    <b:Author>
      <b:Author>
        <b:Corporate>Kenya Revenue Authority</b:Corporate>
      </b:Author>
    </b:Author>
    <b:Title>Type of Taxes</b:Title>
    <b:Year>2018</b:Year>
    <b:YearAccessed>2018</b:YearAccessed>
    <b:MonthAccessed>April</b:MonthAccessed>
    <b:URL>http://www.kra.go.ke/index.php/domestic-taxes/income-tax/type-of-taxes</b:URL>
    <b:RefOrder>3</b:RefOrder>
  </b:Source>
  <b:Source>
    <b:Tag>KNB17</b:Tag>
    <b:SourceType>Report</b:SourceType>
    <b:Guid>{D472F89C-21F9-4AD1-ACD3-30DCB19348D1}</b:Guid>
    <b:Author>
      <b:Author>
        <b:Corporate>KNBS</b:Corporate>
      </b:Author>
    </b:Author>
    <b:Title>Economic Survey 2017</b:Title>
    <b:Year>2017</b:Year>
    <b:Publisher>Kenya National Bureau of Statistics</b:Publisher>
    <b:City>Nairobi</b:City>
    <b:RefOrder>4</b:RefOrder>
  </b:Source>
  <b:Source>
    <b:Tag>Kre031</b:Tag>
    <b:SourceType>JournalArticle</b:SourceType>
    <b:Guid>{FA7228EB-ED68-455D-A9A8-291DDC7B45BA}</b:Guid>
    <b:Author>
      <b:Author>
        <b:NameList>
          <b:Person>
            <b:Last>Kremer</b:Last>
            <b:First>Michael</b:First>
          </b:Person>
          <b:Person>
            <b:Last>Moulin</b:Last>
            <b:First>Sylvie</b:First>
          </b:Person>
          <b:Person>
            <b:Last>Namuyu</b:Last>
            <b:First>Robert</b:First>
          </b:Person>
        </b:NameList>
      </b:Author>
    </b:Author>
    <b:Title>Decentralization: A Cautionary Tale</b:Title>
    <b:JournalName>Poverty Actional Lab Paper No. 10</b:JournalName>
    <b:Year>2003</b:Year>
    <b:RefOrder>5</b:RefOrder>
  </b:Source>
  <b:Source>
    <b:Tag>Blo14</b:Tag>
    <b:SourceType>JournalArticle</b:SourceType>
    <b:Guid>{1A1B28F5-F879-4B89-A2C7-CB68D02AD4C4}</b:Guid>
    <b:Title>Higher Education and Economic Growth in Africa</b:Title>
    <b:Year>2014</b:Year>
    <b:Author>
      <b:Author>
        <b:NameList>
          <b:Person>
            <b:Last>Bloom</b:Last>
            <b:First>David</b:First>
            <b:Middle>E.</b:Middle>
          </b:Person>
          <b:Person>
            <b:Last>Canning</b:Last>
            <b:First>David</b:First>
          </b:Person>
          <b:Person>
            <b:Last>Chan</b:Last>
            <b:First>Kevin</b:First>
          </b:Person>
          <b:Person>
            <b:Last>Luca</b:Last>
            <b:First>Dara</b:First>
            <b:Middle>Lee</b:Middle>
          </b:Person>
        </b:NameList>
      </b:Author>
    </b:Author>
    <b:JournalName>International Journal of African Higher Education</b:JournalName>
    <b:Pages>22-57</b:Pages>
    <b:Volume>1</b:Volume>
    <b:Issue>1</b:Issue>
    <b:RefOrder>23</b:RefOrder>
  </b:Source>
</b:Sources>
</file>

<file path=customXml/itemProps1.xml><?xml version="1.0" encoding="utf-8"?>
<ds:datastoreItem xmlns:ds="http://schemas.openxmlformats.org/officeDocument/2006/customXml" ds:itemID="{50C22ECF-0B09-4FE1-B459-F57C849D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21181</Words>
  <Characters>120735</Characters>
  <Application>Microsoft Office Word</Application>
  <DocSecurity>4</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Ranzani</dc:creator>
  <cp:keywords/>
  <dc:description/>
  <cp:lastModifiedBy>Lina Janenaite</cp:lastModifiedBy>
  <cp:revision>2</cp:revision>
  <cp:lastPrinted>2019-06-07T21:01:00Z</cp:lastPrinted>
  <dcterms:created xsi:type="dcterms:W3CDTF">2019-06-27T17:03:00Z</dcterms:created>
  <dcterms:modified xsi:type="dcterms:W3CDTF">2019-06-27T17:03:00Z</dcterms:modified>
</cp:coreProperties>
</file>