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8.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0.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1.xml" ContentType="application/vnd.openxmlformats-officedocument.themeOverride+xml"/>
  <Override PartName="/word/charts/chart18.xml" ContentType="application/vnd.openxmlformats-officedocument.drawingml.chart+xml"/>
  <Override PartName="/word/theme/themeOverride12.xml" ContentType="application/vnd.openxmlformats-officedocument.themeOverride+xml"/>
  <Override PartName="/word/drawings/drawing1.xml" ContentType="application/vnd.openxmlformats-officedocument.drawingml.chartshapes+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3.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4.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396DF" w14:textId="77777777" w:rsidR="00911383" w:rsidRDefault="00911383" w:rsidP="00911383">
      <w:pPr>
        <w:pStyle w:val="Title"/>
        <w:jc w:val="center"/>
      </w:pPr>
    </w:p>
    <w:p w14:paraId="2A1F7B69" w14:textId="77777777" w:rsidR="00911383" w:rsidRDefault="00911383" w:rsidP="00911383">
      <w:pPr>
        <w:pStyle w:val="Title"/>
        <w:jc w:val="center"/>
      </w:pPr>
    </w:p>
    <w:p w14:paraId="47C64E64" w14:textId="77777777" w:rsidR="00911383" w:rsidRDefault="00911383" w:rsidP="00911383">
      <w:pPr>
        <w:pStyle w:val="Title"/>
        <w:jc w:val="center"/>
      </w:pPr>
    </w:p>
    <w:p w14:paraId="0BE0EC6A" w14:textId="69899ECF" w:rsidR="00911383" w:rsidRPr="00DA6458" w:rsidRDefault="000203F1" w:rsidP="00911383">
      <w:pPr>
        <w:pStyle w:val="Title"/>
        <w:jc w:val="center"/>
        <w:rPr>
          <w:b/>
          <w:color w:val="002060"/>
        </w:rPr>
      </w:pPr>
      <w:r w:rsidRPr="00DA6458">
        <w:rPr>
          <w:b/>
          <w:color w:val="002060"/>
        </w:rPr>
        <w:t>PHILIPPINES</w:t>
      </w:r>
      <w:r w:rsidR="000B6148" w:rsidRPr="00DA6458">
        <w:rPr>
          <w:b/>
          <w:color w:val="002060"/>
        </w:rPr>
        <w:t>:</w:t>
      </w:r>
    </w:p>
    <w:p w14:paraId="59F49554" w14:textId="042698AD" w:rsidR="00911383" w:rsidRPr="00DA6458" w:rsidRDefault="00911383" w:rsidP="00911383">
      <w:pPr>
        <w:pStyle w:val="Title"/>
        <w:jc w:val="center"/>
        <w:rPr>
          <w:b/>
          <w:color w:val="0070C0"/>
        </w:rPr>
      </w:pPr>
      <w:r w:rsidRPr="00DA6458">
        <w:rPr>
          <w:b/>
          <w:color w:val="0070C0"/>
        </w:rPr>
        <w:t xml:space="preserve">Assessing the Effectiveness of MSME </w:t>
      </w:r>
      <w:r w:rsidR="007D4103">
        <w:rPr>
          <w:b/>
          <w:color w:val="0070C0"/>
        </w:rPr>
        <w:t xml:space="preserve">and </w:t>
      </w:r>
      <w:r w:rsidR="007D4103" w:rsidRPr="00DA6458">
        <w:rPr>
          <w:b/>
          <w:color w:val="0070C0"/>
        </w:rPr>
        <w:t xml:space="preserve">Entrepreneurship </w:t>
      </w:r>
      <w:r w:rsidRPr="00DA6458">
        <w:rPr>
          <w:b/>
          <w:color w:val="0070C0"/>
        </w:rPr>
        <w:t xml:space="preserve">Support </w:t>
      </w:r>
    </w:p>
    <w:p w14:paraId="67075D8A" w14:textId="77777777" w:rsidR="00911383" w:rsidRDefault="00911383" w:rsidP="00911383">
      <w:pPr>
        <w:spacing w:after="0" w:line="276" w:lineRule="auto"/>
        <w:contextualSpacing/>
        <w:jc w:val="center"/>
        <w:rPr>
          <w:rFonts w:eastAsia="SimSun" w:cs="Times New Roman"/>
          <w:b/>
          <w:spacing w:val="-10"/>
          <w:kern w:val="28"/>
          <w:sz w:val="56"/>
          <w:szCs w:val="56"/>
        </w:rPr>
      </w:pPr>
    </w:p>
    <w:p w14:paraId="13392892" w14:textId="1E11DB1D" w:rsidR="00911383" w:rsidRDefault="00911383" w:rsidP="00911383">
      <w:pPr>
        <w:spacing w:after="0" w:line="240" w:lineRule="auto"/>
        <w:jc w:val="center"/>
        <w:rPr>
          <w:rFonts w:eastAsia="SimSun" w:cs="Times New Roman"/>
          <w:b/>
          <w:sz w:val="32"/>
          <w:szCs w:val="32"/>
        </w:rPr>
      </w:pPr>
    </w:p>
    <w:p w14:paraId="2E0FB9E2" w14:textId="2C5ADE7B" w:rsidR="00E87C8E" w:rsidRDefault="00E87C8E" w:rsidP="00911383">
      <w:pPr>
        <w:spacing w:after="0" w:line="240" w:lineRule="auto"/>
        <w:jc w:val="center"/>
        <w:rPr>
          <w:rFonts w:eastAsia="SimSun" w:cs="Times New Roman"/>
          <w:b/>
          <w:sz w:val="32"/>
          <w:szCs w:val="32"/>
        </w:rPr>
      </w:pPr>
    </w:p>
    <w:p w14:paraId="572AAD2C" w14:textId="77777777" w:rsidR="00E87C8E" w:rsidRDefault="00E87C8E" w:rsidP="00911383">
      <w:pPr>
        <w:spacing w:after="0" w:line="240" w:lineRule="auto"/>
        <w:jc w:val="center"/>
        <w:rPr>
          <w:rFonts w:eastAsia="SimSun" w:cs="Times New Roman"/>
          <w:b/>
          <w:sz w:val="32"/>
          <w:szCs w:val="32"/>
        </w:rPr>
      </w:pPr>
    </w:p>
    <w:p w14:paraId="12D62163" w14:textId="77777777" w:rsidR="00911383" w:rsidRDefault="00911383" w:rsidP="00911383">
      <w:pPr>
        <w:spacing w:after="0" w:line="240" w:lineRule="auto"/>
        <w:jc w:val="center"/>
        <w:rPr>
          <w:rFonts w:ascii="Cambria" w:eastAsia="SimSun" w:hAnsi="Cambria" w:cs="Times New Roman"/>
          <w:b/>
          <w:sz w:val="32"/>
          <w:szCs w:val="32"/>
        </w:rPr>
      </w:pPr>
    </w:p>
    <w:p w14:paraId="3BCB9D38" w14:textId="77777777" w:rsidR="00911383" w:rsidRDefault="00911383" w:rsidP="00911383">
      <w:pPr>
        <w:spacing w:after="0" w:line="240" w:lineRule="auto"/>
        <w:jc w:val="center"/>
        <w:rPr>
          <w:rFonts w:ascii="Cambria" w:eastAsia="SimSun" w:hAnsi="Cambria" w:cs="Times New Roman"/>
          <w:b/>
          <w:sz w:val="32"/>
          <w:szCs w:val="32"/>
        </w:rPr>
      </w:pPr>
    </w:p>
    <w:p w14:paraId="0D5B4769" w14:textId="77777777" w:rsidR="00911383" w:rsidRDefault="00911383" w:rsidP="00911383">
      <w:pPr>
        <w:spacing w:after="0" w:line="240" w:lineRule="auto"/>
        <w:jc w:val="center"/>
        <w:rPr>
          <w:rFonts w:ascii="Cambria" w:eastAsia="SimSun" w:hAnsi="Cambria" w:cs="Times New Roman"/>
          <w:b/>
          <w:sz w:val="32"/>
          <w:szCs w:val="32"/>
        </w:rPr>
      </w:pPr>
    </w:p>
    <w:p w14:paraId="01CF475D" w14:textId="77777777" w:rsidR="00911383" w:rsidRDefault="00911383" w:rsidP="00911383">
      <w:pPr>
        <w:spacing w:after="0" w:line="240" w:lineRule="auto"/>
        <w:jc w:val="center"/>
        <w:rPr>
          <w:rFonts w:ascii="Cambria" w:eastAsia="SimSun" w:hAnsi="Cambria" w:cs="Times New Roman"/>
          <w:b/>
          <w:sz w:val="32"/>
          <w:szCs w:val="32"/>
        </w:rPr>
      </w:pPr>
    </w:p>
    <w:p w14:paraId="07F16174" w14:textId="77777777" w:rsidR="00911383" w:rsidRDefault="00911383" w:rsidP="00911383">
      <w:pPr>
        <w:spacing w:after="0" w:line="240" w:lineRule="auto"/>
        <w:jc w:val="center"/>
        <w:rPr>
          <w:rFonts w:ascii="Cambria" w:eastAsia="SimSun" w:hAnsi="Cambria" w:cs="Times New Roman"/>
          <w:b/>
          <w:sz w:val="32"/>
          <w:szCs w:val="32"/>
        </w:rPr>
      </w:pPr>
    </w:p>
    <w:p w14:paraId="52344821" w14:textId="77777777" w:rsidR="00911383" w:rsidRDefault="00911383" w:rsidP="00911383">
      <w:pPr>
        <w:spacing w:after="0" w:line="240" w:lineRule="auto"/>
        <w:jc w:val="center"/>
        <w:rPr>
          <w:rFonts w:ascii="Cambria" w:eastAsia="SimSun" w:hAnsi="Cambria" w:cs="Times New Roman"/>
          <w:b/>
          <w:sz w:val="32"/>
          <w:szCs w:val="32"/>
        </w:rPr>
      </w:pPr>
    </w:p>
    <w:p w14:paraId="3ABFF22C" w14:textId="77777777" w:rsidR="00911383" w:rsidRDefault="00911383" w:rsidP="00911383">
      <w:pPr>
        <w:spacing w:after="0" w:line="240" w:lineRule="auto"/>
        <w:jc w:val="center"/>
        <w:rPr>
          <w:rFonts w:ascii="Cambria" w:eastAsia="SimSun" w:hAnsi="Cambria" w:cs="Times New Roman"/>
          <w:b/>
          <w:sz w:val="32"/>
          <w:szCs w:val="32"/>
        </w:rPr>
      </w:pPr>
    </w:p>
    <w:p w14:paraId="70BA4485" w14:textId="77777777" w:rsidR="00911383" w:rsidRDefault="00911383" w:rsidP="00911383">
      <w:pPr>
        <w:spacing w:after="0" w:line="240" w:lineRule="auto"/>
        <w:jc w:val="center"/>
        <w:rPr>
          <w:rFonts w:ascii="Cambria" w:eastAsia="SimSun" w:hAnsi="Cambria" w:cs="Times New Roman"/>
          <w:b/>
          <w:sz w:val="32"/>
          <w:szCs w:val="32"/>
        </w:rPr>
      </w:pPr>
    </w:p>
    <w:p w14:paraId="34E3878C" w14:textId="77777777" w:rsidR="00911383" w:rsidRDefault="00911383" w:rsidP="00911383">
      <w:pPr>
        <w:spacing w:after="0" w:line="240" w:lineRule="auto"/>
        <w:jc w:val="center"/>
        <w:rPr>
          <w:rFonts w:ascii="Cambria" w:eastAsia="SimSun" w:hAnsi="Cambria" w:cs="Times New Roman"/>
          <w:b/>
          <w:sz w:val="32"/>
          <w:szCs w:val="32"/>
        </w:rPr>
      </w:pPr>
    </w:p>
    <w:p w14:paraId="17D3C8A0" w14:textId="77777777" w:rsidR="00911383" w:rsidRDefault="00911383" w:rsidP="00911383">
      <w:pPr>
        <w:spacing w:after="0" w:line="240" w:lineRule="auto"/>
        <w:jc w:val="center"/>
        <w:rPr>
          <w:rFonts w:ascii="Cambria" w:eastAsia="SimSun" w:hAnsi="Cambria" w:cs="Times New Roman"/>
          <w:b/>
          <w:sz w:val="32"/>
          <w:szCs w:val="32"/>
        </w:rPr>
      </w:pPr>
    </w:p>
    <w:p w14:paraId="32C44F88" w14:textId="77777777" w:rsidR="00911383" w:rsidRDefault="00911383" w:rsidP="00911383">
      <w:pPr>
        <w:spacing w:after="0" w:line="240" w:lineRule="auto"/>
        <w:jc w:val="center"/>
        <w:rPr>
          <w:rFonts w:ascii="Cambria" w:eastAsia="SimSun" w:hAnsi="Cambria" w:cs="Times New Roman"/>
          <w:b/>
          <w:sz w:val="32"/>
          <w:szCs w:val="32"/>
        </w:rPr>
      </w:pPr>
    </w:p>
    <w:p w14:paraId="302BF118" w14:textId="77777777" w:rsidR="00911383" w:rsidRDefault="00911383" w:rsidP="00911383">
      <w:pPr>
        <w:spacing w:after="0" w:line="240" w:lineRule="auto"/>
        <w:jc w:val="center"/>
        <w:rPr>
          <w:rFonts w:ascii="Cambria" w:eastAsia="SimSun" w:hAnsi="Cambria" w:cs="Times New Roman"/>
          <w:b/>
          <w:sz w:val="32"/>
          <w:szCs w:val="32"/>
        </w:rPr>
      </w:pPr>
    </w:p>
    <w:p w14:paraId="20CCF3A5" w14:textId="77777777" w:rsidR="00911383" w:rsidRDefault="00911383" w:rsidP="00911383">
      <w:pPr>
        <w:spacing w:after="0" w:line="240" w:lineRule="auto"/>
        <w:jc w:val="center"/>
        <w:rPr>
          <w:rFonts w:ascii="Cambria" w:eastAsia="SimSun" w:hAnsi="Cambria" w:cs="Times New Roman"/>
          <w:b/>
          <w:sz w:val="32"/>
          <w:szCs w:val="32"/>
        </w:rPr>
      </w:pPr>
    </w:p>
    <w:p w14:paraId="71ABD72E" w14:textId="77777777" w:rsidR="00911383" w:rsidRDefault="00911383" w:rsidP="00911383">
      <w:pPr>
        <w:spacing w:after="0" w:line="240" w:lineRule="auto"/>
        <w:jc w:val="center"/>
        <w:rPr>
          <w:rFonts w:eastAsia="SimSun" w:cs="Times New Roman"/>
          <w:b/>
          <w:sz w:val="24"/>
          <w:szCs w:val="24"/>
        </w:rPr>
      </w:pPr>
      <w:bookmarkStart w:id="0" w:name="_Hlk518030811"/>
      <w:r>
        <w:rPr>
          <w:rFonts w:eastAsia="SimSun" w:cs="Times New Roman"/>
          <w:b/>
          <w:sz w:val="24"/>
          <w:szCs w:val="24"/>
        </w:rPr>
        <w:t>Finance, Competitiveness and Innovation Global Practice</w:t>
      </w:r>
    </w:p>
    <w:bookmarkEnd w:id="0"/>
    <w:p w14:paraId="6C4D214D" w14:textId="749ED175" w:rsidR="000203F1" w:rsidRDefault="00911383" w:rsidP="00B919CA">
      <w:pPr>
        <w:jc w:val="center"/>
        <w:rPr>
          <w:rFonts w:eastAsia="SimSun" w:cs="Times New Roman"/>
          <w:b/>
          <w:noProof/>
          <w:sz w:val="20"/>
          <w:szCs w:val="20"/>
          <w:lang w:val="en-GB"/>
        </w:rPr>
      </w:pPr>
      <w:r>
        <w:rPr>
          <w:rFonts w:eastAsia="SimSun" w:cs="Times New Roman"/>
          <w:b/>
          <w:noProof/>
          <w:sz w:val="20"/>
          <w:szCs w:val="20"/>
          <w:lang w:val="en-GB"/>
        </w:rPr>
        <w:drawing>
          <wp:inline distT="0" distB="0" distL="0" distR="0" wp14:anchorId="531ACBC6" wp14:editId="3B8E1E6E">
            <wp:extent cx="1971816" cy="38961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3533" cy="391929"/>
                    </a:xfrm>
                    <a:prstGeom prst="rect">
                      <a:avLst/>
                    </a:prstGeom>
                    <a:noFill/>
                    <a:ln>
                      <a:noFill/>
                    </a:ln>
                  </pic:spPr>
                </pic:pic>
              </a:graphicData>
            </a:graphic>
          </wp:inline>
        </w:drawing>
      </w:r>
    </w:p>
    <w:p w14:paraId="0BD65A83" w14:textId="77777777" w:rsidR="000203F1" w:rsidRDefault="000203F1">
      <w:pPr>
        <w:rPr>
          <w:rFonts w:eastAsia="SimSun" w:cs="Times New Roman"/>
          <w:b/>
          <w:noProof/>
          <w:sz w:val="20"/>
          <w:szCs w:val="20"/>
          <w:lang w:val="en-GB"/>
        </w:rPr>
      </w:pPr>
      <w:r>
        <w:rPr>
          <w:rFonts w:eastAsia="SimSun" w:cs="Times New Roman"/>
          <w:b/>
          <w:noProof/>
          <w:sz w:val="20"/>
          <w:szCs w:val="20"/>
          <w:lang w:val="en-GB"/>
        </w:rPr>
        <w:br w:type="page"/>
      </w:r>
    </w:p>
    <w:p w14:paraId="0798310F" w14:textId="77777777" w:rsidR="00911383" w:rsidRDefault="00911383" w:rsidP="00B919CA">
      <w:pPr>
        <w:jc w:val="center"/>
        <w:rPr>
          <w:rFonts w:eastAsia="SimSun" w:cs="Times New Roman"/>
          <w:b/>
          <w:noProof/>
          <w:sz w:val="20"/>
          <w:szCs w:val="20"/>
          <w:lang w:val="en-GB"/>
        </w:rPr>
      </w:pPr>
    </w:p>
    <w:sdt>
      <w:sdtPr>
        <w:rPr>
          <w:rFonts w:ascii="Times New Roman" w:eastAsiaTheme="minorHAnsi" w:hAnsi="Times New Roman" w:cstheme="minorBidi"/>
          <w:color w:val="auto"/>
          <w:sz w:val="22"/>
          <w:szCs w:val="22"/>
        </w:rPr>
        <w:id w:val="-53776505"/>
        <w:docPartObj>
          <w:docPartGallery w:val="Table of Contents"/>
          <w:docPartUnique/>
        </w:docPartObj>
      </w:sdtPr>
      <w:sdtEndPr>
        <w:rPr>
          <w:b/>
          <w:bCs/>
          <w:noProof/>
        </w:rPr>
      </w:sdtEndPr>
      <w:sdtContent>
        <w:p w14:paraId="54F02D5A" w14:textId="54504606" w:rsidR="00995F67" w:rsidRPr="00995F67" w:rsidRDefault="003E67B8" w:rsidP="00995F67">
          <w:pPr>
            <w:pStyle w:val="TOCHeading"/>
          </w:pPr>
          <w:r>
            <w:t>Table of Contents</w:t>
          </w:r>
        </w:p>
        <w:p w14:paraId="779C9FA7" w14:textId="00EF940F" w:rsidR="00AC7B59" w:rsidRDefault="003E67B8">
          <w:pPr>
            <w:pStyle w:val="TOC1"/>
            <w:tabs>
              <w:tab w:val="right" w:leader="dot" w:pos="9350"/>
            </w:tabs>
            <w:rPr>
              <w:rFonts w:asciiTheme="minorHAnsi" w:eastAsiaTheme="minorEastAsia" w:hAnsiTheme="minorHAnsi"/>
              <w:noProof/>
            </w:rPr>
          </w:pPr>
          <w:r>
            <w:rPr>
              <w:b/>
              <w:bCs/>
              <w:noProof/>
            </w:rPr>
            <w:fldChar w:fldCharType="begin"/>
          </w:r>
          <w:r>
            <w:rPr>
              <w:b/>
              <w:bCs/>
              <w:noProof/>
            </w:rPr>
            <w:instrText xml:space="preserve"> TOC \o "1-3" \h \z \u </w:instrText>
          </w:r>
          <w:r>
            <w:rPr>
              <w:b/>
              <w:bCs/>
              <w:noProof/>
            </w:rPr>
            <w:fldChar w:fldCharType="separate"/>
          </w:r>
          <w:hyperlink w:anchor="_Toc12503506" w:history="1">
            <w:r w:rsidR="00AC7B59" w:rsidRPr="00682ED2">
              <w:rPr>
                <w:rStyle w:val="Hyperlink"/>
                <w:rFonts w:eastAsia="SimSun" w:cs="Times New Roman"/>
                <w:noProof/>
              </w:rPr>
              <w:t>Acknowledgements</w:t>
            </w:r>
            <w:r w:rsidR="00AC7B59">
              <w:rPr>
                <w:noProof/>
                <w:webHidden/>
              </w:rPr>
              <w:tab/>
            </w:r>
            <w:r w:rsidR="00AC7B59">
              <w:rPr>
                <w:noProof/>
                <w:webHidden/>
              </w:rPr>
              <w:fldChar w:fldCharType="begin"/>
            </w:r>
            <w:r w:rsidR="00AC7B59">
              <w:rPr>
                <w:noProof/>
                <w:webHidden/>
              </w:rPr>
              <w:instrText xml:space="preserve"> PAGEREF _Toc12503506 \h </w:instrText>
            </w:r>
            <w:r w:rsidR="00AC7B59">
              <w:rPr>
                <w:noProof/>
                <w:webHidden/>
              </w:rPr>
            </w:r>
            <w:r w:rsidR="00AC7B59">
              <w:rPr>
                <w:noProof/>
                <w:webHidden/>
              </w:rPr>
              <w:fldChar w:fldCharType="separate"/>
            </w:r>
            <w:r w:rsidR="00450958">
              <w:rPr>
                <w:noProof/>
                <w:webHidden/>
              </w:rPr>
              <w:t>iv</w:t>
            </w:r>
            <w:r w:rsidR="00AC7B59">
              <w:rPr>
                <w:noProof/>
                <w:webHidden/>
              </w:rPr>
              <w:fldChar w:fldCharType="end"/>
            </w:r>
          </w:hyperlink>
        </w:p>
        <w:p w14:paraId="4EA5BE1B" w14:textId="097B98A6" w:rsidR="00AC7B59" w:rsidRDefault="00AC7B59">
          <w:pPr>
            <w:pStyle w:val="TOC2"/>
            <w:rPr>
              <w:rFonts w:asciiTheme="minorHAnsi" w:eastAsiaTheme="minorEastAsia" w:hAnsiTheme="minorHAnsi"/>
              <w:noProof/>
            </w:rPr>
          </w:pPr>
          <w:hyperlink w:anchor="_Toc12503507" w:history="1">
            <w:r w:rsidRPr="00682ED2">
              <w:rPr>
                <w:rStyle w:val="Hyperlink"/>
                <w:rFonts w:eastAsia="SimSun" w:cs="Times New Roman"/>
                <w:noProof/>
              </w:rPr>
              <w:t>List of Abbreviations</w:t>
            </w:r>
            <w:r>
              <w:rPr>
                <w:noProof/>
                <w:webHidden/>
              </w:rPr>
              <w:tab/>
            </w:r>
            <w:r>
              <w:rPr>
                <w:noProof/>
                <w:webHidden/>
              </w:rPr>
              <w:fldChar w:fldCharType="begin"/>
            </w:r>
            <w:r>
              <w:rPr>
                <w:noProof/>
                <w:webHidden/>
              </w:rPr>
              <w:instrText xml:space="preserve"> PAGEREF _Toc12503507 \h </w:instrText>
            </w:r>
            <w:r>
              <w:rPr>
                <w:noProof/>
                <w:webHidden/>
              </w:rPr>
            </w:r>
            <w:r>
              <w:rPr>
                <w:noProof/>
                <w:webHidden/>
              </w:rPr>
              <w:fldChar w:fldCharType="separate"/>
            </w:r>
            <w:r w:rsidR="00450958">
              <w:rPr>
                <w:noProof/>
                <w:webHidden/>
              </w:rPr>
              <w:t>v</w:t>
            </w:r>
            <w:r>
              <w:rPr>
                <w:noProof/>
                <w:webHidden/>
              </w:rPr>
              <w:fldChar w:fldCharType="end"/>
            </w:r>
          </w:hyperlink>
        </w:p>
        <w:p w14:paraId="477AF623" w14:textId="260ABC24" w:rsidR="00AC7B59" w:rsidRDefault="00AC7B59">
          <w:pPr>
            <w:pStyle w:val="TOC1"/>
            <w:tabs>
              <w:tab w:val="right" w:leader="dot" w:pos="9350"/>
            </w:tabs>
            <w:rPr>
              <w:rFonts w:asciiTheme="minorHAnsi" w:eastAsiaTheme="minorEastAsia" w:hAnsiTheme="minorHAnsi"/>
              <w:noProof/>
            </w:rPr>
          </w:pPr>
          <w:hyperlink w:anchor="_Toc12503508" w:history="1">
            <w:r w:rsidRPr="00682ED2">
              <w:rPr>
                <w:rStyle w:val="Hyperlink"/>
                <w:rFonts w:asciiTheme="majorHAnsi" w:eastAsiaTheme="majorEastAsia" w:hAnsiTheme="majorHAnsi" w:cstheme="majorBidi"/>
                <w:noProof/>
              </w:rPr>
              <w:t>EXECUTIVE SUMMARY</w:t>
            </w:r>
            <w:r>
              <w:rPr>
                <w:noProof/>
                <w:webHidden/>
              </w:rPr>
              <w:tab/>
            </w:r>
            <w:r>
              <w:rPr>
                <w:noProof/>
                <w:webHidden/>
              </w:rPr>
              <w:fldChar w:fldCharType="begin"/>
            </w:r>
            <w:r>
              <w:rPr>
                <w:noProof/>
                <w:webHidden/>
              </w:rPr>
              <w:instrText xml:space="preserve"> PAGEREF _Toc12503508 \h </w:instrText>
            </w:r>
            <w:r>
              <w:rPr>
                <w:noProof/>
                <w:webHidden/>
              </w:rPr>
            </w:r>
            <w:r>
              <w:rPr>
                <w:noProof/>
                <w:webHidden/>
              </w:rPr>
              <w:fldChar w:fldCharType="separate"/>
            </w:r>
            <w:r w:rsidR="00450958">
              <w:rPr>
                <w:noProof/>
                <w:webHidden/>
              </w:rPr>
              <w:t>vii</w:t>
            </w:r>
            <w:r>
              <w:rPr>
                <w:noProof/>
                <w:webHidden/>
              </w:rPr>
              <w:fldChar w:fldCharType="end"/>
            </w:r>
          </w:hyperlink>
        </w:p>
        <w:p w14:paraId="53417EDF" w14:textId="2FAC6B31" w:rsidR="00AC7B59" w:rsidRDefault="00AC7B59">
          <w:pPr>
            <w:pStyle w:val="TOC1"/>
            <w:tabs>
              <w:tab w:val="left" w:pos="440"/>
              <w:tab w:val="right" w:leader="dot" w:pos="9350"/>
            </w:tabs>
            <w:rPr>
              <w:rFonts w:asciiTheme="minorHAnsi" w:eastAsiaTheme="minorEastAsia" w:hAnsiTheme="minorHAnsi"/>
              <w:noProof/>
            </w:rPr>
          </w:pPr>
          <w:hyperlink w:anchor="_Toc12503509" w:history="1">
            <w:r w:rsidRPr="00682ED2">
              <w:rPr>
                <w:rStyle w:val="Hyperlink"/>
                <w:b/>
                <w:noProof/>
              </w:rPr>
              <w:t>1.</w:t>
            </w:r>
            <w:r>
              <w:rPr>
                <w:rFonts w:asciiTheme="minorHAnsi" w:eastAsiaTheme="minorEastAsia" w:hAnsiTheme="minorHAnsi"/>
                <w:noProof/>
              </w:rPr>
              <w:tab/>
            </w:r>
            <w:r w:rsidRPr="00682ED2">
              <w:rPr>
                <w:rStyle w:val="Hyperlink"/>
                <w:b/>
                <w:noProof/>
              </w:rPr>
              <w:t>Introduction</w:t>
            </w:r>
            <w:r>
              <w:rPr>
                <w:noProof/>
                <w:webHidden/>
              </w:rPr>
              <w:tab/>
            </w:r>
            <w:r>
              <w:rPr>
                <w:noProof/>
                <w:webHidden/>
              </w:rPr>
              <w:fldChar w:fldCharType="begin"/>
            </w:r>
            <w:r>
              <w:rPr>
                <w:noProof/>
                <w:webHidden/>
              </w:rPr>
              <w:instrText xml:space="preserve"> PAGEREF _Toc12503509 \h </w:instrText>
            </w:r>
            <w:r>
              <w:rPr>
                <w:noProof/>
                <w:webHidden/>
              </w:rPr>
            </w:r>
            <w:r>
              <w:rPr>
                <w:noProof/>
                <w:webHidden/>
              </w:rPr>
              <w:fldChar w:fldCharType="separate"/>
            </w:r>
            <w:r w:rsidR="00450958">
              <w:rPr>
                <w:noProof/>
                <w:webHidden/>
              </w:rPr>
              <w:t>19</w:t>
            </w:r>
            <w:r>
              <w:rPr>
                <w:noProof/>
                <w:webHidden/>
              </w:rPr>
              <w:fldChar w:fldCharType="end"/>
            </w:r>
          </w:hyperlink>
        </w:p>
        <w:p w14:paraId="12AD08E8" w14:textId="7AED259D" w:rsidR="00AC7B59" w:rsidRDefault="00AC7B59">
          <w:pPr>
            <w:pStyle w:val="TOC1"/>
            <w:tabs>
              <w:tab w:val="left" w:pos="440"/>
              <w:tab w:val="right" w:leader="dot" w:pos="9350"/>
            </w:tabs>
            <w:rPr>
              <w:rFonts w:asciiTheme="minorHAnsi" w:eastAsiaTheme="minorEastAsia" w:hAnsiTheme="minorHAnsi"/>
              <w:noProof/>
            </w:rPr>
          </w:pPr>
          <w:hyperlink w:anchor="_Toc12503510" w:history="1">
            <w:r w:rsidRPr="00682ED2">
              <w:rPr>
                <w:rStyle w:val="Hyperlink"/>
                <w:b/>
                <w:noProof/>
              </w:rPr>
              <w:t>2.</w:t>
            </w:r>
            <w:r>
              <w:rPr>
                <w:rFonts w:asciiTheme="minorHAnsi" w:eastAsiaTheme="minorEastAsia" w:hAnsiTheme="minorHAnsi"/>
                <w:noProof/>
              </w:rPr>
              <w:tab/>
            </w:r>
            <w:r w:rsidRPr="00682ED2">
              <w:rPr>
                <w:rStyle w:val="Hyperlink"/>
                <w:b/>
                <w:noProof/>
              </w:rPr>
              <w:t>Context</w:t>
            </w:r>
            <w:r>
              <w:rPr>
                <w:noProof/>
                <w:webHidden/>
              </w:rPr>
              <w:tab/>
            </w:r>
            <w:r>
              <w:rPr>
                <w:noProof/>
                <w:webHidden/>
              </w:rPr>
              <w:fldChar w:fldCharType="begin"/>
            </w:r>
            <w:r>
              <w:rPr>
                <w:noProof/>
                <w:webHidden/>
              </w:rPr>
              <w:instrText xml:space="preserve"> PAGEREF _Toc12503510 \h </w:instrText>
            </w:r>
            <w:r>
              <w:rPr>
                <w:noProof/>
                <w:webHidden/>
              </w:rPr>
            </w:r>
            <w:r>
              <w:rPr>
                <w:noProof/>
                <w:webHidden/>
              </w:rPr>
              <w:fldChar w:fldCharType="separate"/>
            </w:r>
            <w:r w:rsidR="00450958">
              <w:rPr>
                <w:noProof/>
                <w:webHidden/>
              </w:rPr>
              <w:t>20</w:t>
            </w:r>
            <w:r>
              <w:rPr>
                <w:noProof/>
                <w:webHidden/>
              </w:rPr>
              <w:fldChar w:fldCharType="end"/>
            </w:r>
          </w:hyperlink>
        </w:p>
        <w:p w14:paraId="133B623C" w14:textId="17D9830C" w:rsidR="00AC7B59" w:rsidRDefault="00AC7B59">
          <w:pPr>
            <w:pStyle w:val="TOC1"/>
            <w:tabs>
              <w:tab w:val="right" w:leader="dot" w:pos="9350"/>
            </w:tabs>
            <w:rPr>
              <w:rFonts w:asciiTheme="minorHAnsi" w:eastAsiaTheme="minorEastAsia" w:hAnsiTheme="minorHAnsi"/>
              <w:noProof/>
            </w:rPr>
          </w:pPr>
          <w:hyperlink w:anchor="_Toc12503511" w:history="1">
            <w:r w:rsidRPr="00682ED2">
              <w:rPr>
                <w:rStyle w:val="Hyperlink"/>
                <w:i/>
                <w:noProof/>
              </w:rPr>
              <w:t>MSMEs is the private sector in the Philippines</w:t>
            </w:r>
            <w:r>
              <w:rPr>
                <w:noProof/>
                <w:webHidden/>
              </w:rPr>
              <w:tab/>
            </w:r>
            <w:r>
              <w:rPr>
                <w:noProof/>
                <w:webHidden/>
              </w:rPr>
              <w:fldChar w:fldCharType="begin"/>
            </w:r>
            <w:r>
              <w:rPr>
                <w:noProof/>
                <w:webHidden/>
              </w:rPr>
              <w:instrText xml:space="preserve"> PAGEREF _Toc12503511 \h </w:instrText>
            </w:r>
            <w:r>
              <w:rPr>
                <w:noProof/>
                <w:webHidden/>
              </w:rPr>
            </w:r>
            <w:r>
              <w:rPr>
                <w:noProof/>
                <w:webHidden/>
              </w:rPr>
              <w:fldChar w:fldCharType="separate"/>
            </w:r>
            <w:r w:rsidR="00450958">
              <w:rPr>
                <w:noProof/>
                <w:webHidden/>
              </w:rPr>
              <w:t>22</w:t>
            </w:r>
            <w:r>
              <w:rPr>
                <w:noProof/>
                <w:webHidden/>
              </w:rPr>
              <w:fldChar w:fldCharType="end"/>
            </w:r>
          </w:hyperlink>
        </w:p>
        <w:p w14:paraId="683442E1" w14:textId="23A45796" w:rsidR="00AC7B59" w:rsidRDefault="00AC7B59">
          <w:pPr>
            <w:pStyle w:val="TOC2"/>
            <w:rPr>
              <w:rFonts w:asciiTheme="minorHAnsi" w:eastAsiaTheme="minorEastAsia" w:hAnsiTheme="minorHAnsi"/>
              <w:noProof/>
            </w:rPr>
          </w:pPr>
          <w:hyperlink w:anchor="_Toc12503512" w:history="1">
            <w:r w:rsidRPr="00682ED2">
              <w:rPr>
                <w:rStyle w:val="Hyperlink"/>
                <w:i/>
                <w:noProof/>
              </w:rPr>
              <w:t>Productivity is key for improving MSMEs performance</w:t>
            </w:r>
            <w:r>
              <w:rPr>
                <w:noProof/>
                <w:webHidden/>
              </w:rPr>
              <w:tab/>
            </w:r>
            <w:r>
              <w:rPr>
                <w:noProof/>
                <w:webHidden/>
              </w:rPr>
              <w:fldChar w:fldCharType="begin"/>
            </w:r>
            <w:r>
              <w:rPr>
                <w:noProof/>
                <w:webHidden/>
              </w:rPr>
              <w:instrText xml:space="preserve"> PAGEREF _Toc12503512 \h </w:instrText>
            </w:r>
            <w:r>
              <w:rPr>
                <w:noProof/>
                <w:webHidden/>
              </w:rPr>
            </w:r>
            <w:r>
              <w:rPr>
                <w:noProof/>
                <w:webHidden/>
              </w:rPr>
              <w:fldChar w:fldCharType="separate"/>
            </w:r>
            <w:r w:rsidR="00450958">
              <w:rPr>
                <w:noProof/>
                <w:webHidden/>
              </w:rPr>
              <w:t>23</w:t>
            </w:r>
            <w:r>
              <w:rPr>
                <w:noProof/>
                <w:webHidden/>
              </w:rPr>
              <w:fldChar w:fldCharType="end"/>
            </w:r>
          </w:hyperlink>
        </w:p>
        <w:p w14:paraId="37F69C96" w14:textId="6DA7AD30" w:rsidR="00AC7B59" w:rsidRDefault="00AC7B59">
          <w:pPr>
            <w:pStyle w:val="TOC1"/>
            <w:tabs>
              <w:tab w:val="right" w:leader="dot" w:pos="9350"/>
            </w:tabs>
            <w:rPr>
              <w:rFonts w:asciiTheme="minorHAnsi" w:eastAsiaTheme="minorEastAsia" w:hAnsiTheme="minorHAnsi"/>
              <w:noProof/>
            </w:rPr>
          </w:pPr>
          <w:hyperlink w:anchor="_Toc12503513" w:history="1">
            <w:r w:rsidRPr="00682ED2">
              <w:rPr>
                <w:rStyle w:val="Hyperlink"/>
                <w:i/>
                <w:noProof/>
              </w:rPr>
              <w:t>Entrepreneurship and emerging startup ecosystem</w:t>
            </w:r>
            <w:r>
              <w:rPr>
                <w:noProof/>
                <w:webHidden/>
              </w:rPr>
              <w:tab/>
            </w:r>
            <w:r>
              <w:rPr>
                <w:noProof/>
                <w:webHidden/>
              </w:rPr>
              <w:fldChar w:fldCharType="begin"/>
            </w:r>
            <w:r>
              <w:rPr>
                <w:noProof/>
                <w:webHidden/>
              </w:rPr>
              <w:instrText xml:space="preserve"> PAGEREF _Toc12503513 \h </w:instrText>
            </w:r>
            <w:r>
              <w:rPr>
                <w:noProof/>
                <w:webHidden/>
              </w:rPr>
            </w:r>
            <w:r>
              <w:rPr>
                <w:noProof/>
                <w:webHidden/>
              </w:rPr>
              <w:fldChar w:fldCharType="separate"/>
            </w:r>
            <w:r w:rsidR="00450958">
              <w:rPr>
                <w:noProof/>
                <w:webHidden/>
              </w:rPr>
              <w:t>25</w:t>
            </w:r>
            <w:r>
              <w:rPr>
                <w:noProof/>
                <w:webHidden/>
              </w:rPr>
              <w:fldChar w:fldCharType="end"/>
            </w:r>
          </w:hyperlink>
        </w:p>
        <w:p w14:paraId="0AE20116" w14:textId="65271E16" w:rsidR="00AC7B59" w:rsidRDefault="00AC7B59">
          <w:pPr>
            <w:pStyle w:val="TOC1"/>
            <w:tabs>
              <w:tab w:val="left" w:pos="440"/>
              <w:tab w:val="right" w:leader="dot" w:pos="9350"/>
            </w:tabs>
            <w:rPr>
              <w:rFonts w:asciiTheme="minorHAnsi" w:eastAsiaTheme="minorEastAsia" w:hAnsiTheme="minorHAnsi"/>
              <w:noProof/>
            </w:rPr>
          </w:pPr>
          <w:hyperlink w:anchor="_Toc12503514" w:history="1">
            <w:r w:rsidRPr="00682ED2">
              <w:rPr>
                <w:rStyle w:val="Hyperlink"/>
                <w:b/>
                <w:noProof/>
              </w:rPr>
              <w:t>3.</w:t>
            </w:r>
            <w:r>
              <w:rPr>
                <w:rFonts w:asciiTheme="minorHAnsi" w:eastAsiaTheme="minorEastAsia" w:hAnsiTheme="minorHAnsi"/>
                <w:noProof/>
              </w:rPr>
              <w:tab/>
            </w:r>
            <w:r w:rsidRPr="00682ED2">
              <w:rPr>
                <w:rStyle w:val="Hyperlink"/>
                <w:b/>
                <w:noProof/>
              </w:rPr>
              <w:t>The Analytical Framework</w:t>
            </w:r>
            <w:r>
              <w:rPr>
                <w:noProof/>
                <w:webHidden/>
              </w:rPr>
              <w:tab/>
            </w:r>
            <w:r>
              <w:rPr>
                <w:noProof/>
                <w:webHidden/>
              </w:rPr>
              <w:fldChar w:fldCharType="begin"/>
            </w:r>
            <w:r>
              <w:rPr>
                <w:noProof/>
                <w:webHidden/>
              </w:rPr>
              <w:instrText xml:space="preserve"> PAGEREF _Toc12503514 \h </w:instrText>
            </w:r>
            <w:r>
              <w:rPr>
                <w:noProof/>
                <w:webHidden/>
              </w:rPr>
            </w:r>
            <w:r>
              <w:rPr>
                <w:noProof/>
                <w:webHidden/>
              </w:rPr>
              <w:fldChar w:fldCharType="separate"/>
            </w:r>
            <w:r w:rsidR="00450958">
              <w:rPr>
                <w:noProof/>
                <w:webHidden/>
              </w:rPr>
              <w:t>28</w:t>
            </w:r>
            <w:r>
              <w:rPr>
                <w:noProof/>
                <w:webHidden/>
              </w:rPr>
              <w:fldChar w:fldCharType="end"/>
            </w:r>
          </w:hyperlink>
        </w:p>
        <w:p w14:paraId="1B504D43" w14:textId="04D4D703" w:rsidR="00AC7B59" w:rsidRDefault="00AC7B59">
          <w:pPr>
            <w:pStyle w:val="TOC1"/>
            <w:tabs>
              <w:tab w:val="right" w:leader="dot" w:pos="9350"/>
            </w:tabs>
            <w:rPr>
              <w:rFonts w:asciiTheme="minorHAnsi" w:eastAsiaTheme="minorEastAsia" w:hAnsiTheme="minorHAnsi"/>
              <w:noProof/>
            </w:rPr>
          </w:pPr>
          <w:hyperlink w:anchor="_Toc12503515" w:history="1">
            <w:r w:rsidRPr="00682ED2">
              <w:rPr>
                <w:rStyle w:val="Hyperlink"/>
                <w:i/>
                <w:noProof/>
              </w:rPr>
              <w:t>Drivers of firm productivity growth</w:t>
            </w:r>
            <w:r>
              <w:rPr>
                <w:noProof/>
                <w:webHidden/>
              </w:rPr>
              <w:tab/>
            </w:r>
            <w:r>
              <w:rPr>
                <w:noProof/>
                <w:webHidden/>
              </w:rPr>
              <w:fldChar w:fldCharType="begin"/>
            </w:r>
            <w:r>
              <w:rPr>
                <w:noProof/>
                <w:webHidden/>
              </w:rPr>
              <w:instrText xml:space="preserve"> PAGEREF _Toc12503515 \h </w:instrText>
            </w:r>
            <w:r>
              <w:rPr>
                <w:noProof/>
                <w:webHidden/>
              </w:rPr>
            </w:r>
            <w:r>
              <w:rPr>
                <w:noProof/>
                <w:webHidden/>
              </w:rPr>
              <w:fldChar w:fldCharType="separate"/>
            </w:r>
            <w:r w:rsidR="00450958">
              <w:rPr>
                <w:noProof/>
                <w:webHidden/>
              </w:rPr>
              <w:t>28</w:t>
            </w:r>
            <w:r>
              <w:rPr>
                <w:noProof/>
                <w:webHidden/>
              </w:rPr>
              <w:fldChar w:fldCharType="end"/>
            </w:r>
          </w:hyperlink>
        </w:p>
        <w:p w14:paraId="72B0B384" w14:textId="383D16AB" w:rsidR="00AC7B59" w:rsidRDefault="00AC7B59">
          <w:pPr>
            <w:pStyle w:val="TOC1"/>
            <w:tabs>
              <w:tab w:val="right" w:leader="dot" w:pos="9350"/>
            </w:tabs>
            <w:rPr>
              <w:rFonts w:asciiTheme="minorHAnsi" w:eastAsiaTheme="minorEastAsia" w:hAnsiTheme="minorHAnsi"/>
              <w:noProof/>
            </w:rPr>
          </w:pPr>
          <w:hyperlink w:anchor="_Toc12503516" w:history="1">
            <w:r w:rsidRPr="00682ED2">
              <w:rPr>
                <w:rStyle w:val="Hyperlink"/>
                <w:i/>
                <w:noProof/>
              </w:rPr>
              <w:t>External factors: operating environment for MSMEs</w:t>
            </w:r>
            <w:r>
              <w:rPr>
                <w:noProof/>
                <w:webHidden/>
              </w:rPr>
              <w:tab/>
            </w:r>
            <w:r>
              <w:rPr>
                <w:noProof/>
                <w:webHidden/>
              </w:rPr>
              <w:fldChar w:fldCharType="begin"/>
            </w:r>
            <w:r>
              <w:rPr>
                <w:noProof/>
                <w:webHidden/>
              </w:rPr>
              <w:instrText xml:space="preserve"> PAGEREF _Toc12503516 \h </w:instrText>
            </w:r>
            <w:r>
              <w:rPr>
                <w:noProof/>
                <w:webHidden/>
              </w:rPr>
            </w:r>
            <w:r>
              <w:rPr>
                <w:noProof/>
                <w:webHidden/>
              </w:rPr>
              <w:fldChar w:fldCharType="separate"/>
            </w:r>
            <w:r w:rsidR="00450958">
              <w:rPr>
                <w:noProof/>
                <w:webHidden/>
              </w:rPr>
              <w:t>29</w:t>
            </w:r>
            <w:r>
              <w:rPr>
                <w:noProof/>
                <w:webHidden/>
              </w:rPr>
              <w:fldChar w:fldCharType="end"/>
            </w:r>
          </w:hyperlink>
        </w:p>
        <w:p w14:paraId="7FE3C749" w14:textId="59A6666B" w:rsidR="00AC7B59" w:rsidRDefault="00AC7B59">
          <w:pPr>
            <w:pStyle w:val="TOC1"/>
            <w:tabs>
              <w:tab w:val="right" w:leader="dot" w:pos="9350"/>
            </w:tabs>
            <w:rPr>
              <w:rFonts w:asciiTheme="minorHAnsi" w:eastAsiaTheme="minorEastAsia" w:hAnsiTheme="minorHAnsi"/>
              <w:noProof/>
            </w:rPr>
          </w:pPr>
          <w:hyperlink w:anchor="_Toc12503517" w:history="1">
            <w:r w:rsidRPr="00682ED2">
              <w:rPr>
                <w:rStyle w:val="Hyperlink"/>
                <w:noProof/>
              </w:rPr>
              <w:t>Other complementary factors</w:t>
            </w:r>
            <w:r>
              <w:rPr>
                <w:noProof/>
                <w:webHidden/>
              </w:rPr>
              <w:tab/>
            </w:r>
            <w:r>
              <w:rPr>
                <w:noProof/>
                <w:webHidden/>
              </w:rPr>
              <w:fldChar w:fldCharType="begin"/>
            </w:r>
            <w:r>
              <w:rPr>
                <w:noProof/>
                <w:webHidden/>
              </w:rPr>
              <w:instrText xml:space="preserve"> PAGEREF _Toc12503517 \h </w:instrText>
            </w:r>
            <w:r>
              <w:rPr>
                <w:noProof/>
                <w:webHidden/>
              </w:rPr>
            </w:r>
            <w:r>
              <w:rPr>
                <w:noProof/>
                <w:webHidden/>
              </w:rPr>
              <w:fldChar w:fldCharType="separate"/>
            </w:r>
            <w:r w:rsidR="00450958">
              <w:rPr>
                <w:noProof/>
                <w:webHidden/>
              </w:rPr>
              <w:t>34</w:t>
            </w:r>
            <w:r>
              <w:rPr>
                <w:noProof/>
                <w:webHidden/>
              </w:rPr>
              <w:fldChar w:fldCharType="end"/>
            </w:r>
          </w:hyperlink>
        </w:p>
        <w:p w14:paraId="606130EE" w14:textId="15098916" w:rsidR="00AC7B59" w:rsidRDefault="00AC7B59">
          <w:pPr>
            <w:pStyle w:val="TOC1"/>
            <w:tabs>
              <w:tab w:val="right" w:leader="dot" w:pos="9350"/>
            </w:tabs>
            <w:rPr>
              <w:rFonts w:asciiTheme="minorHAnsi" w:eastAsiaTheme="minorEastAsia" w:hAnsiTheme="minorHAnsi"/>
              <w:noProof/>
            </w:rPr>
          </w:pPr>
          <w:hyperlink w:anchor="_Toc12503518" w:history="1">
            <w:r w:rsidRPr="00682ED2">
              <w:rPr>
                <w:rStyle w:val="Hyperlink"/>
                <w:i/>
                <w:noProof/>
              </w:rPr>
              <w:t>Internal firm constraints</w:t>
            </w:r>
            <w:r>
              <w:rPr>
                <w:noProof/>
                <w:webHidden/>
              </w:rPr>
              <w:tab/>
            </w:r>
            <w:r>
              <w:rPr>
                <w:noProof/>
                <w:webHidden/>
              </w:rPr>
              <w:fldChar w:fldCharType="begin"/>
            </w:r>
            <w:r>
              <w:rPr>
                <w:noProof/>
                <w:webHidden/>
              </w:rPr>
              <w:instrText xml:space="preserve"> PAGEREF _Toc12503518 \h </w:instrText>
            </w:r>
            <w:r>
              <w:rPr>
                <w:noProof/>
                <w:webHidden/>
              </w:rPr>
            </w:r>
            <w:r>
              <w:rPr>
                <w:noProof/>
                <w:webHidden/>
              </w:rPr>
              <w:fldChar w:fldCharType="separate"/>
            </w:r>
            <w:r w:rsidR="00450958">
              <w:rPr>
                <w:noProof/>
                <w:webHidden/>
              </w:rPr>
              <w:t>41</w:t>
            </w:r>
            <w:r>
              <w:rPr>
                <w:noProof/>
                <w:webHidden/>
              </w:rPr>
              <w:fldChar w:fldCharType="end"/>
            </w:r>
          </w:hyperlink>
        </w:p>
        <w:p w14:paraId="0B9F0C95" w14:textId="15C5FD21" w:rsidR="00AC7B59" w:rsidRDefault="00AC7B59">
          <w:pPr>
            <w:pStyle w:val="TOC1"/>
            <w:tabs>
              <w:tab w:val="left" w:pos="440"/>
              <w:tab w:val="right" w:leader="dot" w:pos="9350"/>
            </w:tabs>
            <w:rPr>
              <w:rFonts w:asciiTheme="minorHAnsi" w:eastAsiaTheme="minorEastAsia" w:hAnsiTheme="minorHAnsi"/>
              <w:noProof/>
            </w:rPr>
          </w:pPr>
          <w:hyperlink w:anchor="_Toc12503519" w:history="1">
            <w:r w:rsidRPr="00682ED2">
              <w:rPr>
                <w:rStyle w:val="Hyperlink"/>
                <w:b/>
                <w:noProof/>
              </w:rPr>
              <w:t>4.</w:t>
            </w:r>
            <w:r>
              <w:rPr>
                <w:rFonts w:asciiTheme="minorHAnsi" w:eastAsiaTheme="minorEastAsia" w:hAnsiTheme="minorHAnsi"/>
                <w:noProof/>
              </w:rPr>
              <w:tab/>
            </w:r>
            <w:r w:rsidRPr="00682ED2">
              <w:rPr>
                <w:rStyle w:val="Hyperlink"/>
                <w:b/>
                <w:noProof/>
              </w:rPr>
              <w:t>MSME and Entrepreneurship Policy Framework</w:t>
            </w:r>
            <w:r>
              <w:rPr>
                <w:noProof/>
                <w:webHidden/>
              </w:rPr>
              <w:tab/>
            </w:r>
            <w:r>
              <w:rPr>
                <w:noProof/>
                <w:webHidden/>
              </w:rPr>
              <w:fldChar w:fldCharType="begin"/>
            </w:r>
            <w:r>
              <w:rPr>
                <w:noProof/>
                <w:webHidden/>
              </w:rPr>
              <w:instrText xml:space="preserve"> PAGEREF _Toc12503519 \h </w:instrText>
            </w:r>
            <w:r>
              <w:rPr>
                <w:noProof/>
                <w:webHidden/>
              </w:rPr>
            </w:r>
            <w:r>
              <w:rPr>
                <w:noProof/>
                <w:webHidden/>
              </w:rPr>
              <w:fldChar w:fldCharType="separate"/>
            </w:r>
            <w:r w:rsidR="00450958">
              <w:rPr>
                <w:noProof/>
                <w:webHidden/>
              </w:rPr>
              <w:t>44</w:t>
            </w:r>
            <w:r>
              <w:rPr>
                <w:noProof/>
                <w:webHidden/>
              </w:rPr>
              <w:fldChar w:fldCharType="end"/>
            </w:r>
          </w:hyperlink>
        </w:p>
        <w:p w14:paraId="6FB255BE" w14:textId="196CD86F" w:rsidR="00AC7B59" w:rsidRDefault="00AC7B59">
          <w:pPr>
            <w:pStyle w:val="TOC2"/>
            <w:rPr>
              <w:rFonts w:asciiTheme="minorHAnsi" w:eastAsiaTheme="minorEastAsia" w:hAnsiTheme="minorHAnsi"/>
              <w:noProof/>
            </w:rPr>
          </w:pPr>
          <w:hyperlink w:anchor="_Toc12503520" w:history="1">
            <w:r w:rsidRPr="00682ED2">
              <w:rPr>
                <w:rStyle w:val="Hyperlink"/>
                <w:noProof/>
              </w:rPr>
              <w:t>MSME Plans and Policies</w:t>
            </w:r>
            <w:r>
              <w:rPr>
                <w:noProof/>
                <w:webHidden/>
              </w:rPr>
              <w:tab/>
            </w:r>
            <w:r>
              <w:rPr>
                <w:noProof/>
                <w:webHidden/>
              </w:rPr>
              <w:fldChar w:fldCharType="begin"/>
            </w:r>
            <w:r>
              <w:rPr>
                <w:noProof/>
                <w:webHidden/>
              </w:rPr>
              <w:instrText xml:space="preserve"> PAGEREF _Toc12503520 \h </w:instrText>
            </w:r>
            <w:r>
              <w:rPr>
                <w:noProof/>
                <w:webHidden/>
              </w:rPr>
            </w:r>
            <w:r>
              <w:rPr>
                <w:noProof/>
                <w:webHidden/>
              </w:rPr>
              <w:fldChar w:fldCharType="separate"/>
            </w:r>
            <w:r w:rsidR="00450958">
              <w:rPr>
                <w:noProof/>
                <w:webHidden/>
              </w:rPr>
              <w:t>44</w:t>
            </w:r>
            <w:r>
              <w:rPr>
                <w:noProof/>
                <w:webHidden/>
              </w:rPr>
              <w:fldChar w:fldCharType="end"/>
            </w:r>
          </w:hyperlink>
        </w:p>
        <w:p w14:paraId="27903AE8" w14:textId="4D5E551B" w:rsidR="00AC7B59" w:rsidRDefault="00AC7B59">
          <w:pPr>
            <w:pStyle w:val="TOC2"/>
            <w:rPr>
              <w:rFonts w:asciiTheme="minorHAnsi" w:eastAsiaTheme="minorEastAsia" w:hAnsiTheme="minorHAnsi"/>
              <w:noProof/>
            </w:rPr>
          </w:pPr>
          <w:hyperlink w:anchor="_Toc12503521" w:history="1">
            <w:r w:rsidRPr="00682ED2">
              <w:rPr>
                <w:rStyle w:val="Hyperlink"/>
                <w:i/>
                <w:noProof/>
              </w:rPr>
              <w:t>Emphasizing Entrepreneurship and start-ups</w:t>
            </w:r>
            <w:r>
              <w:rPr>
                <w:noProof/>
                <w:webHidden/>
              </w:rPr>
              <w:tab/>
            </w:r>
            <w:r>
              <w:rPr>
                <w:noProof/>
                <w:webHidden/>
              </w:rPr>
              <w:fldChar w:fldCharType="begin"/>
            </w:r>
            <w:r>
              <w:rPr>
                <w:noProof/>
                <w:webHidden/>
              </w:rPr>
              <w:instrText xml:space="preserve"> PAGEREF _Toc12503521 \h </w:instrText>
            </w:r>
            <w:r>
              <w:rPr>
                <w:noProof/>
                <w:webHidden/>
              </w:rPr>
            </w:r>
            <w:r>
              <w:rPr>
                <w:noProof/>
                <w:webHidden/>
              </w:rPr>
              <w:fldChar w:fldCharType="separate"/>
            </w:r>
            <w:r w:rsidR="00450958">
              <w:rPr>
                <w:noProof/>
                <w:webHidden/>
              </w:rPr>
              <w:t>47</w:t>
            </w:r>
            <w:r>
              <w:rPr>
                <w:noProof/>
                <w:webHidden/>
              </w:rPr>
              <w:fldChar w:fldCharType="end"/>
            </w:r>
          </w:hyperlink>
        </w:p>
        <w:p w14:paraId="6330AAE0" w14:textId="3FA8B088" w:rsidR="00AC7B59" w:rsidRDefault="00AC7B59">
          <w:pPr>
            <w:pStyle w:val="TOC3"/>
            <w:rPr>
              <w:rFonts w:asciiTheme="minorHAnsi" w:eastAsiaTheme="minorEastAsia" w:hAnsiTheme="minorHAnsi"/>
              <w:i w:val="0"/>
            </w:rPr>
          </w:pPr>
          <w:hyperlink w:anchor="_Toc12503522" w:history="1">
            <w:r w:rsidRPr="00682ED2">
              <w:rPr>
                <w:rStyle w:val="Hyperlink"/>
              </w:rPr>
              <w:t>Supporting the growth of the Entrepreneurship Ecosystem</w:t>
            </w:r>
            <w:r>
              <w:rPr>
                <w:webHidden/>
              </w:rPr>
              <w:tab/>
            </w:r>
            <w:r>
              <w:rPr>
                <w:webHidden/>
              </w:rPr>
              <w:fldChar w:fldCharType="begin"/>
            </w:r>
            <w:r>
              <w:rPr>
                <w:webHidden/>
              </w:rPr>
              <w:instrText xml:space="preserve"> PAGEREF _Toc12503522 \h </w:instrText>
            </w:r>
            <w:r>
              <w:rPr>
                <w:webHidden/>
              </w:rPr>
            </w:r>
            <w:r>
              <w:rPr>
                <w:webHidden/>
              </w:rPr>
              <w:fldChar w:fldCharType="separate"/>
            </w:r>
            <w:r w:rsidR="00450958">
              <w:rPr>
                <w:webHidden/>
              </w:rPr>
              <w:t>50</w:t>
            </w:r>
            <w:r>
              <w:rPr>
                <w:webHidden/>
              </w:rPr>
              <w:fldChar w:fldCharType="end"/>
            </w:r>
          </w:hyperlink>
        </w:p>
        <w:p w14:paraId="5D182FFC" w14:textId="38CBB2E4" w:rsidR="00AC7B59" w:rsidRDefault="00AC7B59">
          <w:pPr>
            <w:pStyle w:val="TOC2"/>
            <w:rPr>
              <w:rFonts w:asciiTheme="minorHAnsi" w:eastAsiaTheme="minorEastAsia" w:hAnsiTheme="minorHAnsi"/>
              <w:noProof/>
            </w:rPr>
          </w:pPr>
          <w:hyperlink w:anchor="_Toc12503523" w:history="1">
            <w:r w:rsidRPr="00682ED2">
              <w:rPr>
                <w:rStyle w:val="Hyperlink"/>
                <w:i/>
                <w:noProof/>
              </w:rPr>
              <w:t>Policy Effectiveness Review</w:t>
            </w:r>
            <w:r>
              <w:rPr>
                <w:noProof/>
                <w:webHidden/>
              </w:rPr>
              <w:tab/>
            </w:r>
            <w:r>
              <w:rPr>
                <w:noProof/>
                <w:webHidden/>
              </w:rPr>
              <w:fldChar w:fldCharType="begin"/>
            </w:r>
            <w:r>
              <w:rPr>
                <w:noProof/>
                <w:webHidden/>
              </w:rPr>
              <w:instrText xml:space="preserve"> PAGEREF _Toc12503523 \h </w:instrText>
            </w:r>
            <w:r>
              <w:rPr>
                <w:noProof/>
                <w:webHidden/>
              </w:rPr>
            </w:r>
            <w:r>
              <w:rPr>
                <w:noProof/>
                <w:webHidden/>
              </w:rPr>
              <w:fldChar w:fldCharType="separate"/>
            </w:r>
            <w:r w:rsidR="00450958">
              <w:rPr>
                <w:noProof/>
                <w:webHidden/>
              </w:rPr>
              <w:t>51</w:t>
            </w:r>
            <w:r>
              <w:rPr>
                <w:noProof/>
                <w:webHidden/>
              </w:rPr>
              <w:fldChar w:fldCharType="end"/>
            </w:r>
          </w:hyperlink>
        </w:p>
        <w:p w14:paraId="03F5C3DF" w14:textId="3A9F50A9" w:rsidR="00AC7B59" w:rsidRDefault="00AC7B59">
          <w:pPr>
            <w:pStyle w:val="TOC1"/>
            <w:tabs>
              <w:tab w:val="left" w:pos="440"/>
              <w:tab w:val="right" w:leader="dot" w:pos="9350"/>
            </w:tabs>
            <w:rPr>
              <w:rFonts w:asciiTheme="minorHAnsi" w:eastAsiaTheme="minorEastAsia" w:hAnsiTheme="minorHAnsi"/>
              <w:noProof/>
            </w:rPr>
          </w:pPr>
          <w:hyperlink w:anchor="_Toc12503524" w:history="1">
            <w:r w:rsidRPr="00682ED2">
              <w:rPr>
                <w:rStyle w:val="Hyperlink"/>
                <w:b/>
                <w:noProof/>
              </w:rPr>
              <w:t>5.</w:t>
            </w:r>
            <w:r>
              <w:rPr>
                <w:rFonts w:asciiTheme="minorHAnsi" w:eastAsiaTheme="minorEastAsia" w:hAnsiTheme="minorHAnsi"/>
                <w:noProof/>
              </w:rPr>
              <w:tab/>
            </w:r>
            <w:r w:rsidRPr="00682ED2">
              <w:rPr>
                <w:rStyle w:val="Hyperlink"/>
                <w:b/>
                <w:noProof/>
              </w:rPr>
              <w:t>The assessment of the Quality of the Policy Mix</w:t>
            </w:r>
            <w:r>
              <w:rPr>
                <w:noProof/>
                <w:webHidden/>
              </w:rPr>
              <w:tab/>
            </w:r>
            <w:r>
              <w:rPr>
                <w:noProof/>
                <w:webHidden/>
              </w:rPr>
              <w:fldChar w:fldCharType="begin"/>
            </w:r>
            <w:r>
              <w:rPr>
                <w:noProof/>
                <w:webHidden/>
              </w:rPr>
              <w:instrText xml:space="preserve"> PAGEREF _Toc12503524 \h </w:instrText>
            </w:r>
            <w:r>
              <w:rPr>
                <w:noProof/>
                <w:webHidden/>
              </w:rPr>
            </w:r>
            <w:r>
              <w:rPr>
                <w:noProof/>
                <w:webHidden/>
              </w:rPr>
              <w:fldChar w:fldCharType="separate"/>
            </w:r>
            <w:r w:rsidR="00450958">
              <w:rPr>
                <w:noProof/>
                <w:webHidden/>
              </w:rPr>
              <w:t>52</w:t>
            </w:r>
            <w:r>
              <w:rPr>
                <w:noProof/>
                <w:webHidden/>
              </w:rPr>
              <w:fldChar w:fldCharType="end"/>
            </w:r>
          </w:hyperlink>
        </w:p>
        <w:p w14:paraId="0667F604" w14:textId="776BFC9B" w:rsidR="00AC7B59" w:rsidRDefault="00AC7B59">
          <w:pPr>
            <w:pStyle w:val="TOC2"/>
            <w:rPr>
              <w:rFonts w:asciiTheme="minorHAnsi" w:eastAsiaTheme="minorEastAsia" w:hAnsiTheme="minorHAnsi"/>
              <w:noProof/>
            </w:rPr>
          </w:pPr>
          <w:hyperlink w:anchor="_Toc12503525" w:history="1">
            <w:r w:rsidRPr="00682ED2">
              <w:rPr>
                <w:rStyle w:val="Hyperlink"/>
                <w:noProof/>
              </w:rPr>
              <w:t>Approach</w:t>
            </w:r>
            <w:r>
              <w:rPr>
                <w:noProof/>
                <w:webHidden/>
              </w:rPr>
              <w:tab/>
            </w:r>
            <w:r>
              <w:rPr>
                <w:noProof/>
                <w:webHidden/>
              </w:rPr>
              <w:fldChar w:fldCharType="begin"/>
            </w:r>
            <w:r>
              <w:rPr>
                <w:noProof/>
                <w:webHidden/>
              </w:rPr>
              <w:instrText xml:space="preserve"> PAGEREF _Toc12503525 \h </w:instrText>
            </w:r>
            <w:r>
              <w:rPr>
                <w:noProof/>
                <w:webHidden/>
              </w:rPr>
            </w:r>
            <w:r>
              <w:rPr>
                <w:noProof/>
                <w:webHidden/>
              </w:rPr>
              <w:fldChar w:fldCharType="separate"/>
            </w:r>
            <w:r w:rsidR="00450958">
              <w:rPr>
                <w:noProof/>
                <w:webHidden/>
              </w:rPr>
              <w:t>52</w:t>
            </w:r>
            <w:r>
              <w:rPr>
                <w:noProof/>
                <w:webHidden/>
              </w:rPr>
              <w:fldChar w:fldCharType="end"/>
            </w:r>
          </w:hyperlink>
        </w:p>
        <w:p w14:paraId="5D55AD2D" w14:textId="556D475C" w:rsidR="00AC7B59" w:rsidRDefault="00AC7B59">
          <w:pPr>
            <w:pStyle w:val="TOC2"/>
            <w:rPr>
              <w:rFonts w:asciiTheme="minorHAnsi" w:eastAsiaTheme="minorEastAsia" w:hAnsiTheme="minorHAnsi"/>
              <w:noProof/>
            </w:rPr>
          </w:pPr>
          <w:hyperlink w:anchor="_Toc12503526" w:history="1">
            <w:r w:rsidRPr="00682ED2">
              <w:rPr>
                <w:rStyle w:val="Hyperlink"/>
                <w:noProof/>
              </w:rPr>
              <w:t>The data and scope</w:t>
            </w:r>
            <w:r>
              <w:rPr>
                <w:noProof/>
                <w:webHidden/>
              </w:rPr>
              <w:tab/>
            </w:r>
            <w:r>
              <w:rPr>
                <w:noProof/>
                <w:webHidden/>
              </w:rPr>
              <w:fldChar w:fldCharType="begin"/>
            </w:r>
            <w:r>
              <w:rPr>
                <w:noProof/>
                <w:webHidden/>
              </w:rPr>
              <w:instrText xml:space="preserve"> PAGEREF _Toc12503526 \h </w:instrText>
            </w:r>
            <w:r>
              <w:rPr>
                <w:noProof/>
                <w:webHidden/>
              </w:rPr>
            </w:r>
            <w:r>
              <w:rPr>
                <w:noProof/>
                <w:webHidden/>
              </w:rPr>
              <w:fldChar w:fldCharType="separate"/>
            </w:r>
            <w:r w:rsidR="00450958">
              <w:rPr>
                <w:noProof/>
                <w:webHidden/>
              </w:rPr>
              <w:t>53</w:t>
            </w:r>
            <w:r>
              <w:rPr>
                <w:noProof/>
                <w:webHidden/>
              </w:rPr>
              <w:fldChar w:fldCharType="end"/>
            </w:r>
          </w:hyperlink>
        </w:p>
        <w:p w14:paraId="3AE17A41" w14:textId="1FC0C270" w:rsidR="00AC7B59" w:rsidRDefault="00AC7B59">
          <w:pPr>
            <w:pStyle w:val="TOC2"/>
            <w:rPr>
              <w:rFonts w:asciiTheme="minorHAnsi" w:eastAsiaTheme="minorEastAsia" w:hAnsiTheme="minorHAnsi"/>
              <w:noProof/>
            </w:rPr>
          </w:pPr>
          <w:hyperlink w:anchor="_Toc12503527" w:history="1">
            <w:r w:rsidRPr="00682ED2">
              <w:rPr>
                <w:rStyle w:val="Hyperlink"/>
                <w:noProof/>
              </w:rPr>
              <w:t>Descriptive profile and concentration of the policy mix</w:t>
            </w:r>
            <w:r>
              <w:rPr>
                <w:noProof/>
                <w:webHidden/>
              </w:rPr>
              <w:tab/>
            </w:r>
            <w:r>
              <w:rPr>
                <w:noProof/>
                <w:webHidden/>
              </w:rPr>
              <w:fldChar w:fldCharType="begin"/>
            </w:r>
            <w:r>
              <w:rPr>
                <w:noProof/>
                <w:webHidden/>
              </w:rPr>
              <w:instrText xml:space="preserve"> PAGEREF _Toc12503527 \h </w:instrText>
            </w:r>
            <w:r>
              <w:rPr>
                <w:noProof/>
                <w:webHidden/>
              </w:rPr>
            </w:r>
            <w:r>
              <w:rPr>
                <w:noProof/>
                <w:webHidden/>
              </w:rPr>
              <w:fldChar w:fldCharType="separate"/>
            </w:r>
            <w:r w:rsidR="00450958">
              <w:rPr>
                <w:noProof/>
                <w:webHidden/>
              </w:rPr>
              <w:t>54</w:t>
            </w:r>
            <w:r>
              <w:rPr>
                <w:noProof/>
                <w:webHidden/>
              </w:rPr>
              <w:fldChar w:fldCharType="end"/>
            </w:r>
          </w:hyperlink>
        </w:p>
        <w:p w14:paraId="771BE075" w14:textId="5463F128" w:rsidR="00AC7B59" w:rsidRDefault="00AC7B59">
          <w:pPr>
            <w:pStyle w:val="TOC2"/>
            <w:rPr>
              <w:rFonts w:asciiTheme="minorHAnsi" w:eastAsiaTheme="minorEastAsia" w:hAnsiTheme="minorHAnsi"/>
              <w:noProof/>
            </w:rPr>
          </w:pPr>
          <w:hyperlink w:anchor="_Toc12503528" w:history="1">
            <w:r w:rsidRPr="00682ED2">
              <w:rPr>
                <w:rStyle w:val="Hyperlink"/>
                <w:noProof/>
              </w:rPr>
              <w:t>Scale and redundancies</w:t>
            </w:r>
            <w:r>
              <w:rPr>
                <w:noProof/>
                <w:webHidden/>
              </w:rPr>
              <w:tab/>
            </w:r>
            <w:r>
              <w:rPr>
                <w:noProof/>
                <w:webHidden/>
              </w:rPr>
              <w:fldChar w:fldCharType="begin"/>
            </w:r>
            <w:r>
              <w:rPr>
                <w:noProof/>
                <w:webHidden/>
              </w:rPr>
              <w:instrText xml:space="preserve"> PAGEREF _Toc12503528 \h </w:instrText>
            </w:r>
            <w:r>
              <w:rPr>
                <w:noProof/>
                <w:webHidden/>
              </w:rPr>
            </w:r>
            <w:r>
              <w:rPr>
                <w:noProof/>
                <w:webHidden/>
              </w:rPr>
              <w:fldChar w:fldCharType="separate"/>
            </w:r>
            <w:r w:rsidR="00450958">
              <w:rPr>
                <w:noProof/>
                <w:webHidden/>
              </w:rPr>
              <w:t>61</w:t>
            </w:r>
            <w:r>
              <w:rPr>
                <w:noProof/>
                <w:webHidden/>
              </w:rPr>
              <w:fldChar w:fldCharType="end"/>
            </w:r>
          </w:hyperlink>
        </w:p>
        <w:p w14:paraId="037EE856" w14:textId="19150BEB" w:rsidR="00AC7B59" w:rsidRDefault="00AC7B59">
          <w:pPr>
            <w:pStyle w:val="TOC2"/>
            <w:rPr>
              <w:rFonts w:asciiTheme="minorHAnsi" w:eastAsiaTheme="minorEastAsia" w:hAnsiTheme="minorHAnsi"/>
              <w:noProof/>
            </w:rPr>
          </w:pPr>
          <w:hyperlink w:anchor="_Toc12503529" w:history="1">
            <w:r w:rsidRPr="00682ED2">
              <w:rPr>
                <w:rStyle w:val="Hyperlink"/>
                <w:noProof/>
              </w:rPr>
              <w:t>Coherence of the policy mix</w:t>
            </w:r>
            <w:r>
              <w:rPr>
                <w:noProof/>
                <w:webHidden/>
              </w:rPr>
              <w:tab/>
            </w:r>
            <w:r>
              <w:rPr>
                <w:noProof/>
                <w:webHidden/>
              </w:rPr>
              <w:fldChar w:fldCharType="begin"/>
            </w:r>
            <w:r>
              <w:rPr>
                <w:noProof/>
                <w:webHidden/>
              </w:rPr>
              <w:instrText xml:space="preserve"> PAGEREF _Toc12503529 \h </w:instrText>
            </w:r>
            <w:r>
              <w:rPr>
                <w:noProof/>
                <w:webHidden/>
              </w:rPr>
            </w:r>
            <w:r>
              <w:rPr>
                <w:noProof/>
                <w:webHidden/>
              </w:rPr>
              <w:fldChar w:fldCharType="separate"/>
            </w:r>
            <w:r w:rsidR="00450958">
              <w:rPr>
                <w:noProof/>
                <w:webHidden/>
              </w:rPr>
              <w:t>63</w:t>
            </w:r>
            <w:r>
              <w:rPr>
                <w:noProof/>
                <w:webHidden/>
              </w:rPr>
              <w:fldChar w:fldCharType="end"/>
            </w:r>
          </w:hyperlink>
        </w:p>
        <w:p w14:paraId="36A3DA39" w14:textId="07DC1CAC" w:rsidR="00AC7B59" w:rsidRDefault="00AC7B59">
          <w:pPr>
            <w:pStyle w:val="TOC2"/>
            <w:rPr>
              <w:rFonts w:asciiTheme="minorHAnsi" w:eastAsiaTheme="minorEastAsia" w:hAnsiTheme="minorHAnsi"/>
              <w:noProof/>
            </w:rPr>
          </w:pPr>
          <w:hyperlink w:anchor="_Toc12503530" w:history="1">
            <w:r w:rsidRPr="00682ED2">
              <w:rPr>
                <w:rStyle w:val="Hyperlink"/>
                <w:noProof/>
              </w:rPr>
              <w:t>Summary conclusion</w:t>
            </w:r>
            <w:r>
              <w:rPr>
                <w:noProof/>
                <w:webHidden/>
              </w:rPr>
              <w:tab/>
            </w:r>
            <w:r>
              <w:rPr>
                <w:noProof/>
                <w:webHidden/>
              </w:rPr>
              <w:fldChar w:fldCharType="begin"/>
            </w:r>
            <w:r>
              <w:rPr>
                <w:noProof/>
                <w:webHidden/>
              </w:rPr>
              <w:instrText xml:space="preserve"> PAGEREF _Toc12503530 \h </w:instrText>
            </w:r>
            <w:r>
              <w:rPr>
                <w:noProof/>
                <w:webHidden/>
              </w:rPr>
            </w:r>
            <w:r>
              <w:rPr>
                <w:noProof/>
                <w:webHidden/>
              </w:rPr>
              <w:fldChar w:fldCharType="separate"/>
            </w:r>
            <w:r w:rsidR="00450958">
              <w:rPr>
                <w:noProof/>
                <w:webHidden/>
              </w:rPr>
              <w:t>65</w:t>
            </w:r>
            <w:r>
              <w:rPr>
                <w:noProof/>
                <w:webHidden/>
              </w:rPr>
              <w:fldChar w:fldCharType="end"/>
            </w:r>
          </w:hyperlink>
        </w:p>
        <w:p w14:paraId="46F79246" w14:textId="3E5D8304" w:rsidR="00AC7B59" w:rsidRDefault="00AC7B59">
          <w:pPr>
            <w:pStyle w:val="TOC1"/>
            <w:tabs>
              <w:tab w:val="left" w:pos="440"/>
              <w:tab w:val="right" w:leader="dot" w:pos="9350"/>
            </w:tabs>
            <w:rPr>
              <w:rFonts w:asciiTheme="minorHAnsi" w:eastAsiaTheme="minorEastAsia" w:hAnsiTheme="minorHAnsi"/>
              <w:noProof/>
            </w:rPr>
          </w:pPr>
          <w:hyperlink w:anchor="_Toc12503531" w:history="1">
            <w:r w:rsidRPr="00682ED2">
              <w:rPr>
                <w:rStyle w:val="Hyperlink"/>
                <w:b/>
                <w:noProof/>
              </w:rPr>
              <w:t>6.</w:t>
            </w:r>
            <w:r>
              <w:rPr>
                <w:rFonts w:asciiTheme="minorHAnsi" w:eastAsiaTheme="minorEastAsia" w:hAnsiTheme="minorHAnsi"/>
                <w:noProof/>
              </w:rPr>
              <w:tab/>
            </w:r>
            <w:r w:rsidRPr="00682ED2">
              <w:rPr>
                <w:rStyle w:val="Hyperlink"/>
                <w:b/>
                <w:noProof/>
              </w:rPr>
              <w:t>Functional Review</w:t>
            </w:r>
            <w:r>
              <w:rPr>
                <w:noProof/>
                <w:webHidden/>
              </w:rPr>
              <w:tab/>
            </w:r>
            <w:r>
              <w:rPr>
                <w:noProof/>
                <w:webHidden/>
              </w:rPr>
              <w:fldChar w:fldCharType="begin"/>
            </w:r>
            <w:r>
              <w:rPr>
                <w:noProof/>
                <w:webHidden/>
              </w:rPr>
              <w:instrText xml:space="preserve"> PAGEREF _Toc12503531 \h </w:instrText>
            </w:r>
            <w:r>
              <w:rPr>
                <w:noProof/>
                <w:webHidden/>
              </w:rPr>
            </w:r>
            <w:r>
              <w:rPr>
                <w:noProof/>
                <w:webHidden/>
              </w:rPr>
              <w:fldChar w:fldCharType="separate"/>
            </w:r>
            <w:r w:rsidR="00450958">
              <w:rPr>
                <w:noProof/>
                <w:webHidden/>
              </w:rPr>
              <w:t>72</w:t>
            </w:r>
            <w:r>
              <w:rPr>
                <w:noProof/>
                <w:webHidden/>
              </w:rPr>
              <w:fldChar w:fldCharType="end"/>
            </w:r>
          </w:hyperlink>
        </w:p>
        <w:p w14:paraId="22B371E8" w14:textId="291374BE" w:rsidR="00AC7B59" w:rsidRDefault="00AC7B59">
          <w:pPr>
            <w:pStyle w:val="TOC2"/>
            <w:rPr>
              <w:rFonts w:asciiTheme="minorHAnsi" w:eastAsiaTheme="minorEastAsia" w:hAnsiTheme="minorHAnsi"/>
              <w:noProof/>
            </w:rPr>
          </w:pPr>
          <w:hyperlink w:anchor="_Toc12503532" w:history="1">
            <w:r w:rsidRPr="00682ED2">
              <w:rPr>
                <w:rStyle w:val="Hyperlink"/>
                <w:noProof/>
              </w:rPr>
              <w:t>Functional Review Approach</w:t>
            </w:r>
            <w:r>
              <w:rPr>
                <w:noProof/>
                <w:webHidden/>
              </w:rPr>
              <w:tab/>
            </w:r>
            <w:r>
              <w:rPr>
                <w:noProof/>
                <w:webHidden/>
              </w:rPr>
              <w:fldChar w:fldCharType="begin"/>
            </w:r>
            <w:r>
              <w:rPr>
                <w:noProof/>
                <w:webHidden/>
              </w:rPr>
              <w:instrText xml:space="preserve"> PAGEREF _Toc12503532 \h </w:instrText>
            </w:r>
            <w:r>
              <w:rPr>
                <w:noProof/>
                <w:webHidden/>
              </w:rPr>
            </w:r>
            <w:r>
              <w:rPr>
                <w:noProof/>
                <w:webHidden/>
              </w:rPr>
              <w:fldChar w:fldCharType="separate"/>
            </w:r>
            <w:r w:rsidR="00450958">
              <w:rPr>
                <w:noProof/>
                <w:webHidden/>
              </w:rPr>
              <w:t>72</w:t>
            </w:r>
            <w:r>
              <w:rPr>
                <w:noProof/>
                <w:webHidden/>
              </w:rPr>
              <w:fldChar w:fldCharType="end"/>
            </w:r>
          </w:hyperlink>
        </w:p>
        <w:p w14:paraId="59258907" w14:textId="42CE3EE6" w:rsidR="00AC7B59" w:rsidRDefault="00AC7B59">
          <w:pPr>
            <w:pStyle w:val="TOC2"/>
            <w:rPr>
              <w:rFonts w:asciiTheme="minorHAnsi" w:eastAsiaTheme="minorEastAsia" w:hAnsiTheme="minorHAnsi"/>
              <w:noProof/>
            </w:rPr>
          </w:pPr>
          <w:hyperlink w:anchor="_Toc12503533" w:history="1">
            <w:r w:rsidRPr="00682ED2">
              <w:rPr>
                <w:rStyle w:val="Hyperlink"/>
                <w:noProof/>
              </w:rPr>
              <w:t>Functional analysis findings</w:t>
            </w:r>
            <w:r>
              <w:rPr>
                <w:noProof/>
                <w:webHidden/>
              </w:rPr>
              <w:tab/>
            </w:r>
            <w:r>
              <w:rPr>
                <w:noProof/>
                <w:webHidden/>
              </w:rPr>
              <w:fldChar w:fldCharType="begin"/>
            </w:r>
            <w:r>
              <w:rPr>
                <w:noProof/>
                <w:webHidden/>
              </w:rPr>
              <w:instrText xml:space="preserve"> PAGEREF _Toc12503533 \h </w:instrText>
            </w:r>
            <w:r>
              <w:rPr>
                <w:noProof/>
                <w:webHidden/>
              </w:rPr>
            </w:r>
            <w:r>
              <w:rPr>
                <w:noProof/>
                <w:webHidden/>
              </w:rPr>
              <w:fldChar w:fldCharType="separate"/>
            </w:r>
            <w:r w:rsidR="00450958">
              <w:rPr>
                <w:noProof/>
                <w:webHidden/>
              </w:rPr>
              <w:t>74</w:t>
            </w:r>
            <w:r>
              <w:rPr>
                <w:noProof/>
                <w:webHidden/>
              </w:rPr>
              <w:fldChar w:fldCharType="end"/>
            </w:r>
          </w:hyperlink>
        </w:p>
        <w:p w14:paraId="1006B0C8" w14:textId="7B602B5A" w:rsidR="00AC7B59" w:rsidRDefault="00AC7B59">
          <w:pPr>
            <w:pStyle w:val="TOC2"/>
            <w:rPr>
              <w:rFonts w:asciiTheme="minorHAnsi" w:eastAsiaTheme="minorEastAsia" w:hAnsiTheme="minorHAnsi"/>
              <w:noProof/>
            </w:rPr>
          </w:pPr>
          <w:hyperlink w:anchor="_Toc12503534" w:history="1">
            <w:r w:rsidRPr="00682ED2">
              <w:rPr>
                <w:rStyle w:val="Hyperlink"/>
                <w:noProof/>
              </w:rPr>
              <w:t>Key problems in the use of good practices</w:t>
            </w:r>
            <w:r>
              <w:rPr>
                <w:noProof/>
                <w:webHidden/>
              </w:rPr>
              <w:tab/>
            </w:r>
            <w:r>
              <w:rPr>
                <w:noProof/>
                <w:webHidden/>
              </w:rPr>
              <w:fldChar w:fldCharType="begin"/>
            </w:r>
            <w:r>
              <w:rPr>
                <w:noProof/>
                <w:webHidden/>
              </w:rPr>
              <w:instrText xml:space="preserve"> PAGEREF _Toc12503534 \h </w:instrText>
            </w:r>
            <w:r>
              <w:rPr>
                <w:noProof/>
                <w:webHidden/>
              </w:rPr>
            </w:r>
            <w:r>
              <w:rPr>
                <w:noProof/>
                <w:webHidden/>
              </w:rPr>
              <w:fldChar w:fldCharType="separate"/>
            </w:r>
            <w:r w:rsidR="00450958">
              <w:rPr>
                <w:noProof/>
                <w:webHidden/>
              </w:rPr>
              <w:t>77</w:t>
            </w:r>
            <w:r>
              <w:rPr>
                <w:noProof/>
                <w:webHidden/>
              </w:rPr>
              <w:fldChar w:fldCharType="end"/>
            </w:r>
          </w:hyperlink>
        </w:p>
        <w:p w14:paraId="6BB896F6" w14:textId="5382EECE" w:rsidR="00AC7B59" w:rsidRDefault="00AC7B59">
          <w:pPr>
            <w:pStyle w:val="TOC3"/>
            <w:rPr>
              <w:rFonts w:asciiTheme="minorHAnsi" w:eastAsiaTheme="minorEastAsia" w:hAnsiTheme="minorHAnsi"/>
              <w:i w:val="0"/>
            </w:rPr>
          </w:pPr>
          <w:hyperlink w:anchor="_Toc12503535" w:history="1">
            <w:r w:rsidRPr="00682ED2">
              <w:rPr>
                <w:rStyle w:val="Hyperlink"/>
              </w:rPr>
              <w:t>Design</w:t>
            </w:r>
            <w:r>
              <w:rPr>
                <w:webHidden/>
              </w:rPr>
              <w:tab/>
            </w:r>
            <w:r>
              <w:rPr>
                <w:webHidden/>
              </w:rPr>
              <w:fldChar w:fldCharType="begin"/>
            </w:r>
            <w:r>
              <w:rPr>
                <w:webHidden/>
              </w:rPr>
              <w:instrText xml:space="preserve"> PAGEREF _Toc12503535 \h </w:instrText>
            </w:r>
            <w:r>
              <w:rPr>
                <w:webHidden/>
              </w:rPr>
            </w:r>
            <w:r>
              <w:rPr>
                <w:webHidden/>
              </w:rPr>
              <w:fldChar w:fldCharType="separate"/>
            </w:r>
            <w:r w:rsidR="00450958">
              <w:rPr>
                <w:webHidden/>
              </w:rPr>
              <w:t>77</w:t>
            </w:r>
            <w:r>
              <w:rPr>
                <w:webHidden/>
              </w:rPr>
              <w:fldChar w:fldCharType="end"/>
            </w:r>
          </w:hyperlink>
        </w:p>
        <w:p w14:paraId="23843EF3" w14:textId="440F5DB4" w:rsidR="00AC7B59" w:rsidRDefault="00AC7B59">
          <w:pPr>
            <w:pStyle w:val="TOC3"/>
            <w:rPr>
              <w:rFonts w:asciiTheme="minorHAnsi" w:eastAsiaTheme="minorEastAsia" w:hAnsiTheme="minorHAnsi"/>
              <w:i w:val="0"/>
            </w:rPr>
          </w:pPr>
          <w:hyperlink w:anchor="_Toc12503536" w:history="1">
            <w:r w:rsidRPr="00682ED2">
              <w:rPr>
                <w:rStyle w:val="Hyperlink"/>
              </w:rPr>
              <w:t>Implementation</w:t>
            </w:r>
            <w:r>
              <w:rPr>
                <w:webHidden/>
              </w:rPr>
              <w:tab/>
            </w:r>
            <w:r>
              <w:rPr>
                <w:webHidden/>
              </w:rPr>
              <w:fldChar w:fldCharType="begin"/>
            </w:r>
            <w:r>
              <w:rPr>
                <w:webHidden/>
              </w:rPr>
              <w:instrText xml:space="preserve"> PAGEREF _Toc12503536 \h </w:instrText>
            </w:r>
            <w:r>
              <w:rPr>
                <w:webHidden/>
              </w:rPr>
            </w:r>
            <w:r>
              <w:rPr>
                <w:webHidden/>
              </w:rPr>
              <w:fldChar w:fldCharType="separate"/>
            </w:r>
            <w:r w:rsidR="00450958">
              <w:rPr>
                <w:webHidden/>
              </w:rPr>
              <w:t>78</w:t>
            </w:r>
            <w:r>
              <w:rPr>
                <w:webHidden/>
              </w:rPr>
              <w:fldChar w:fldCharType="end"/>
            </w:r>
          </w:hyperlink>
        </w:p>
        <w:p w14:paraId="236FB331" w14:textId="0A620E96" w:rsidR="00AC7B59" w:rsidRDefault="00AC7B59">
          <w:pPr>
            <w:pStyle w:val="TOC3"/>
            <w:rPr>
              <w:rFonts w:asciiTheme="minorHAnsi" w:eastAsiaTheme="minorEastAsia" w:hAnsiTheme="minorHAnsi"/>
              <w:i w:val="0"/>
            </w:rPr>
          </w:pPr>
          <w:hyperlink w:anchor="_Toc12503537" w:history="1">
            <w:r w:rsidRPr="00682ED2">
              <w:rPr>
                <w:rStyle w:val="Hyperlink"/>
              </w:rPr>
              <w:t>Governance</w:t>
            </w:r>
            <w:r>
              <w:rPr>
                <w:webHidden/>
              </w:rPr>
              <w:tab/>
            </w:r>
            <w:r>
              <w:rPr>
                <w:webHidden/>
              </w:rPr>
              <w:fldChar w:fldCharType="begin"/>
            </w:r>
            <w:r>
              <w:rPr>
                <w:webHidden/>
              </w:rPr>
              <w:instrText xml:space="preserve"> PAGEREF _Toc12503537 \h </w:instrText>
            </w:r>
            <w:r>
              <w:rPr>
                <w:webHidden/>
              </w:rPr>
            </w:r>
            <w:r>
              <w:rPr>
                <w:webHidden/>
              </w:rPr>
              <w:fldChar w:fldCharType="separate"/>
            </w:r>
            <w:r w:rsidR="00450958">
              <w:rPr>
                <w:webHidden/>
              </w:rPr>
              <w:t>78</w:t>
            </w:r>
            <w:r>
              <w:rPr>
                <w:webHidden/>
              </w:rPr>
              <w:fldChar w:fldCharType="end"/>
            </w:r>
          </w:hyperlink>
        </w:p>
        <w:p w14:paraId="0F3A1A26" w14:textId="2DD7A8CF" w:rsidR="00AC7B59" w:rsidRDefault="00AC7B59">
          <w:pPr>
            <w:pStyle w:val="TOC2"/>
            <w:rPr>
              <w:rFonts w:asciiTheme="minorHAnsi" w:eastAsiaTheme="minorEastAsia" w:hAnsiTheme="minorHAnsi"/>
              <w:noProof/>
            </w:rPr>
          </w:pPr>
          <w:hyperlink w:anchor="_Toc12503538" w:history="1">
            <w:r w:rsidRPr="00682ED2">
              <w:rPr>
                <w:rStyle w:val="Hyperlink"/>
                <w:noProof/>
              </w:rPr>
              <w:t>Improving Program Performance</w:t>
            </w:r>
            <w:r>
              <w:rPr>
                <w:noProof/>
                <w:webHidden/>
              </w:rPr>
              <w:tab/>
            </w:r>
            <w:r>
              <w:rPr>
                <w:noProof/>
                <w:webHidden/>
              </w:rPr>
              <w:fldChar w:fldCharType="begin"/>
            </w:r>
            <w:r>
              <w:rPr>
                <w:noProof/>
                <w:webHidden/>
              </w:rPr>
              <w:instrText xml:space="preserve"> PAGEREF _Toc12503538 \h </w:instrText>
            </w:r>
            <w:r>
              <w:rPr>
                <w:noProof/>
                <w:webHidden/>
              </w:rPr>
            </w:r>
            <w:r>
              <w:rPr>
                <w:noProof/>
                <w:webHidden/>
              </w:rPr>
              <w:fldChar w:fldCharType="separate"/>
            </w:r>
            <w:r w:rsidR="00450958">
              <w:rPr>
                <w:noProof/>
                <w:webHidden/>
              </w:rPr>
              <w:t>79</w:t>
            </w:r>
            <w:r>
              <w:rPr>
                <w:noProof/>
                <w:webHidden/>
              </w:rPr>
              <w:fldChar w:fldCharType="end"/>
            </w:r>
          </w:hyperlink>
        </w:p>
        <w:p w14:paraId="4309D1E3" w14:textId="08D54EEE" w:rsidR="00AC7B59" w:rsidRDefault="00AC7B59">
          <w:pPr>
            <w:pStyle w:val="TOC1"/>
            <w:tabs>
              <w:tab w:val="right" w:leader="dot" w:pos="9350"/>
            </w:tabs>
            <w:rPr>
              <w:rFonts w:asciiTheme="minorHAnsi" w:eastAsiaTheme="minorEastAsia" w:hAnsiTheme="minorHAnsi"/>
              <w:noProof/>
            </w:rPr>
          </w:pPr>
          <w:hyperlink w:anchor="_Toc12503539" w:history="1">
            <w:r w:rsidRPr="00682ED2">
              <w:rPr>
                <w:rStyle w:val="Hyperlink"/>
                <w:noProof/>
              </w:rPr>
              <w:t>Annex 2. Entrepreneurship Ecosystem Diagnostic (EED) Toolkit</w:t>
            </w:r>
            <w:r>
              <w:rPr>
                <w:noProof/>
                <w:webHidden/>
              </w:rPr>
              <w:tab/>
            </w:r>
            <w:r>
              <w:rPr>
                <w:noProof/>
                <w:webHidden/>
              </w:rPr>
              <w:fldChar w:fldCharType="begin"/>
            </w:r>
            <w:r>
              <w:rPr>
                <w:noProof/>
                <w:webHidden/>
              </w:rPr>
              <w:instrText xml:space="preserve"> PAGEREF _Toc12503539 \h </w:instrText>
            </w:r>
            <w:r>
              <w:rPr>
                <w:noProof/>
                <w:webHidden/>
              </w:rPr>
            </w:r>
            <w:r>
              <w:rPr>
                <w:noProof/>
                <w:webHidden/>
              </w:rPr>
              <w:fldChar w:fldCharType="separate"/>
            </w:r>
            <w:r w:rsidR="00450958">
              <w:rPr>
                <w:noProof/>
                <w:webHidden/>
              </w:rPr>
              <w:t>81</w:t>
            </w:r>
            <w:r>
              <w:rPr>
                <w:noProof/>
                <w:webHidden/>
              </w:rPr>
              <w:fldChar w:fldCharType="end"/>
            </w:r>
          </w:hyperlink>
        </w:p>
        <w:p w14:paraId="6AC5C023" w14:textId="48417199" w:rsidR="00AC7B59" w:rsidRDefault="00AC7B59">
          <w:pPr>
            <w:pStyle w:val="TOC1"/>
            <w:tabs>
              <w:tab w:val="right" w:leader="dot" w:pos="9350"/>
            </w:tabs>
            <w:rPr>
              <w:rFonts w:asciiTheme="minorHAnsi" w:eastAsiaTheme="minorEastAsia" w:hAnsiTheme="minorHAnsi"/>
              <w:noProof/>
            </w:rPr>
          </w:pPr>
          <w:hyperlink w:anchor="_Toc12503540" w:history="1">
            <w:r w:rsidRPr="00682ED2">
              <w:rPr>
                <w:rStyle w:val="Hyperlink"/>
                <w:noProof/>
              </w:rPr>
              <w:t>Annex 3. Plans and laws focused on MSMEs and Entrepreneurship in the Philippines</w:t>
            </w:r>
            <w:r>
              <w:rPr>
                <w:noProof/>
                <w:webHidden/>
              </w:rPr>
              <w:tab/>
            </w:r>
            <w:r>
              <w:rPr>
                <w:noProof/>
                <w:webHidden/>
              </w:rPr>
              <w:fldChar w:fldCharType="begin"/>
            </w:r>
            <w:r>
              <w:rPr>
                <w:noProof/>
                <w:webHidden/>
              </w:rPr>
              <w:instrText xml:space="preserve"> PAGEREF _Toc12503540 \h </w:instrText>
            </w:r>
            <w:r>
              <w:rPr>
                <w:noProof/>
                <w:webHidden/>
              </w:rPr>
            </w:r>
            <w:r>
              <w:rPr>
                <w:noProof/>
                <w:webHidden/>
              </w:rPr>
              <w:fldChar w:fldCharType="separate"/>
            </w:r>
            <w:r w:rsidR="00450958">
              <w:rPr>
                <w:noProof/>
                <w:webHidden/>
              </w:rPr>
              <w:t>82</w:t>
            </w:r>
            <w:r>
              <w:rPr>
                <w:noProof/>
                <w:webHidden/>
              </w:rPr>
              <w:fldChar w:fldCharType="end"/>
            </w:r>
          </w:hyperlink>
        </w:p>
        <w:p w14:paraId="3F68F447" w14:textId="209A8EBD" w:rsidR="00AC7B59" w:rsidRDefault="00AC7B59">
          <w:pPr>
            <w:pStyle w:val="TOC1"/>
            <w:tabs>
              <w:tab w:val="right" w:leader="dot" w:pos="9350"/>
            </w:tabs>
            <w:rPr>
              <w:rFonts w:asciiTheme="minorHAnsi" w:eastAsiaTheme="minorEastAsia" w:hAnsiTheme="minorHAnsi"/>
              <w:noProof/>
            </w:rPr>
          </w:pPr>
          <w:hyperlink w:anchor="_Toc12503541" w:history="1">
            <w:r w:rsidRPr="00682ED2">
              <w:rPr>
                <w:rStyle w:val="Hyperlink"/>
                <w:noProof/>
              </w:rPr>
              <w:t>Annex 4. PER Methodology – RAPID vs. FULL</w:t>
            </w:r>
            <w:r>
              <w:rPr>
                <w:noProof/>
                <w:webHidden/>
              </w:rPr>
              <w:tab/>
            </w:r>
            <w:r>
              <w:rPr>
                <w:noProof/>
                <w:webHidden/>
              </w:rPr>
              <w:fldChar w:fldCharType="begin"/>
            </w:r>
            <w:r>
              <w:rPr>
                <w:noProof/>
                <w:webHidden/>
              </w:rPr>
              <w:instrText xml:space="preserve"> PAGEREF _Toc12503541 \h </w:instrText>
            </w:r>
            <w:r>
              <w:rPr>
                <w:noProof/>
                <w:webHidden/>
              </w:rPr>
            </w:r>
            <w:r>
              <w:rPr>
                <w:noProof/>
                <w:webHidden/>
              </w:rPr>
              <w:fldChar w:fldCharType="separate"/>
            </w:r>
            <w:r w:rsidR="00450958">
              <w:rPr>
                <w:noProof/>
                <w:webHidden/>
              </w:rPr>
              <w:t>89</w:t>
            </w:r>
            <w:r>
              <w:rPr>
                <w:noProof/>
                <w:webHidden/>
              </w:rPr>
              <w:fldChar w:fldCharType="end"/>
            </w:r>
          </w:hyperlink>
        </w:p>
        <w:p w14:paraId="3870217C" w14:textId="36ECF24D" w:rsidR="00AC7B59" w:rsidRDefault="00AC7B59">
          <w:pPr>
            <w:pStyle w:val="TOC1"/>
            <w:tabs>
              <w:tab w:val="right" w:leader="dot" w:pos="9350"/>
            </w:tabs>
            <w:rPr>
              <w:rFonts w:asciiTheme="minorHAnsi" w:eastAsiaTheme="minorEastAsia" w:hAnsiTheme="minorHAnsi"/>
              <w:noProof/>
            </w:rPr>
          </w:pPr>
          <w:hyperlink w:anchor="_Toc12503542" w:history="1">
            <w:r w:rsidRPr="00682ED2">
              <w:rPr>
                <w:rStyle w:val="Hyperlink"/>
                <w:noProof/>
              </w:rPr>
              <w:t>Annex 5. DTI-DOST programs for MSMEs</w:t>
            </w:r>
            <w:r>
              <w:rPr>
                <w:noProof/>
                <w:webHidden/>
              </w:rPr>
              <w:tab/>
            </w:r>
            <w:r>
              <w:rPr>
                <w:noProof/>
                <w:webHidden/>
              </w:rPr>
              <w:fldChar w:fldCharType="begin"/>
            </w:r>
            <w:r>
              <w:rPr>
                <w:noProof/>
                <w:webHidden/>
              </w:rPr>
              <w:instrText xml:space="preserve"> PAGEREF _Toc12503542 \h </w:instrText>
            </w:r>
            <w:r>
              <w:rPr>
                <w:noProof/>
                <w:webHidden/>
              </w:rPr>
            </w:r>
            <w:r>
              <w:rPr>
                <w:noProof/>
                <w:webHidden/>
              </w:rPr>
              <w:fldChar w:fldCharType="separate"/>
            </w:r>
            <w:r w:rsidR="00450958">
              <w:rPr>
                <w:noProof/>
                <w:webHidden/>
              </w:rPr>
              <w:t>90</w:t>
            </w:r>
            <w:r>
              <w:rPr>
                <w:noProof/>
                <w:webHidden/>
              </w:rPr>
              <w:fldChar w:fldCharType="end"/>
            </w:r>
          </w:hyperlink>
        </w:p>
        <w:p w14:paraId="40C155C8" w14:textId="2C2F101A" w:rsidR="00AC7B59" w:rsidRDefault="00AC7B59">
          <w:pPr>
            <w:pStyle w:val="TOC1"/>
            <w:tabs>
              <w:tab w:val="right" w:leader="dot" w:pos="9350"/>
            </w:tabs>
            <w:rPr>
              <w:rFonts w:asciiTheme="minorHAnsi" w:eastAsiaTheme="minorEastAsia" w:hAnsiTheme="minorHAnsi"/>
              <w:noProof/>
            </w:rPr>
          </w:pPr>
          <w:hyperlink w:anchor="_Toc12503543" w:history="1">
            <w:r w:rsidRPr="00682ED2">
              <w:rPr>
                <w:rStyle w:val="Hyperlink"/>
                <w:noProof/>
              </w:rPr>
              <w:t>Annex 6: Agency Performance</w:t>
            </w:r>
            <w:r>
              <w:rPr>
                <w:noProof/>
                <w:webHidden/>
              </w:rPr>
              <w:tab/>
            </w:r>
            <w:r>
              <w:rPr>
                <w:noProof/>
                <w:webHidden/>
              </w:rPr>
              <w:fldChar w:fldCharType="begin"/>
            </w:r>
            <w:r>
              <w:rPr>
                <w:noProof/>
                <w:webHidden/>
              </w:rPr>
              <w:instrText xml:space="preserve"> PAGEREF _Toc12503543 \h </w:instrText>
            </w:r>
            <w:r>
              <w:rPr>
                <w:noProof/>
                <w:webHidden/>
              </w:rPr>
            </w:r>
            <w:r>
              <w:rPr>
                <w:noProof/>
                <w:webHidden/>
              </w:rPr>
              <w:fldChar w:fldCharType="separate"/>
            </w:r>
            <w:r w:rsidR="00450958">
              <w:rPr>
                <w:noProof/>
                <w:webHidden/>
              </w:rPr>
              <w:t>95</w:t>
            </w:r>
            <w:r>
              <w:rPr>
                <w:noProof/>
                <w:webHidden/>
              </w:rPr>
              <w:fldChar w:fldCharType="end"/>
            </w:r>
          </w:hyperlink>
        </w:p>
        <w:p w14:paraId="5404BB49" w14:textId="4942981C" w:rsidR="00AC7B59" w:rsidRDefault="00AC7B59">
          <w:pPr>
            <w:pStyle w:val="TOC1"/>
            <w:tabs>
              <w:tab w:val="right" w:leader="dot" w:pos="9350"/>
            </w:tabs>
            <w:rPr>
              <w:rFonts w:asciiTheme="minorHAnsi" w:eastAsiaTheme="minorEastAsia" w:hAnsiTheme="minorHAnsi"/>
              <w:noProof/>
            </w:rPr>
          </w:pPr>
          <w:hyperlink w:anchor="_Toc12503544" w:history="1">
            <w:r w:rsidRPr="00682ED2">
              <w:rPr>
                <w:rStyle w:val="Hyperlink"/>
                <w:noProof/>
              </w:rPr>
              <w:t>Notes and References</w:t>
            </w:r>
            <w:r>
              <w:rPr>
                <w:noProof/>
                <w:webHidden/>
              </w:rPr>
              <w:tab/>
            </w:r>
            <w:r>
              <w:rPr>
                <w:noProof/>
                <w:webHidden/>
              </w:rPr>
              <w:fldChar w:fldCharType="begin"/>
            </w:r>
            <w:r>
              <w:rPr>
                <w:noProof/>
                <w:webHidden/>
              </w:rPr>
              <w:instrText xml:space="preserve"> PAGEREF _Toc12503544 \h </w:instrText>
            </w:r>
            <w:r>
              <w:rPr>
                <w:noProof/>
                <w:webHidden/>
              </w:rPr>
            </w:r>
            <w:r>
              <w:rPr>
                <w:noProof/>
                <w:webHidden/>
              </w:rPr>
              <w:fldChar w:fldCharType="separate"/>
            </w:r>
            <w:r w:rsidR="00450958">
              <w:rPr>
                <w:noProof/>
                <w:webHidden/>
              </w:rPr>
              <w:t>101</w:t>
            </w:r>
            <w:r>
              <w:rPr>
                <w:noProof/>
                <w:webHidden/>
              </w:rPr>
              <w:fldChar w:fldCharType="end"/>
            </w:r>
          </w:hyperlink>
        </w:p>
        <w:p w14:paraId="0598849A" w14:textId="3B319136" w:rsidR="003E67B8" w:rsidRDefault="003E67B8">
          <w:r>
            <w:rPr>
              <w:b/>
              <w:bCs/>
              <w:noProof/>
            </w:rPr>
            <w:fldChar w:fldCharType="end"/>
          </w:r>
        </w:p>
      </w:sdtContent>
    </w:sdt>
    <w:p w14:paraId="1A9DF3ED" w14:textId="77777777" w:rsidR="00E87C8E" w:rsidRDefault="00E87C8E" w:rsidP="00E87C8E">
      <w:pPr>
        <w:rPr>
          <w:rFonts w:eastAsia="SimSun" w:cs="Times New Roman"/>
          <w:b/>
          <w:sz w:val="20"/>
          <w:szCs w:val="20"/>
        </w:rPr>
      </w:pPr>
    </w:p>
    <w:p w14:paraId="66037783" w14:textId="285BD238" w:rsidR="000203F1" w:rsidRDefault="000203F1" w:rsidP="00911383">
      <w:pPr>
        <w:jc w:val="center"/>
        <w:rPr>
          <w:rFonts w:cs="Times New Roman"/>
          <w:b/>
          <w:sz w:val="24"/>
          <w:szCs w:val="24"/>
        </w:rPr>
      </w:pPr>
    </w:p>
    <w:p w14:paraId="659C6FC1" w14:textId="77777777" w:rsidR="000203F1" w:rsidRDefault="000203F1">
      <w:pPr>
        <w:rPr>
          <w:rFonts w:cs="Times New Roman"/>
          <w:b/>
          <w:sz w:val="24"/>
          <w:szCs w:val="24"/>
        </w:rPr>
      </w:pPr>
      <w:r>
        <w:rPr>
          <w:rFonts w:cs="Times New Roman"/>
          <w:b/>
          <w:sz w:val="24"/>
          <w:szCs w:val="24"/>
        </w:rPr>
        <w:br w:type="page"/>
      </w:r>
    </w:p>
    <w:p w14:paraId="171A6DBC" w14:textId="0C741A31" w:rsidR="00995F67" w:rsidRPr="00995F67" w:rsidRDefault="00995F67" w:rsidP="00995F67">
      <w:pPr>
        <w:keepNext/>
        <w:keepLines/>
        <w:spacing w:before="240" w:after="0"/>
        <w:outlineLvl w:val="0"/>
        <w:rPr>
          <w:rFonts w:eastAsia="SimSun" w:cs="Times New Roman"/>
          <w:color w:val="2E74B5"/>
          <w:sz w:val="32"/>
          <w:szCs w:val="32"/>
        </w:rPr>
      </w:pPr>
      <w:bookmarkStart w:id="1" w:name="_Toc487474169"/>
      <w:bookmarkStart w:id="2" w:name="_Toc10740033"/>
      <w:bookmarkStart w:id="3" w:name="_Toc12503506"/>
      <w:r w:rsidRPr="00995F67">
        <w:rPr>
          <w:rFonts w:eastAsia="SimSun" w:cs="Times New Roman"/>
          <w:color w:val="2E74B5"/>
          <w:sz w:val="32"/>
          <w:szCs w:val="32"/>
        </w:rPr>
        <w:t>Acknowledgements</w:t>
      </w:r>
      <w:bookmarkEnd w:id="1"/>
      <w:bookmarkEnd w:id="3"/>
      <w:r w:rsidR="00B11F17">
        <w:rPr>
          <w:rFonts w:eastAsia="SimSun" w:cs="Times New Roman"/>
          <w:color w:val="2E74B5"/>
          <w:sz w:val="32"/>
          <w:szCs w:val="32"/>
        </w:rPr>
        <w:t xml:space="preserve"> </w:t>
      </w:r>
      <w:bookmarkEnd w:id="2"/>
    </w:p>
    <w:p w14:paraId="5AB33742" w14:textId="4AD37D81" w:rsidR="00911383" w:rsidRDefault="00911383" w:rsidP="00911383">
      <w:pPr>
        <w:jc w:val="center"/>
        <w:rPr>
          <w:rFonts w:cs="Times New Roman"/>
          <w:b/>
          <w:sz w:val="24"/>
          <w:szCs w:val="24"/>
        </w:rPr>
      </w:pPr>
    </w:p>
    <w:p w14:paraId="1EC8EA4C" w14:textId="218DC543" w:rsidR="00385D25" w:rsidRPr="00B5695E" w:rsidRDefault="003D7663" w:rsidP="003D7663">
      <w:pPr>
        <w:spacing w:before="120" w:after="120" w:line="276" w:lineRule="auto"/>
        <w:jc w:val="both"/>
        <w:rPr>
          <w:rFonts w:eastAsia="Century Schoolbook" w:cs="Times New Roman"/>
        </w:rPr>
      </w:pPr>
      <w:r w:rsidRPr="00B5695E">
        <w:rPr>
          <w:rFonts w:eastAsia="Century Schoolbook" w:cs="Times New Roman"/>
        </w:rPr>
        <w:t>Th</w:t>
      </w:r>
      <w:r w:rsidR="00E31729" w:rsidRPr="00B5695E">
        <w:rPr>
          <w:rFonts w:eastAsia="Century Schoolbook" w:cs="Times New Roman"/>
        </w:rPr>
        <w:t xml:space="preserve">e report </w:t>
      </w:r>
      <w:r w:rsidRPr="00B5695E">
        <w:rPr>
          <w:rFonts w:eastAsia="Century Schoolbook" w:cs="Times New Roman"/>
        </w:rPr>
        <w:t xml:space="preserve">was prepared by </w:t>
      </w:r>
      <w:r w:rsidR="00E31729" w:rsidRPr="00B5695E">
        <w:rPr>
          <w:rFonts w:eastAsia="Century Schoolbook" w:cs="Times New Roman"/>
        </w:rPr>
        <w:t xml:space="preserve">a team of World Bank’s </w:t>
      </w:r>
      <w:r w:rsidR="0040427A" w:rsidRPr="00B5695E">
        <w:rPr>
          <w:rFonts w:eastAsia="Century Schoolbook" w:cs="Times New Roman"/>
        </w:rPr>
        <w:t>Finance, Competitiveness and Innovation Global Practic</w:t>
      </w:r>
      <w:r w:rsidR="00E31729" w:rsidRPr="00B5695E">
        <w:rPr>
          <w:rFonts w:eastAsia="Century Schoolbook" w:cs="Times New Roman"/>
        </w:rPr>
        <w:t>e</w:t>
      </w:r>
      <w:r w:rsidRPr="00B5695E">
        <w:rPr>
          <w:rFonts w:eastAsia="Century Schoolbook" w:cs="Times New Roman"/>
        </w:rPr>
        <w:t xml:space="preserve">. The </w:t>
      </w:r>
      <w:r w:rsidR="00E31729" w:rsidRPr="00B5695E">
        <w:rPr>
          <w:rFonts w:eastAsia="Century Schoolbook" w:cs="Times New Roman"/>
        </w:rPr>
        <w:t xml:space="preserve">team </w:t>
      </w:r>
      <w:r w:rsidRPr="00B5695E">
        <w:rPr>
          <w:rFonts w:eastAsia="Century Schoolbook" w:cs="Times New Roman"/>
        </w:rPr>
        <w:t xml:space="preserve">was </w:t>
      </w:r>
      <w:r w:rsidR="0040427A" w:rsidRPr="00B5695E">
        <w:rPr>
          <w:rFonts w:eastAsia="Century Schoolbook" w:cs="Times New Roman"/>
        </w:rPr>
        <w:t>co-</w:t>
      </w:r>
      <w:r w:rsidRPr="00B5695E">
        <w:rPr>
          <w:rFonts w:eastAsia="Century Schoolbook" w:cs="Times New Roman"/>
        </w:rPr>
        <w:t xml:space="preserve">led </w:t>
      </w:r>
      <w:r w:rsidR="0040427A" w:rsidRPr="00B5695E">
        <w:rPr>
          <w:rFonts w:eastAsia="Century Schoolbook" w:cs="Times New Roman"/>
        </w:rPr>
        <w:t xml:space="preserve">by Andres Garcia </w:t>
      </w:r>
      <w:r w:rsidR="00E31729" w:rsidRPr="00B5695E">
        <w:rPr>
          <w:rFonts w:eastAsia="Century Schoolbook" w:cs="Times New Roman"/>
        </w:rPr>
        <w:t xml:space="preserve">(Senior Economist) </w:t>
      </w:r>
      <w:r w:rsidR="0040427A" w:rsidRPr="00B5695E">
        <w:rPr>
          <w:rFonts w:eastAsia="Century Schoolbook" w:cs="Times New Roman"/>
        </w:rPr>
        <w:t>and Asya Akhlaque (</w:t>
      </w:r>
      <w:r w:rsidR="00E31729" w:rsidRPr="00B5695E">
        <w:rPr>
          <w:rFonts w:eastAsia="Century Schoolbook" w:cs="Times New Roman"/>
        </w:rPr>
        <w:t>Lead Economist</w:t>
      </w:r>
      <w:r w:rsidR="0040427A" w:rsidRPr="00B5695E">
        <w:rPr>
          <w:rFonts w:eastAsia="Century Schoolbook" w:cs="Times New Roman"/>
        </w:rPr>
        <w:t>)</w:t>
      </w:r>
      <w:r w:rsidR="002C6B70">
        <w:rPr>
          <w:rFonts w:eastAsia="Century Schoolbook" w:cs="Times New Roman"/>
        </w:rPr>
        <w:t>.</w:t>
      </w:r>
      <w:r w:rsidR="00E31729" w:rsidRPr="00B5695E">
        <w:rPr>
          <w:rFonts w:eastAsia="Century Schoolbook" w:cs="Times New Roman"/>
        </w:rPr>
        <w:t xml:space="preserve"> </w:t>
      </w:r>
      <w:r w:rsidR="002C6B70">
        <w:rPr>
          <w:rFonts w:eastAsia="Century Schoolbook" w:cs="Times New Roman"/>
        </w:rPr>
        <w:t>C</w:t>
      </w:r>
      <w:r w:rsidR="00385D25" w:rsidRPr="00B5695E">
        <w:rPr>
          <w:rFonts w:eastAsia="Century Schoolbook" w:cs="Times New Roman"/>
        </w:rPr>
        <w:t xml:space="preserve">ore team </w:t>
      </w:r>
      <w:r w:rsidR="002C6B70">
        <w:rPr>
          <w:rFonts w:eastAsia="Century Schoolbook" w:cs="Times New Roman"/>
        </w:rPr>
        <w:t xml:space="preserve">members include </w:t>
      </w:r>
      <w:r w:rsidR="00E31729" w:rsidRPr="00B5695E">
        <w:rPr>
          <w:rFonts w:eastAsia="Century Schoolbook" w:cs="Times New Roman"/>
        </w:rPr>
        <w:t xml:space="preserve">Xavier Cirera </w:t>
      </w:r>
      <w:bookmarkStart w:id="4" w:name="_Hlk10730527"/>
      <w:r w:rsidR="00E31729" w:rsidRPr="00B5695E">
        <w:rPr>
          <w:rFonts w:eastAsia="Century Schoolbook" w:cs="Times New Roman"/>
        </w:rPr>
        <w:t>(Senior Economist</w:t>
      </w:r>
      <w:r w:rsidR="00B11F17" w:rsidRPr="00B5695E">
        <w:rPr>
          <w:rFonts w:eastAsia="Century Schoolbook" w:cs="Times New Roman"/>
        </w:rPr>
        <w:t>)</w:t>
      </w:r>
      <w:bookmarkEnd w:id="4"/>
      <w:r w:rsidR="002C6B70">
        <w:rPr>
          <w:rFonts w:eastAsia="Century Schoolbook" w:cs="Times New Roman"/>
        </w:rPr>
        <w:t xml:space="preserve">, </w:t>
      </w:r>
      <w:r w:rsidR="00E31729" w:rsidRPr="00B5695E">
        <w:rPr>
          <w:rFonts w:eastAsia="Century Schoolbook" w:cs="Times New Roman"/>
        </w:rPr>
        <w:t xml:space="preserve">Jaime Frias </w:t>
      </w:r>
      <w:r w:rsidR="00B11F17" w:rsidRPr="00B5695E">
        <w:rPr>
          <w:rFonts w:eastAsia="Century Schoolbook" w:cs="Times New Roman"/>
        </w:rPr>
        <w:t xml:space="preserve">(Senior Economist), </w:t>
      </w:r>
      <w:r w:rsidR="0004064A">
        <w:rPr>
          <w:rFonts w:eastAsia="Century Schoolbook" w:cs="Times New Roman"/>
        </w:rPr>
        <w:t xml:space="preserve">Asya Akhlaque (Lead Economist), </w:t>
      </w:r>
      <w:r w:rsidR="00E31729" w:rsidRPr="00B5695E">
        <w:rPr>
          <w:rFonts w:eastAsia="Century Schoolbook" w:cs="Times New Roman"/>
        </w:rPr>
        <w:t>Cha Crisostomo (Consultant), Anne Lopez (Consultant), Kalyah Ford (Consultant</w:t>
      </w:r>
      <w:r w:rsidR="00B11F17" w:rsidRPr="00B5695E">
        <w:rPr>
          <w:rFonts w:eastAsia="Century Schoolbook" w:cs="Times New Roman"/>
        </w:rPr>
        <w:t>)</w:t>
      </w:r>
      <w:r w:rsidR="00F82798" w:rsidRPr="00B5695E">
        <w:rPr>
          <w:rFonts w:eastAsia="Century Schoolbook" w:cs="Times New Roman"/>
        </w:rPr>
        <w:t xml:space="preserve">, Reinaluz Ona </w:t>
      </w:r>
      <w:r w:rsidR="00E31729" w:rsidRPr="00B5695E">
        <w:rPr>
          <w:rFonts w:eastAsia="Century Schoolbook" w:cs="Times New Roman"/>
        </w:rPr>
        <w:t>(Program Assistant)</w:t>
      </w:r>
      <w:r w:rsidR="00B70695" w:rsidRPr="00B5695E">
        <w:rPr>
          <w:rFonts w:eastAsia="Century Schoolbook" w:cs="Times New Roman"/>
        </w:rPr>
        <w:t xml:space="preserve"> and Yvette</w:t>
      </w:r>
      <w:r w:rsidR="00B70695" w:rsidRPr="00B5695E">
        <w:t xml:space="preserve"> </w:t>
      </w:r>
      <w:r w:rsidR="00B70695" w:rsidRPr="00B5695E">
        <w:rPr>
          <w:rFonts w:eastAsia="Century Schoolbook" w:cs="Times New Roman"/>
        </w:rPr>
        <w:t xml:space="preserve">Camba. </w:t>
      </w:r>
      <w:r w:rsidR="00B11F17" w:rsidRPr="00B5695E">
        <w:rPr>
          <w:rFonts w:eastAsia="Century Schoolbook" w:cs="Times New Roman"/>
        </w:rPr>
        <w:t xml:space="preserve">The Policy Effectiveness Review (PER) </w:t>
      </w:r>
      <w:r w:rsidR="00AB6F31">
        <w:rPr>
          <w:rFonts w:eastAsia="Century Schoolbook" w:cs="Times New Roman"/>
        </w:rPr>
        <w:t>sections wer</w:t>
      </w:r>
      <w:r w:rsidR="00DB28AF">
        <w:rPr>
          <w:rFonts w:eastAsia="Century Schoolbook" w:cs="Times New Roman"/>
        </w:rPr>
        <w:t>e</w:t>
      </w:r>
      <w:r w:rsidR="00F82798" w:rsidRPr="00B5695E">
        <w:rPr>
          <w:rFonts w:eastAsia="Century Schoolbook" w:cs="Times New Roman"/>
        </w:rPr>
        <w:t xml:space="preserve"> </w:t>
      </w:r>
      <w:r w:rsidR="00B11F17" w:rsidRPr="00B5695E">
        <w:rPr>
          <w:rFonts w:eastAsia="Century Schoolbook" w:cs="Times New Roman"/>
        </w:rPr>
        <w:t xml:space="preserve">co-authored by Xavier Cirera and Jaime Frias with </w:t>
      </w:r>
      <w:r w:rsidR="00F82798" w:rsidRPr="00B5695E">
        <w:rPr>
          <w:rFonts w:eastAsia="Century Schoolbook" w:cs="Times New Roman"/>
        </w:rPr>
        <w:t xml:space="preserve">valuable </w:t>
      </w:r>
      <w:r w:rsidR="00924E13" w:rsidRPr="00B5695E">
        <w:rPr>
          <w:rFonts w:eastAsia="Century Schoolbook" w:cs="Times New Roman"/>
        </w:rPr>
        <w:t xml:space="preserve">contributions from Andres Garcia, </w:t>
      </w:r>
      <w:r w:rsidR="00B11F17" w:rsidRPr="00B5695E">
        <w:rPr>
          <w:rFonts w:eastAsia="Century Schoolbook" w:cs="Times New Roman"/>
        </w:rPr>
        <w:t xml:space="preserve">Cha Crisostomo and Anne Lopez. The </w:t>
      </w:r>
      <w:r w:rsidR="009B4F2D">
        <w:rPr>
          <w:rFonts w:eastAsia="Century Schoolbook" w:cs="Times New Roman"/>
        </w:rPr>
        <w:t xml:space="preserve">MSME and </w:t>
      </w:r>
      <w:r w:rsidR="00B11F17" w:rsidRPr="00B5695E">
        <w:rPr>
          <w:rFonts w:eastAsia="Century Schoolbook" w:cs="Times New Roman"/>
        </w:rPr>
        <w:t xml:space="preserve">Entrepreneurship </w:t>
      </w:r>
      <w:r w:rsidR="00AB6F31">
        <w:rPr>
          <w:rFonts w:eastAsia="Century Schoolbook" w:cs="Times New Roman"/>
        </w:rPr>
        <w:t>sections were</w:t>
      </w:r>
      <w:r w:rsidR="00B11F17" w:rsidRPr="00B5695E">
        <w:rPr>
          <w:rFonts w:eastAsia="Century Schoolbook" w:cs="Times New Roman"/>
        </w:rPr>
        <w:t xml:space="preserve"> </w:t>
      </w:r>
      <w:r w:rsidR="00010FAF" w:rsidRPr="00B5695E">
        <w:rPr>
          <w:rFonts w:eastAsia="Century Schoolbook" w:cs="Times New Roman"/>
        </w:rPr>
        <w:t xml:space="preserve">led </w:t>
      </w:r>
      <w:r w:rsidR="00385D25" w:rsidRPr="00B5695E">
        <w:rPr>
          <w:rFonts w:eastAsia="Century Schoolbook" w:cs="Times New Roman"/>
        </w:rPr>
        <w:t>by Asya Akhlaque</w:t>
      </w:r>
      <w:r w:rsidR="00F82798" w:rsidRPr="00B5695E">
        <w:rPr>
          <w:rFonts w:eastAsia="Century Schoolbook" w:cs="Times New Roman"/>
        </w:rPr>
        <w:t xml:space="preserve"> with </w:t>
      </w:r>
      <w:r w:rsidR="00924E13" w:rsidRPr="00B5695E">
        <w:rPr>
          <w:rFonts w:eastAsia="Century Schoolbook" w:cs="Times New Roman"/>
        </w:rPr>
        <w:t xml:space="preserve">valuable </w:t>
      </w:r>
      <w:r w:rsidR="00F82798" w:rsidRPr="00B5695E">
        <w:rPr>
          <w:rFonts w:eastAsia="Century Schoolbook" w:cs="Times New Roman"/>
        </w:rPr>
        <w:t xml:space="preserve">contributions from Anne </w:t>
      </w:r>
      <w:r w:rsidR="00385D25" w:rsidRPr="00B5695E">
        <w:rPr>
          <w:rFonts w:eastAsia="Century Schoolbook" w:cs="Times New Roman"/>
        </w:rPr>
        <w:t>Lopez</w:t>
      </w:r>
      <w:r w:rsidR="00924E13" w:rsidRPr="00B5695E">
        <w:rPr>
          <w:rFonts w:eastAsia="Century Schoolbook" w:cs="Times New Roman"/>
        </w:rPr>
        <w:t xml:space="preserve">, </w:t>
      </w:r>
      <w:r w:rsidR="00385D25" w:rsidRPr="00B5695E">
        <w:rPr>
          <w:rFonts w:eastAsia="Century Schoolbook" w:cs="Times New Roman"/>
        </w:rPr>
        <w:t>Kalyah Ford</w:t>
      </w:r>
      <w:r w:rsidR="00924E13" w:rsidRPr="00B5695E">
        <w:rPr>
          <w:rFonts w:eastAsia="Century Schoolbook" w:cs="Times New Roman"/>
        </w:rPr>
        <w:t xml:space="preserve">, </w:t>
      </w:r>
      <w:r w:rsidR="00F82798" w:rsidRPr="00B5695E">
        <w:rPr>
          <w:rFonts w:eastAsia="Century Schoolbook" w:cs="Times New Roman"/>
        </w:rPr>
        <w:t xml:space="preserve">Andres Garcia </w:t>
      </w:r>
      <w:r w:rsidR="00385D25" w:rsidRPr="00B5695E">
        <w:rPr>
          <w:rFonts w:eastAsia="Century Schoolbook" w:cs="Times New Roman"/>
        </w:rPr>
        <w:t xml:space="preserve">and Cha </w:t>
      </w:r>
      <w:r w:rsidR="00F82798" w:rsidRPr="00B5695E">
        <w:rPr>
          <w:rFonts w:eastAsia="Century Schoolbook" w:cs="Times New Roman"/>
        </w:rPr>
        <w:t>Crisostomo.</w:t>
      </w:r>
      <w:r w:rsidR="00385D25" w:rsidRPr="00B5695E">
        <w:rPr>
          <w:rFonts w:eastAsia="Century Schoolbook" w:cs="Times New Roman"/>
        </w:rPr>
        <w:t xml:space="preserve"> The </w:t>
      </w:r>
      <w:r w:rsidR="00B70695" w:rsidRPr="00B5695E">
        <w:rPr>
          <w:rFonts w:eastAsia="Century Schoolbook" w:cs="Times New Roman"/>
        </w:rPr>
        <w:t xml:space="preserve">team </w:t>
      </w:r>
      <w:r w:rsidR="00924E13" w:rsidRPr="00B5695E">
        <w:rPr>
          <w:rFonts w:eastAsia="Century Schoolbook" w:cs="Times New Roman"/>
        </w:rPr>
        <w:t>benefitted from insight</w:t>
      </w:r>
      <w:r w:rsidR="00AE17B3" w:rsidRPr="00B5695E">
        <w:rPr>
          <w:rFonts w:eastAsia="Century Schoolbook" w:cs="Times New Roman"/>
        </w:rPr>
        <w:t>ful</w:t>
      </w:r>
      <w:r w:rsidR="00924E13" w:rsidRPr="00B5695E">
        <w:rPr>
          <w:rFonts w:eastAsia="Century Schoolbook" w:cs="Times New Roman"/>
        </w:rPr>
        <w:t xml:space="preserve"> and helpful </w:t>
      </w:r>
      <w:r w:rsidR="00B70695" w:rsidRPr="00B5695E">
        <w:rPr>
          <w:rFonts w:eastAsia="Century Schoolbook" w:cs="Times New Roman"/>
        </w:rPr>
        <w:t xml:space="preserve">comments from Souleymane Coulibaly (Program Leader), </w:t>
      </w:r>
      <w:r w:rsidR="00385D25" w:rsidRPr="00B5695E">
        <w:rPr>
          <w:rFonts w:eastAsia="Century Schoolbook" w:cs="Times New Roman"/>
        </w:rPr>
        <w:t>Roberto Martin Nolan Galang (Senior Private Sector Specialist)</w:t>
      </w:r>
      <w:r w:rsidR="00924E13" w:rsidRPr="00B5695E">
        <w:rPr>
          <w:rFonts w:eastAsia="Century Schoolbook" w:cs="Times New Roman"/>
        </w:rPr>
        <w:t>,</w:t>
      </w:r>
      <w:r w:rsidR="00385D25" w:rsidRPr="00B5695E">
        <w:rPr>
          <w:rFonts w:eastAsia="Century Schoolbook" w:cs="Times New Roman"/>
        </w:rPr>
        <w:t xml:space="preserve"> and </w:t>
      </w:r>
      <w:r w:rsidR="00B70695" w:rsidRPr="00B5695E">
        <w:rPr>
          <w:rFonts w:eastAsia="Century Schoolbook" w:cs="Times New Roman"/>
        </w:rPr>
        <w:t xml:space="preserve">Rong Qian </w:t>
      </w:r>
      <w:r w:rsidR="00385D25" w:rsidRPr="00B5695E">
        <w:rPr>
          <w:rFonts w:eastAsia="Century Schoolbook" w:cs="Times New Roman"/>
        </w:rPr>
        <w:t>(Senior Economist)</w:t>
      </w:r>
      <w:r w:rsidR="00F82798" w:rsidRPr="00B5695E">
        <w:rPr>
          <w:rFonts w:eastAsia="Century Schoolbook" w:cs="Times New Roman"/>
        </w:rPr>
        <w:t xml:space="preserve"> in finalizing the draft</w:t>
      </w:r>
      <w:r w:rsidR="00385D25" w:rsidRPr="00B5695E">
        <w:rPr>
          <w:rFonts w:eastAsia="Century Schoolbook" w:cs="Times New Roman"/>
        </w:rPr>
        <w:t xml:space="preserve">. </w:t>
      </w:r>
      <w:r w:rsidR="000E4264" w:rsidRPr="00B5695E">
        <w:rPr>
          <w:rFonts w:eastAsia="Century Schoolbook" w:cs="Times New Roman"/>
        </w:rPr>
        <w:t>A</w:t>
      </w:r>
      <w:r w:rsidR="00F82798" w:rsidRPr="00B5695E">
        <w:rPr>
          <w:rFonts w:eastAsia="Century Schoolbook" w:cs="Times New Roman"/>
        </w:rPr>
        <w:t>t</w:t>
      </w:r>
      <w:r w:rsidR="00385D25" w:rsidRPr="00B5695E">
        <w:rPr>
          <w:rFonts w:eastAsia="Century Schoolbook" w:cs="Times New Roman"/>
        </w:rPr>
        <w:t xml:space="preserve"> the concept </w:t>
      </w:r>
      <w:r w:rsidR="000E4264" w:rsidRPr="00B5695E">
        <w:rPr>
          <w:rFonts w:eastAsia="Century Schoolbook" w:cs="Times New Roman"/>
        </w:rPr>
        <w:t xml:space="preserve">preparation </w:t>
      </w:r>
      <w:r w:rsidR="00385D25" w:rsidRPr="00B5695E">
        <w:rPr>
          <w:rFonts w:eastAsia="Century Schoolbook" w:cs="Times New Roman"/>
        </w:rPr>
        <w:t>stage</w:t>
      </w:r>
      <w:r w:rsidR="000E4264" w:rsidRPr="00B5695E">
        <w:rPr>
          <w:rFonts w:eastAsia="Century Schoolbook" w:cs="Times New Roman"/>
        </w:rPr>
        <w:t xml:space="preserve">, </w:t>
      </w:r>
      <w:r w:rsidR="00385D25" w:rsidRPr="00B5695E">
        <w:rPr>
          <w:rFonts w:eastAsia="Century Schoolbook" w:cs="Times New Roman"/>
        </w:rPr>
        <w:t>Birgit Hansl and Agata Pawlowska</w:t>
      </w:r>
      <w:r w:rsidR="000E4264" w:rsidRPr="00B5695E">
        <w:rPr>
          <w:rFonts w:eastAsia="Century Schoolbook" w:cs="Times New Roman"/>
        </w:rPr>
        <w:t xml:space="preserve"> provided valuable guidance</w:t>
      </w:r>
      <w:r w:rsidR="00385D25" w:rsidRPr="00B5695E">
        <w:rPr>
          <w:rFonts w:eastAsia="Century Schoolbook" w:cs="Times New Roman"/>
        </w:rPr>
        <w:t xml:space="preserve">.    </w:t>
      </w:r>
    </w:p>
    <w:p w14:paraId="0017688B" w14:textId="528D0A37" w:rsidR="003D7663" w:rsidRPr="00B5695E" w:rsidRDefault="00385D25" w:rsidP="003D7663">
      <w:pPr>
        <w:spacing w:before="120" w:after="120" w:line="276" w:lineRule="auto"/>
        <w:jc w:val="both"/>
        <w:rPr>
          <w:rFonts w:eastAsia="Century Schoolbook" w:cs="Times New Roman"/>
        </w:rPr>
      </w:pPr>
      <w:r w:rsidRPr="00B5695E">
        <w:rPr>
          <w:rFonts w:eastAsia="Century Schoolbook" w:cs="Times New Roman"/>
        </w:rPr>
        <w:t>The team worked under the overall guidance of Mara K. Warwick (Country Director) and Irina Astrakhan (Practice Manager</w:t>
      </w:r>
      <w:r w:rsidR="00924E13" w:rsidRPr="00B5695E">
        <w:rPr>
          <w:rFonts w:eastAsia="Century Schoolbook" w:cs="Times New Roman"/>
        </w:rPr>
        <w:t>, EAP, FCI</w:t>
      </w:r>
      <w:r w:rsidRPr="00B5695E">
        <w:rPr>
          <w:rFonts w:eastAsia="Century Schoolbook" w:cs="Times New Roman"/>
        </w:rPr>
        <w:t xml:space="preserve">). The team is grateful </w:t>
      </w:r>
      <w:r w:rsidR="00924E13" w:rsidRPr="00B5695E">
        <w:rPr>
          <w:rFonts w:eastAsia="Century Schoolbook" w:cs="Times New Roman"/>
        </w:rPr>
        <w:t>to</w:t>
      </w:r>
      <w:r w:rsidRPr="00B5695E">
        <w:rPr>
          <w:rFonts w:eastAsia="Century Schoolbook" w:cs="Times New Roman"/>
        </w:rPr>
        <w:t xml:space="preserve"> </w:t>
      </w:r>
      <w:r w:rsidR="00924E13" w:rsidRPr="00B5695E">
        <w:rPr>
          <w:rFonts w:eastAsia="Century Schoolbook" w:cs="Times New Roman"/>
        </w:rPr>
        <w:t xml:space="preserve">Philippe De Meneval (Lead Private Sector Specialist), Smita Kuriakose (Senior Economist), and Thomas Haven (Senior Private Sector Specialist) for the peer </w:t>
      </w:r>
      <w:r w:rsidR="003D7663" w:rsidRPr="00B5695E">
        <w:rPr>
          <w:rFonts w:eastAsia="Century Schoolbook" w:cs="Times New Roman"/>
        </w:rPr>
        <w:t>reviewer</w:t>
      </w:r>
      <w:r w:rsidR="00924E13" w:rsidRPr="00B5695E">
        <w:rPr>
          <w:rFonts w:eastAsia="Century Schoolbook" w:cs="Times New Roman"/>
        </w:rPr>
        <w:t xml:space="preserve"> comments.</w:t>
      </w:r>
    </w:p>
    <w:p w14:paraId="1D125837" w14:textId="43566BF9" w:rsidR="003D7663" w:rsidRPr="00B5695E" w:rsidRDefault="003D7663" w:rsidP="003D7663">
      <w:pPr>
        <w:spacing w:before="120" w:after="120" w:line="276" w:lineRule="auto"/>
        <w:jc w:val="both"/>
        <w:rPr>
          <w:rFonts w:eastAsia="Century Schoolbook" w:cs="Times New Roman"/>
        </w:rPr>
      </w:pPr>
      <w:r w:rsidRPr="00B5695E">
        <w:rPr>
          <w:rFonts w:eastAsia="Century Schoolbook" w:cs="Times New Roman"/>
        </w:rPr>
        <w:t xml:space="preserve">During the preparation of the report, consultations were held with key </w:t>
      </w:r>
      <w:r w:rsidR="00924E13" w:rsidRPr="00B5695E">
        <w:rPr>
          <w:rFonts w:eastAsia="Century Schoolbook" w:cs="Times New Roman"/>
        </w:rPr>
        <w:t xml:space="preserve">government officials and private sector </w:t>
      </w:r>
      <w:r w:rsidRPr="00B5695E">
        <w:rPr>
          <w:rFonts w:eastAsia="Century Schoolbook" w:cs="Times New Roman"/>
        </w:rPr>
        <w:t xml:space="preserve">representatives as well as with researchers and development partners. In this context, </w:t>
      </w:r>
      <w:r w:rsidR="008F3F20" w:rsidRPr="00B5695E">
        <w:rPr>
          <w:rFonts w:eastAsia="Century Schoolbook" w:cs="Times New Roman"/>
        </w:rPr>
        <w:t xml:space="preserve">stakeholder </w:t>
      </w:r>
      <w:r w:rsidRPr="00B5695E">
        <w:rPr>
          <w:rFonts w:eastAsia="Century Schoolbook" w:cs="Times New Roman"/>
        </w:rPr>
        <w:t xml:space="preserve">workshops were held in </w:t>
      </w:r>
      <w:r w:rsidR="00924E13" w:rsidRPr="00B5695E">
        <w:rPr>
          <w:rFonts w:eastAsia="Century Schoolbook" w:cs="Times New Roman"/>
        </w:rPr>
        <w:t xml:space="preserve">April </w:t>
      </w:r>
      <w:r w:rsidRPr="00B5695E">
        <w:rPr>
          <w:rFonts w:eastAsia="Century Schoolbook" w:cs="Times New Roman"/>
        </w:rPr>
        <w:t>201</w:t>
      </w:r>
      <w:r w:rsidR="00924E13" w:rsidRPr="00B5695E">
        <w:rPr>
          <w:rFonts w:eastAsia="Century Schoolbook" w:cs="Times New Roman"/>
        </w:rPr>
        <w:t>8</w:t>
      </w:r>
      <w:r w:rsidRPr="00B5695E">
        <w:rPr>
          <w:rFonts w:eastAsia="Century Schoolbook" w:cs="Times New Roman"/>
        </w:rPr>
        <w:t xml:space="preserve"> </w:t>
      </w:r>
      <w:r w:rsidR="00924E13" w:rsidRPr="00B5695E">
        <w:rPr>
          <w:rFonts w:eastAsia="Century Schoolbook" w:cs="Times New Roman"/>
        </w:rPr>
        <w:t>and</w:t>
      </w:r>
      <w:r w:rsidRPr="00B5695E">
        <w:rPr>
          <w:rFonts w:eastAsia="Century Schoolbook" w:cs="Times New Roman"/>
        </w:rPr>
        <w:t xml:space="preserve"> i</w:t>
      </w:r>
      <w:r w:rsidR="00924E13" w:rsidRPr="00B5695E">
        <w:rPr>
          <w:rFonts w:eastAsia="Century Schoolbook" w:cs="Times New Roman"/>
        </w:rPr>
        <w:t xml:space="preserve">n April </w:t>
      </w:r>
      <w:r w:rsidRPr="00B5695E">
        <w:rPr>
          <w:rFonts w:eastAsia="Century Schoolbook" w:cs="Times New Roman"/>
        </w:rPr>
        <w:t>201</w:t>
      </w:r>
      <w:r w:rsidR="00924E13" w:rsidRPr="00B5695E">
        <w:rPr>
          <w:rFonts w:eastAsia="Century Schoolbook" w:cs="Times New Roman"/>
        </w:rPr>
        <w:t>9</w:t>
      </w:r>
      <w:r w:rsidRPr="00B5695E">
        <w:rPr>
          <w:rFonts w:eastAsia="Century Schoolbook" w:cs="Times New Roman"/>
        </w:rPr>
        <w:t xml:space="preserve"> to seek feedback on the findings and recommendations emerging from the work. </w:t>
      </w:r>
    </w:p>
    <w:p w14:paraId="63CF06E7" w14:textId="0C163181" w:rsidR="003D7663" w:rsidRPr="00B5695E" w:rsidRDefault="003D7663" w:rsidP="003D7663">
      <w:pPr>
        <w:tabs>
          <w:tab w:val="left" w:pos="1440"/>
        </w:tabs>
        <w:spacing w:before="120" w:after="120" w:line="276" w:lineRule="auto"/>
        <w:contextualSpacing/>
        <w:jc w:val="both"/>
        <w:rPr>
          <w:rFonts w:eastAsia="Century Schoolbook" w:cs="Times New Roman"/>
        </w:rPr>
      </w:pPr>
      <w:r w:rsidRPr="00B5695E">
        <w:rPr>
          <w:rFonts w:eastAsia="Century Schoolbook" w:cs="Times New Roman"/>
        </w:rPr>
        <w:t xml:space="preserve">The World Bank is grateful for the partnership and guidance provided by the </w:t>
      </w:r>
      <w:r w:rsidR="00B11F17" w:rsidRPr="00B5695E">
        <w:rPr>
          <w:rFonts w:eastAsia="Century Schoolbook" w:cs="Times New Roman"/>
        </w:rPr>
        <w:t>Department of Trade and Industry (DTI), and the Department of Science and Technology (</w:t>
      </w:r>
      <w:proofErr w:type="spellStart"/>
      <w:r w:rsidR="00B11F17" w:rsidRPr="00B5695E">
        <w:rPr>
          <w:rFonts w:eastAsia="Century Schoolbook" w:cs="Times New Roman"/>
        </w:rPr>
        <w:t>DoST</w:t>
      </w:r>
      <w:proofErr w:type="spellEnd"/>
      <w:r w:rsidR="00B11F17" w:rsidRPr="00B5695E">
        <w:rPr>
          <w:rFonts w:eastAsia="Century Schoolbook" w:cs="Times New Roman"/>
        </w:rPr>
        <w:t>)</w:t>
      </w:r>
      <w:r w:rsidR="002D4BCB" w:rsidRPr="00B5695E">
        <w:rPr>
          <w:rFonts w:eastAsia="Century Schoolbook" w:cs="Times New Roman"/>
        </w:rPr>
        <w:t xml:space="preserve"> along with the regional and program managers of various MSME programs</w:t>
      </w:r>
      <w:r w:rsidR="00B11F17" w:rsidRPr="00B5695E">
        <w:rPr>
          <w:rFonts w:eastAsia="Century Schoolbook" w:cs="Times New Roman"/>
        </w:rPr>
        <w:t xml:space="preserve"> </w:t>
      </w:r>
    </w:p>
    <w:p w14:paraId="106D1013" w14:textId="77777777" w:rsidR="00023B81" w:rsidRDefault="00023B81" w:rsidP="005A6483">
      <w:pPr>
        <w:pStyle w:val="Title"/>
      </w:pPr>
    </w:p>
    <w:p w14:paraId="36F44441" w14:textId="430E7315" w:rsidR="00334CA1" w:rsidRDefault="00334CA1">
      <w:r>
        <w:br w:type="page"/>
      </w:r>
    </w:p>
    <w:p w14:paraId="3CBB79CA" w14:textId="77777777" w:rsidR="006A447A" w:rsidRPr="00A23C46" w:rsidRDefault="006A447A" w:rsidP="006A447A">
      <w:pPr>
        <w:keepNext/>
        <w:keepLines/>
        <w:spacing w:before="40" w:after="0" w:line="240" w:lineRule="auto"/>
        <w:outlineLvl w:val="1"/>
        <w:rPr>
          <w:rFonts w:eastAsia="SimSun" w:cs="Times New Roman"/>
          <w:color w:val="2E74B5"/>
          <w:sz w:val="24"/>
          <w:szCs w:val="24"/>
        </w:rPr>
      </w:pPr>
      <w:bookmarkStart w:id="5" w:name="_Toc12503507"/>
      <w:r w:rsidRPr="00A23C46">
        <w:rPr>
          <w:rFonts w:eastAsia="SimSun" w:cs="Times New Roman"/>
          <w:color w:val="2E74B5"/>
          <w:sz w:val="24"/>
          <w:szCs w:val="24"/>
        </w:rPr>
        <w:t>List of Abbreviations</w:t>
      </w:r>
      <w:bookmarkEnd w:id="5"/>
    </w:p>
    <w:tbl>
      <w:tblPr>
        <w:tblW w:w="9532" w:type="dxa"/>
        <w:tblLook w:val="04A0" w:firstRow="1" w:lastRow="0" w:firstColumn="1" w:lastColumn="0" w:noHBand="0" w:noVBand="1"/>
      </w:tblPr>
      <w:tblGrid>
        <w:gridCol w:w="1524"/>
        <w:gridCol w:w="8243"/>
      </w:tblGrid>
      <w:tr w:rsidR="006A447A" w:rsidRPr="006A447A" w14:paraId="09FE8507" w14:textId="77777777" w:rsidTr="0075041F">
        <w:trPr>
          <w:trHeight w:val="301"/>
        </w:trPr>
        <w:tc>
          <w:tcPr>
            <w:tcW w:w="1289" w:type="dxa"/>
            <w:tcBorders>
              <w:top w:val="nil"/>
              <w:left w:val="nil"/>
              <w:bottom w:val="nil"/>
              <w:right w:val="nil"/>
            </w:tcBorders>
            <w:shd w:val="clear" w:color="auto" w:fill="auto"/>
            <w:noWrap/>
            <w:vAlign w:val="center"/>
            <w:hideMark/>
          </w:tcPr>
          <w:p w14:paraId="7F3BFF63"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AI</w:t>
            </w:r>
          </w:p>
        </w:tc>
        <w:tc>
          <w:tcPr>
            <w:tcW w:w="8243" w:type="dxa"/>
            <w:tcBorders>
              <w:top w:val="nil"/>
              <w:left w:val="nil"/>
              <w:bottom w:val="nil"/>
              <w:right w:val="nil"/>
            </w:tcBorders>
            <w:shd w:val="clear" w:color="auto" w:fill="auto"/>
            <w:noWrap/>
            <w:vAlign w:val="bottom"/>
            <w:hideMark/>
          </w:tcPr>
          <w:p w14:paraId="3BC18455"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Artificial intelligence</w:t>
            </w:r>
          </w:p>
        </w:tc>
      </w:tr>
      <w:tr w:rsidR="006A447A" w:rsidRPr="006A447A" w14:paraId="5F85E1C8" w14:textId="77777777" w:rsidTr="0075041F">
        <w:trPr>
          <w:trHeight w:val="301"/>
        </w:trPr>
        <w:tc>
          <w:tcPr>
            <w:tcW w:w="1289" w:type="dxa"/>
            <w:tcBorders>
              <w:top w:val="nil"/>
              <w:left w:val="nil"/>
              <w:bottom w:val="nil"/>
              <w:right w:val="nil"/>
            </w:tcBorders>
            <w:shd w:val="clear" w:color="auto" w:fill="auto"/>
            <w:noWrap/>
            <w:vAlign w:val="center"/>
            <w:hideMark/>
          </w:tcPr>
          <w:p w14:paraId="04421059"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APEC</w:t>
            </w:r>
          </w:p>
        </w:tc>
        <w:tc>
          <w:tcPr>
            <w:tcW w:w="8243" w:type="dxa"/>
            <w:tcBorders>
              <w:top w:val="nil"/>
              <w:left w:val="nil"/>
              <w:bottom w:val="nil"/>
              <w:right w:val="nil"/>
            </w:tcBorders>
            <w:shd w:val="clear" w:color="auto" w:fill="auto"/>
            <w:noWrap/>
            <w:vAlign w:val="bottom"/>
            <w:hideMark/>
          </w:tcPr>
          <w:p w14:paraId="7579DFA6"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Asia-Pacific Economic Cooperation</w:t>
            </w:r>
          </w:p>
        </w:tc>
      </w:tr>
      <w:tr w:rsidR="006A447A" w:rsidRPr="006A447A" w14:paraId="1DD3087A" w14:textId="77777777" w:rsidTr="0075041F">
        <w:trPr>
          <w:trHeight w:val="301"/>
        </w:trPr>
        <w:tc>
          <w:tcPr>
            <w:tcW w:w="1289" w:type="dxa"/>
            <w:tcBorders>
              <w:top w:val="nil"/>
              <w:left w:val="nil"/>
              <w:bottom w:val="nil"/>
              <w:right w:val="nil"/>
            </w:tcBorders>
            <w:shd w:val="clear" w:color="auto" w:fill="auto"/>
            <w:noWrap/>
            <w:vAlign w:val="center"/>
            <w:hideMark/>
          </w:tcPr>
          <w:p w14:paraId="2E33A6E0"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ASEAN</w:t>
            </w:r>
          </w:p>
        </w:tc>
        <w:tc>
          <w:tcPr>
            <w:tcW w:w="8243" w:type="dxa"/>
            <w:tcBorders>
              <w:top w:val="nil"/>
              <w:left w:val="nil"/>
              <w:bottom w:val="nil"/>
              <w:right w:val="nil"/>
            </w:tcBorders>
            <w:shd w:val="clear" w:color="auto" w:fill="auto"/>
            <w:noWrap/>
            <w:vAlign w:val="bottom"/>
            <w:hideMark/>
          </w:tcPr>
          <w:p w14:paraId="0E95A476" w14:textId="77777777" w:rsidR="006A447A" w:rsidRPr="006A447A" w:rsidRDefault="006A447A" w:rsidP="006A447A">
            <w:pPr>
              <w:spacing w:after="0" w:line="240" w:lineRule="auto"/>
              <w:rPr>
                <w:rFonts w:ascii="Times Roman" w:eastAsia="Times New Roman" w:hAnsi="Times Roman" w:cs="Calibri"/>
                <w:color w:val="545454"/>
                <w:sz w:val="20"/>
                <w:szCs w:val="20"/>
                <w:lang w:val="en-PH" w:eastAsia="ko-KR"/>
              </w:rPr>
            </w:pPr>
            <w:r w:rsidRPr="006A447A">
              <w:rPr>
                <w:rFonts w:ascii="Times Roman" w:eastAsia="Times New Roman" w:hAnsi="Times Roman" w:cs="Calibri"/>
                <w:color w:val="545454"/>
                <w:sz w:val="20"/>
                <w:szCs w:val="20"/>
                <w:lang w:val="en-PH" w:eastAsia="ko-KR"/>
              </w:rPr>
              <w:t>Association of Southeast Asian Nations</w:t>
            </w:r>
          </w:p>
        </w:tc>
      </w:tr>
      <w:tr w:rsidR="006A447A" w:rsidRPr="006A447A" w14:paraId="046C9C64" w14:textId="77777777" w:rsidTr="0075041F">
        <w:trPr>
          <w:trHeight w:val="301"/>
        </w:trPr>
        <w:tc>
          <w:tcPr>
            <w:tcW w:w="1289" w:type="dxa"/>
            <w:tcBorders>
              <w:top w:val="nil"/>
              <w:left w:val="nil"/>
              <w:bottom w:val="nil"/>
              <w:right w:val="nil"/>
            </w:tcBorders>
            <w:shd w:val="clear" w:color="auto" w:fill="auto"/>
            <w:noWrap/>
            <w:vAlign w:val="center"/>
            <w:hideMark/>
          </w:tcPr>
          <w:p w14:paraId="43F90058"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ASTI</w:t>
            </w:r>
          </w:p>
        </w:tc>
        <w:tc>
          <w:tcPr>
            <w:tcW w:w="8243" w:type="dxa"/>
            <w:tcBorders>
              <w:top w:val="nil"/>
              <w:left w:val="nil"/>
              <w:bottom w:val="nil"/>
              <w:right w:val="nil"/>
            </w:tcBorders>
            <w:shd w:val="clear" w:color="auto" w:fill="auto"/>
            <w:noWrap/>
            <w:vAlign w:val="bottom"/>
            <w:hideMark/>
          </w:tcPr>
          <w:p w14:paraId="428F0982"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Advanced Science and Technology Institute </w:t>
            </w:r>
          </w:p>
        </w:tc>
      </w:tr>
      <w:tr w:rsidR="006A447A" w:rsidRPr="006A447A" w14:paraId="72EA3C37" w14:textId="77777777" w:rsidTr="0075041F">
        <w:trPr>
          <w:trHeight w:val="301"/>
        </w:trPr>
        <w:tc>
          <w:tcPr>
            <w:tcW w:w="1289" w:type="dxa"/>
            <w:tcBorders>
              <w:top w:val="nil"/>
              <w:left w:val="nil"/>
              <w:bottom w:val="nil"/>
              <w:right w:val="nil"/>
            </w:tcBorders>
            <w:shd w:val="clear" w:color="auto" w:fill="auto"/>
            <w:noWrap/>
            <w:vAlign w:val="center"/>
            <w:hideMark/>
          </w:tcPr>
          <w:p w14:paraId="55B86BD6"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BDTP</w:t>
            </w:r>
          </w:p>
        </w:tc>
        <w:tc>
          <w:tcPr>
            <w:tcW w:w="8243" w:type="dxa"/>
            <w:tcBorders>
              <w:top w:val="nil"/>
              <w:left w:val="nil"/>
              <w:bottom w:val="nil"/>
              <w:right w:val="nil"/>
            </w:tcBorders>
            <w:shd w:val="clear" w:color="auto" w:fill="auto"/>
            <w:noWrap/>
            <w:vAlign w:val="bottom"/>
            <w:hideMark/>
          </w:tcPr>
          <w:p w14:paraId="1F0DE3D6"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Bureau of Domestic Trade Promotion</w:t>
            </w:r>
          </w:p>
        </w:tc>
      </w:tr>
      <w:tr w:rsidR="006A447A" w:rsidRPr="006A447A" w14:paraId="55F9E86F" w14:textId="77777777" w:rsidTr="0075041F">
        <w:trPr>
          <w:trHeight w:val="301"/>
        </w:trPr>
        <w:tc>
          <w:tcPr>
            <w:tcW w:w="1289" w:type="dxa"/>
            <w:tcBorders>
              <w:top w:val="nil"/>
              <w:left w:val="nil"/>
              <w:bottom w:val="nil"/>
              <w:right w:val="nil"/>
            </w:tcBorders>
            <w:shd w:val="clear" w:color="auto" w:fill="auto"/>
            <w:noWrap/>
            <w:vAlign w:val="center"/>
            <w:hideMark/>
          </w:tcPr>
          <w:p w14:paraId="1F150205"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BIST</w:t>
            </w:r>
          </w:p>
        </w:tc>
        <w:tc>
          <w:tcPr>
            <w:tcW w:w="8243" w:type="dxa"/>
            <w:tcBorders>
              <w:top w:val="nil"/>
              <w:left w:val="nil"/>
              <w:bottom w:val="nil"/>
              <w:right w:val="nil"/>
            </w:tcBorders>
            <w:shd w:val="clear" w:color="auto" w:fill="auto"/>
            <w:noWrap/>
            <w:vAlign w:val="bottom"/>
            <w:hideMark/>
          </w:tcPr>
          <w:p w14:paraId="03FB2CFF"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Business Innovation through Science and Technology for Industry Program </w:t>
            </w:r>
          </w:p>
        </w:tc>
      </w:tr>
      <w:tr w:rsidR="006A447A" w:rsidRPr="006A447A" w14:paraId="2BFA1874" w14:textId="77777777" w:rsidTr="0075041F">
        <w:trPr>
          <w:trHeight w:val="301"/>
        </w:trPr>
        <w:tc>
          <w:tcPr>
            <w:tcW w:w="1289" w:type="dxa"/>
            <w:tcBorders>
              <w:top w:val="nil"/>
              <w:left w:val="nil"/>
              <w:bottom w:val="nil"/>
              <w:right w:val="nil"/>
            </w:tcBorders>
            <w:shd w:val="clear" w:color="auto" w:fill="auto"/>
            <w:noWrap/>
            <w:vAlign w:val="center"/>
            <w:hideMark/>
          </w:tcPr>
          <w:p w14:paraId="6F56D432"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BMBE</w:t>
            </w:r>
          </w:p>
        </w:tc>
        <w:tc>
          <w:tcPr>
            <w:tcW w:w="8243" w:type="dxa"/>
            <w:tcBorders>
              <w:top w:val="nil"/>
              <w:left w:val="nil"/>
              <w:bottom w:val="nil"/>
              <w:right w:val="nil"/>
            </w:tcBorders>
            <w:shd w:val="clear" w:color="auto" w:fill="auto"/>
            <w:noWrap/>
            <w:vAlign w:val="center"/>
            <w:hideMark/>
          </w:tcPr>
          <w:p w14:paraId="71177540"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eastAsia="ko-KR"/>
              </w:rPr>
              <w:t xml:space="preserve">Barangay Micro Business Enterprise </w:t>
            </w:r>
          </w:p>
        </w:tc>
      </w:tr>
      <w:tr w:rsidR="006A447A" w:rsidRPr="006A447A" w14:paraId="1B0CBFC2" w14:textId="77777777" w:rsidTr="0075041F">
        <w:trPr>
          <w:trHeight w:val="301"/>
        </w:trPr>
        <w:tc>
          <w:tcPr>
            <w:tcW w:w="1289" w:type="dxa"/>
            <w:tcBorders>
              <w:top w:val="nil"/>
              <w:left w:val="nil"/>
              <w:bottom w:val="nil"/>
              <w:right w:val="nil"/>
            </w:tcBorders>
            <w:shd w:val="clear" w:color="auto" w:fill="auto"/>
            <w:noWrap/>
            <w:vAlign w:val="center"/>
            <w:hideMark/>
          </w:tcPr>
          <w:p w14:paraId="3488EBE3"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BOI</w:t>
            </w:r>
          </w:p>
        </w:tc>
        <w:tc>
          <w:tcPr>
            <w:tcW w:w="8243" w:type="dxa"/>
            <w:tcBorders>
              <w:top w:val="nil"/>
              <w:left w:val="nil"/>
              <w:bottom w:val="nil"/>
              <w:right w:val="nil"/>
            </w:tcBorders>
            <w:shd w:val="clear" w:color="auto" w:fill="auto"/>
            <w:noWrap/>
            <w:vAlign w:val="bottom"/>
            <w:hideMark/>
          </w:tcPr>
          <w:p w14:paraId="03CE43D4"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Board of Investments</w:t>
            </w:r>
          </w:p>
        </w:tc>
      </w:tr>
      <w:tr w:rsidR="006A447A" w:rsidRPr="006A447A" w14:paraId="17C7EE7C" w14:textId="77777777" w:rsidTr="0075041F">
        <w:trPr>
          <w:trHeight w:val="301"/>
        </w:trPr>
        <w:tc>
          <w:tcPr>
            <w:tcW w:w="1289" w:type="dxa"/>
            <w:tcBorders>
              <w:top w:val="nil"/>
              <w:left w:val="nil"/>
              <w:bottom w:val="nil"/>
              <w:right w:val="nil"/>
            </w:tcBorders>
            <w:shd w:val="clear" w:color="auto" w:fill="auto"/>
            <w:noWrap/>
            <w:vAlign w:val="center"/>
            <w:hideMark/>
          </w:tcPr>
          <w:p w14:paraId="5325419A"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BPO</w:t>
            </w:r>
          </w:p>
        </w:tc>
        <w:tc>
          <w:tcPr>
            <w:tcW w:w="8243" w:type="dxa"/>
            <w:tcBorders>
              <w:top w:val="nil"/>
              <w:left w:val="nil"/>
              <w:bottom w:val="nil"/>
              <w:right w:val="nil"/>
            </w:tcBorders>
            <w:shd w:val="clear" w:color="auto" w:fill="auto"/>
            <w:noWrap/>
            <w:vAlign w:val="bottom"/>
            <w:hideMark/>
          </w:tcPr>
          <w:p w14:paraId="57529FC3"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Business-process outsourcing</w:t>
            </w:r>
          </w:p>
        </w:tc>
      </w:tr>
      <w:tr w:rsidR="006A447A" w:rsidRPr="006A447A" w14:paraId="761A0B1C" w14:textId="77777777" w:rsidTr="0075041F">
        <w:trPr>
          <w:trHeight w:val="301"/>
        </w:trPr>
        <w:tc>
          <w:tcPr>
            <w:tcW w:w="1289" w:type="dxa"/>
            <w:tcBorders>
              <w:top w:val="nil"/>
              <w:left w:val="nil"/>
              <w:bottom w:val="nil"/>
              <w:right w:val="nil"/>
            </w:tcBorders>
            <w:shd w:val="clear" w:color="auto" w:fill="auto"/>
            <w:noWrap/>
            <w:vAlign w:val="center"/>
            <w:hideMark/>
          </w:tcPr>
          <w:p w14:paraId="6C14BB13"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BSMED</w:t>
            </w:r>
          </w:p>
        </w:tc>
        <w:tc>
          <w:tcPr>
            <w:tcW w:w="8243" w:type="dxa"/>
            <w:tcBorders>
              <w:top w:val="nil"/>
              <w:left w:val="nil"/>
              <w:bottom w:val="nil"/>
              <w:right w:val="nil"/>
            </w:tcBorders>
            <w:shd w:val="clear" w:color="auto" w:fill="auto"/>
            <w:noWrap/>
            <w:vAlign w:val="bottom"/>
            <w:hideMark/>
          </w:tcPr>
          <w:p w14:paraId="7259B24C"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Bureau of Small and Medium Enterprise Development</w:t>
            </w:r>
          </w:p>
        </w:tc>
      </w:tr>
      <w:tr w:rsidR="006A447A" w:rsidRPr="006A447A" w14:paraId="19780321" w14:textId="77777777" w:rsidTr="0075041F">
        <w:trPr>
          <w:trHeight w:val="301"/>
        </w:trPr>
        <w:tc>
          <w:tcPr>
            <w:tcW w:w="1289" w:type="dxa"/>
            <w:tcBorders>
              <w:top w:val="nil"/>
              <w:left w:val="nil"/>
              <w:bottom w:val="nil"/>
              <w:right w:val="nil"/>
            </w:tcBorders>
            <w:shd w:val="clear" w:color="auto" w:fill="auto"/>
            <w:noWrap/>
            <w:vAlign w:val="center"/>
            <w:hideMark/>
          </w:tcPr>
          <w:p w14:paraId="60293AF7"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BSP</w:t>
            </w:r>
          </w:p>
        </w:tc>
        <w:tc>
          <w:tcPr>
            <w:tcW w:w="8243" w:type="dxa"/>
            <w:tcBorders>
              <w:top w:val="nil"/>
              <w:left w:val="nil"/>
              <w:bottom w:val="nil"/>
              <w:right w:val="nil"/>
            </w:tcBorders>
            <w:shd w:val="clear" w:color="auto" w:fill="auto"/>
            <w:noWrap/>
            <w:vAlign w:val="bottom"/>
            <w:hideMark/>
          </w:tcPr>
          <w:p w14:paraId="28C7F112"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proofErr w:type="spellStart"/>
            <w:r w:rsidRPr="006A447A">
              <w:rPr>
                <w:rFonts w:ascii="Times Roman" w:eastAsia="Times New Roman" w:hAnsi="Times Roman" w:cs="Calibri"/>
                <w:color w:val="000000"/>
                <w:sz w:val="20"/>
                <w:szCs w:val="20"/>
                <w:lang w:eastAsia="ko-KR"/>
              </w:rPr>
              <w:t>Bangko</w:t>
            </w:r>
            <w:proofErr w:type="spellEnd"/>
            <w:r w:rsidRPr="006A447A">
              <w:rPr>
                <w:rFonts w:ascii="Times Roman" w:eastAsia="Times New Roman" w:hAnsi="Times Roman" w:cs="Calibri"/>
                <w:color w:val="000000"/>
                <w:sz w:val="20"/>
                <w:szCs w:val="20"/>
                <w:lang w:eastAsia="ko-KR"/>
              </w:rPr>
              <w:t xml:space="preserve"> </w:t>
            </w:r>
            <w:proofErr w:type="spellStart"/>
            <w:r w:rsidRPr="006A447A">
              <w:rPr>
                <w:rFonts w:ascii="Times Roman" w:eastAsia="Times New Roman" w:hAnsi="Times Roman" w:cs="Calibri"/>
                <w:color w:val="000000"/>
                <w:sz w:val="20"/>
                <w:szCs w:val="20"/>
                <w:lang w:eastAsia="ko-KR"/>
              </w:rPr>
              <w:t>Sentral</w:t>
            </w:r>
            <w:proofErr w:type="spellEnd"/>
            <w:r w:rsidRPr="006A447A">
              <w:rPr>
                <w:rFonts w:ascii="Times Roman" w:eastAsia="Times New Roman" w:hAnsi="Times Roman" w:cs="Calibri"/>
                <w:color w:val="000000"/>
                <w:sz w:val="20"/>
                <w:szCs w:val="20"/>
                <w:lang w:eastAsia="ko-KR"/>
              </w:rPr>
              <w:t xml:space="preserve"> ng </w:t>
            </w:r>
            <w:proofErr w:type="spellStart"/>
            <w:r w:rsidRPr="006A447A">
              <w:rPr>
                <w:rFonts w:ascii="Times Roman" w:eastAsia="Times New Roman" w:hAnsi="Times Roman" w:cs="Calibri"/>
                <w:color w:val="000000"/>
                <w:sz w:val="20"/>
                <w:szCs w:val="20"/>
                <w:lang w:eastAsia="ko-KR"/>
              </w:rPr>
              <w:t>Pilipinas</w:t>
            </w:r>
            <w:proofErr w:type="spellEnd"/>
          </w:p>
        </w:tc>
      </w:tr>
      <w:tr w:rsidR="006A447A" w:rsidRPr="006A447A" w14:paraId="4CC37646" w14:textId="77777777" w:rsidTr="0075041F">
        <w:trPr>
          <w:trHeight w:val="301"/>
        </w:trPr>
        <w:tc>
          <w:tcPr>
            <w:tcW w:w="1289" w:type="dxa"/>
            <w:tcBorders>
              <w:top w:val="nil"/>
              <w:left w:val="nil"/>
              <w:bottom w:val="nil"/>
              <w:right w:val="nil"/>
            </w:tcBorders>
            <w:shd w:val="clear" w:color="auto" w:fill="auto"/>
            <w:noWrap/>
            <w:vAlign w:val="center"/>
            <w:hideMark/>
          </w:tcPr>
          <w:p w14:paraId="2C1CB652"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CARS</w:t>
            </w:r>
          </w:p>
        </w:tc>
        <w:tc>
          <w:tcPr>
            <w:tcW w:w="8243" w:type="dxa"/>
            <w:tcBorders>
              <w:top w:val="nil"/>
              <w:left w:val="nil"/>
              <w:bottom w:val="nil"/>
              <w:right w:val="nil"/>
            </w:tcBorders>
            <w:shd w:val="clear" w:color="auto" w:fill="auto"/>
            <w:noWrap/>
            <w:vAlign w:val="bottom"/>
            <w:hideMark/>
          </w:tcPr>
          <w:p w14:paraId="648B3D81"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Comprehensive Automotive Resurgence Strategy </w:t>
            </w:r>
          </w:p>
        </w:tc>
      </w:tr>
      <w:tr w:rsidR="006A447A" w:rsidRPr="006A447A" w14:paraId="6D7E64D8" w14:textId="77777777" w:rsidTr="0075041F">
        <w:trPr>
          <w:trHeight w:val="301"/>
        </w:trPr>
        <w:tc>
          <w:tcPr>
            <w:tcW w:w="1289" w:type="dxa"/>
            <w:tcBorders>
              <w:top w:val="nil"/>
              <w:left w:val="nil"/>
              <w:bottom w:val="nil"/>
              <w:right w:val="nil"/>
            </w:tcBorders>
            <w:shd w:val="clear" w:color="auto" w:fill="auto"/>
            <w:noWrap/>
            <w:vAlign w:val="center"/>
            <w:hideMark/>
          </w:tcPr>
          <w:p w14:paraId="019D314D"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CRADLE</w:t>
            </w:r>
          </w:p>
        </w:tc>
        <w:tc>
          <w:tcPr>
            <w:tcW w:w="8243" w:type="dxa"/>
            <w:tcBorders>
              <w:top w:val="nil"/>
              <w:left w:val="nil"/>
              <w:bottom w:val="nil"/>
              <w:right w:val="nil"/>
            </w:tcBorders>
            <w:shd w:val="clear" w:color="auto" w:fill="auto"/>
            <w:noWrap/>
            <w:vAlign w:val="bottom"/>
            <w:hideMark/>
          </w:tcPr>
          <w:p w14:paraId="06791099"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Collaborative R&amp;D to leverage Philippine economy  </w:t>
            </w:r>
          </w:p>
        </w:tc>
      </w:tr>
      <w:tr w:rsidR="006A447A" w:rsidRPr="006A447A" w14:paraId="2416F546" w14:textId="77777777" w:rsidTr="0075041F">
        <w:trPr>
          <w:trHeight w:val="301"/>
        </w:trPr>
        <w:tc>
          <w:tcPr>
            <w:tcW w:w="1289" w:type="dxa"/>
            <w:tcBorders>
              <w:top w:val="nil"/>
              <w:left w:val="nil"/>
              <w:bottom w:val="nil"/>
              <w:right w:val="nil"/>
            </w:tcBorders>
            <w:shd w:val="clear" w:color="auto" w:fill="auto"/>
            <w:noWrap/>
            <w:vAlign w:val="center"/>
            <w:hideMark/>
          </w:tcPr>
          <w:p w14:paraId="24EF9EB3"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DATBED</w:t>
            </w:r>
          </w:p>
        </w:tc>
        <w:tc>
          <w:tcPr>
            <w:tcW w:w="8243" w:type="dxa"/>
            <w:tcBorders>
              <w:top w:val="nil"/>
              <w:left w:val="nil"/>
              <w:bottom w:val="nil"/>
              <w:right w:val="nil"/>
            </w:tcBorders>
            <w:shd w:val="clear" w:color="auto" w:fill="auto"/>
            <w:noWrap/>
            <w:vAlign w:val="bottom"/>
            <w:hideMark/>
          </w:tcPr>
          <w:p w14:paraId="17A806BB"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DOST Academe Technology-Based Enterprise Development Assistance Program</w:t>
            </w:r>
          </w:p>
        </w:tc>
      </w:tr>
      <w:tr w:rsidR="006A447A" w:rsidRPr="006A447A" w14:paraId="791ABE29" w14:textId="77777777" w:rsidTr="0075041F">
        <w:trPr>
          <w:trHeight w:val="301"/>
        </w:trPr>
        <w:tc>
          <w:tcPr>
            <w:tcW w:w="1289" w:type="dxa"/>
            <w:tcBorders>
              <w:top w:val="nil"/>
              <w:left w:val="nil"/>
              <w:bottom w:val="nil"/>
              <w:right w:val="nil"/>
            </w:tcBorders>
            <w:shd w:val="clear" w:color="auto" w:fill="auto"/>
            <w:noWrap/>
            <w:vAlign w:val="center"/>
            <w:hideMark/>
          </w:tcPr>
          <w:p w14:paraId="1FCC40E5"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DCP</w:t>
            </w:r>
          </w:p>
        </w:tc>
        <w:tc>
          <w:tcPr>
            <w:tcW w:w="8243" w:type="dxa"/>
            <w:tcBorders>
              <w:top w:val="nil"/>
              <w:left w:val="nil"/>
              <w:bottom w:val="nil"/>
              <w:right w:val="nil"/>
            </w:tcBorders>
            <w:shd w:val="clear" w:color="auto" w:fill="auto"/>
            <w:noWrap/>
            <w:vAlign w:val="bottom"/>
            <w:hideMark/>
          </w:tcPr>
          <w:p w14:paraId="79E24916"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Design Center of the Philippines </w:t>
            </w:r>
          </w:p>
        </w:tc>
      </w:tr>
      <w:tr w:rsidR="006A447A" w:rsidRPr="006A447A" w14:paraId="13EA17D7" w14:textId="77777777" w:rsidTr="0075041F">
        <w:trPr>
          <w:trHeight w:val="301"/>
        </w:trPr>
        <w:tc>
          <w:tcPr>
            <w:tcW w:w="1289" w:type="dxa"/>
            <w:tcBorders>
              <w:top w:val="nil"/>
              <w:left w:val="nil"/>
              <w:bottom w:val="nil"/>
              <w:right w:val="nil"/>
            </w:tcBorders>
            <w:shd w:val="clear" w:color="auto" w:fill="auto"/>
            <w:noWrap/>
            <w:vAlign w:val="center"/>
            <w:hideMark/>
          </w:tcPr>
          <w:p w14:paraId="11FE1DC3"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DEED</w:t>
            </w:r>
          </w:p>
        </w:tc>
        <w:tc>
          <w:tcPr>
            <w:tcW w:w="8243" w:type="dxa"/>
            <w:tcBorders>
              <w:top w:val="nil"/>
              <w:left w:val="nil"/>
              <w:bottom w:val="nil"/>
              <w:right w:val="nil"/>
            </w:tcBorders>
            <w:shd w:val="clear" w:color="auto" w:fill="auto"/>
            <w:noWrap/>
            <w:vAlign w:val="bottom"/>
            <w:hideMark/>
          </w:tcPr>
          <w:p w14:paraId="5CC886D9"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eastAsia="ko-KR"/>
              </w:rPr>
              <w:t xml:space="preserve">Digital Entrepreneurship Ecosystem Diagnostic </w:t>
            </w:r>
          </w:p>
        </w:tc>
      </w:tr>
      <w:tr w:rsidR="006A447A" w:rsidRPr="006A447A" w14:paraId="00D4892D" w14:textId="77777777" w:rsidTr="0075041F">
        <w:trPr>
          <w:trHeight w:val="301"/>
        </w:trPr>
        <w:tc>
          <w:tcPr>
            <w:tcW w:w="1289" w:type="dxa"/>
            <w:tcBorders>
              <w:top w:val="nil"/>
              <w:left w:val="nil"/>
              <w:bottom w:val="nil"/>
              <w:right w:val="nil"/>
            </w:tcBorders>
            <w:shd w:val="clear" w:color="auto" w:fill="auto"/>
            <w:noWrap/>
            <w:vAlign w:val="center"/>
            <w:hideMark/>
          </w:tcPr>
          <w:p w14:paraId="16A140E4"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DICT</w:t>
            </w:r>
          </w:p>
        </w:tc>
        <w:tc>
          <w:tcPr>
            <w:tcW w:w="8243" w:type="dxa"/>
            <w:tcBorders>
              <w:top w:val="nil"/>
              <w:left w:val="nil"/>
              <w:bottom w:val="nil"/>
              <w:right w:val="nil"/>
            </w:tcBorders>
            <w:shd w:val="clear" w:color="auto" w:fill="auto"/>
            <w:noWrap/>
            <w:vAlign w:val="bottom"/>
            <w:hideMark/>
          </w:tcPr>
          <w:p w14:paraId="43431DA1" w14:textId="28E20C02"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Department of </w:t>
            </w:r>
            <w:r w:rsidR="00E168AB">
              <w:rPr>
                <w:rFonts w:ascii="Times Roman" w:eastAsia="Times New Roman" w:hAnsi="Times Roman" w:cs="Calibri"/>
                <w:color w:val="000000"/>
                <w:sz w:val="20"/>
                <w:szCs w:val="20"/>
                <w:lang w:val="en-PH" w:eastAsia="ko-KR"/>
              </w:rPr>
              <w:t>Information</w:t>
            </w:r>
            <w:r w:rsidR="00921E7A">
              <w:rPr>
                <w:rFonts w:ascii="Times Roman" w:eastAsia="Times New Roman" w:hAnsi="Times Roman" w:cs="Calibri"/>
                <w:color w:val="000000"/>
                <w:sz w:val="20"/>
                <w:szCs w:val="20"/>
                <w:lang w:val="en-PH" w:eastAsia="ko-KR"/>
              </w:rPr>
              <w:t xml:space="preserve"> and </w:t>
            </w:r>
            <w:r w:rsidR="00397BD9">
              <w:rPr>
                <w:rFonts w:ascii="Times Roman" w:eastAsia="Times New Roman" w:hAnsi="Times Roman" w:cs="Calibri"/>
                <w:color w:val="000000"/>
                <w:sz w:val="20"/>
                <w:szCs w:val="20"/>
                <w:lang w:val="en-PH" w:eastAsia="ko-KR"/>
              </w:rPr>
              <w:t>C</w:t>
            </w:r>
            <w:r w:rsidR="00E168AB">
              <w:rPr>
                <w:rFonts w:ascii="Times Roman" w:eastAsia="Times New Roman" w:hAnsi="Times Roman" w:cs="Calibri"/>
                <w:color w:val="000000"/>
                <w:sz w:val="20"/>
                <w:szCs w:val="20"/>
                <w:lang w:val="en-PH" w:eastAsia="ko-KR"/>
              </w:rPr>
              <w:t xml:space="preserve">ommunications </w:t>
            </w:r>
            <w:r w:rsidRPr="006A447A">
              <w:rPr>
                <w:rFonts w:ascii="Times Roman" w:eastAsia="Times New Roman" w:hAnsi="Times Roman" w:cs="Calibri"/>
                <w:color w:val="000000"/>
                <w:sz w:val="20"/>
                <w:szCs w:val="20"/>
                <w:lang w:val="en-PH" w:eastAsia="ko-KR"/>
              </w:rPr>
              <w:t>Technology</w:t>
            </w:r>
          </w:p>
        </w:tc>
      </w:tr>
      <w:tr w:rsidR="006A447A" w:rsidRPr="006A447A" w14:paraId="1069E7AC" w14:textId="77777777" w:rsidTr="0075041F">
        <w:trPr>
          <w:trHeight w:val="301"/>
        </w:trPr>
        <w:tc>
          <w:tcPr>
            <w:tcW w:w="1289" w:type="dxa"/>
            <w:tcBorders>
              <w:top w:val="nil"/>
              <w:left w:val="nil"/>
              <w:bottom w:val="nil"/>
              <w:right w:val="nil"/>
            </w:tcBorders>
            <w:shd w:val="clear" w:color="auto" w:fill="auto"/>
            <w:noWrap/>
            <w:vAlign w:val="center"/>
            <w:hideMark/>
          </w:tcPr>
          <w:p w14:paraId="749F3519"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DOST</w:t>
            </w:r>
          </w:p>
        </w:tc>
        <w:tc>
          <w:tcPr>
            <w:tcW w:w="8243" w:type="dxa"/>
            <w:tcBorders>
              <w:top w:val="nil"/>
              <w:left w:val="nil"/>
              <w:bottom w:val="nil"/>
              <w:right w:val="nil"/>
            </w:tcBorders>
            <w:shd w:val="clear" w:color="auto" w:fill="auto"/>
            <w:noWrap/>
            <w:vAlign w:val="bottom"/>
            <w:hideMark/>
          </w:tcPr>
          <w:p w14:paraId="1AC4F14D"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Department of Science and Technology</w:t>
            </w:r>
          </w:p>
        </w:tc>
      </w:tr>
      <w:tr w:rsidR="006A447A" w:rsidRPr="006A447A" w14:paraId="157336EE" w14:textId="77777777" w:rsidTr="0075041F">
        <w:trPr>
          <w:trHeight w:val="301"/>
        </w:trPr>
        <w:tc>
          <w:tcPr>
            <w:tcW w:w="1289" w:type="dxa"/>
            <w:tcBorders>
              <w:top w:val="nil"/>
              <w:left w:val="nil"/>
              <w:bottom w:val="nil"/>
              <w:right w:val="nil"/>
            </w:tcBorders>
            <w:shd w:val="clear" w:color="auto" w:fill="auto"/>
            <w:noWrap/>
            <w:vAlign w:val="center"/>
            <w:hideMark/>
          </w:tcPr>
          <w:p w14:paraId="49E97D03"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DTI</w:t>
            </w:r>
          </w:p>
        </w:tc>
        <w:tc>
          <w:tcPr>
            <w:tcW w:w="8243" w:type="dxa"/>
            <w:tcBorders>
              <w:top w:val="nil"/>
              <w:left w:val="nil"/>
              <w:bottom w:val="nil"/>
              <w:right w:val="nil"/>
            </w:tcBorders>
            <w:shd w:val="clear" w:color="auto" w:fill="auto"/>
            <w:noWrap/>
            <w:vAlign w:val="bottom"/>
            <w:hideMark/>
          </w:tcPr>
          <w:p w14:paraId="1D6DB987"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Department of Trade and Industry</w:t>
            </w:r>
          </w:p>
        </w:tc>
      </w:tr>
      <w:tr w:rsidR="006A447A" w:rsidRPr="006A447A" w14:paraId="0E00F9B8" w14:textId="77777777" w:rsidTr="0075041F">
        <w:trPr>
          <w:trHeight w:val="301"/>
        </w:trPr>
        <w:tc>
          <w:tcPr>
            <w:tcW w:w="1289" w:type="dxa"/>
            <w:tcBorders>
              <w:top w:val="nil"/>
              <w:left w:val="nil"/>
              <w:bottom w:val="nil"/>
              <w:right w:val="nil"/>
            </w:tcBorders>
            <w:shd w:val="clear" w:color="auto" w:fill="auto"/>
            <w:noWrap/>
            <w:vAlign w:val="center"/>
            <w:hideMark/>
          </w:tcPr>
          <w:p w14:paraId="000EF57F"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EDT</w:t>
            </w:r>
          </w:p>
        </w:tc>
        <w:tc>
          <w:tcPr>
            <w:tcW w:w="8243" w:type="dxa"/>
            <w:tcBorders>
              <w:top w:val="nil"/>
              <w:left w:val="nil"/>
              <w:bottom w:val="nil"/>
              <w:right w:val="nil"/>
            </w:tcBorders>
            <w:shd w:val="clear" w:color="auto" w:fill="auto"/>
            <w:noWrap/>
            <w:vAlign w:val="bottom"/>
            <w:hideMark/>
          </w:tcPr>
          <w:p w14:paraId="58ECC2FB"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eastAsia="ko-KR"/>
              </w:rPr>
              <w:t xml:space="preserve">Enterprise Development Track </w:t>
            </w:r>
          </w:p>
        </w:tc>
      </w:tr>
      <w:tr w:rsidR="006A447A" w:rsidRPr="006A447A" w14:paraId="2D144057" w14:textId="77777777" w:rsidTr="0075041F">
        <w:trPr>
          <w:trHeight w:val="301"/>
        </w:trPr>
        <w:tc>
          <w:tcPr>
            <w:tcW w:w="1289" w:type="dxa"/>
            <w:tcBorders>
              <w:top w:val="nil"/>
              <w:left w:val="nil"/>
              <w:bottom w:val="nil"/>
              <w:right w:val="nil"/>
            </w:tcBorders>
            <w:shd w:val="clear" w:color="auto" w:fill="auto"/>
            <w:noWrap/>
            <w:vAlign w:val="center"/>
            <w:hideMark/>
          </w:tcPr>
          <w:p w14:paraId="5678C37C"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EMB</w:t>
            </w:r>
          </w:p>
        </w:tc>
        <w:tc>
          <w:tcPr>
            <w:tcW w:w="8243" w:type="dxa"/>
            <w:tcBorders>
              <w:top w:val="nil"/>
              <w:left w:val="nil"/>
              <w:bottom w:val="nil"/>
              <w:right w:val="nil"/>
            </w:tcBorders>
            <w:shd w:val="clear" w:color="auto" w:fill="auto"/>
            <w:noWrap/>
            <w:vAlign w:val="bottom"/>
            <w:hideMark/>
          </w:tcPr>
          <w:p w14:paraId="71F05C5D"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Export Marketing Bureau </w:t>
            </w:r>
          </w:p>
        </w:tc>
      </w:tr>
      <w:tr w:rsidR="006A447A" w:rsidRPr="006A447A" w14:paraId="6884E8A6" w14:textId="77777777" w:rsidTr="0075041F">
        <w:trPr>
          <w:trHeight w:val="301"/>
        </w:trPr>
        <w:tc>
          <w:tcPr>
            <w:tcW w:w="1289" w:type="dxa"/>
            <w:tcBorders>
              <w:top w:val="nil"/>
              <w:left w:val="nil"/>
              <w:bottom w:val="nil"/>
              <w:right w:val="nil"/>
            </w:tcBorders>
            <w:shd w:val="clear" w:color="auto" w:fill="auto"/>
            <w:noWrap/>
            <w:vAlign w:val="center"/>
            <w:hideMark/>
          </w:tcPr>
          <w:p w14:paraId="7CF51A73"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EMB</w:t>
            </w:r>
          </w:p>
        </w:tc>
        <w:tc>
          <w:tcPr>
            <w:tcW w:w="8243" w:type="dxa"/>
            <w:tcBorders>
              <w:top w:val="nil"/>
              <w:left w:val="nil"/>
              <w:bottom w:val="nil"/>
              <w:right w:val="nil"/>
            </w:tcBorders>
            <w:shd w:val="clear" w:color="auto" w:fill="auto"/>
            <w:noWrap/>
            <w:vAlign w:val="bottom"/>
            <w:hideMark/>
          </w:tcPr>
          <w:p w14:paraId="6204AD9A"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Enterprise Module </w:t>
            </w:r>
          </w:p>
        </w:tc>
      </w:tr>
      <w:tr w:rsidR="006A447A" w:rsidRPr="006A447A" w14:paraId="327AC12D" w14:textId="77777777" w:rsidTr="0075041F">
        <w:trPr>
          <w:trHeight w:val="301"/>
        </w:trPr>
        <w:tc>
          <w:tcPr>
            <w:tcW w:w="1289" w:type="dxa"/>
            <w:tcBorders>
              <w:top w:val="nil"/>
              <w:left w:val="nil"/>
              <w:bottom w:val="nil"/>
              <w:right w:val="nil"/>
            </w:tcBorders>
            <w:shd w:val="clear" w:color="auto" w:fill="auto"/>
            <w:noWrap/>
            <w:vAlign w:val="center"/>
            <w:hideMark/>
          </w:tcPr>
          <w:p w14:paraId="4DDE243C"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FDI</w:t>
            </w:r>
          </w:p>
        </w:tc>
        <w:tc>
          <w:tcPr>
            <w:tcW w:w="8243" w:type="dxa"/>
            <w:tcBorders>
              <w:top w:val="nil"/>
              <w:left w:val="nil"/>
              <w:bottom w:val="nil"/>
              <w:right w:val="nil"/>
            </w:tcBorders>
            <w:shd w:val="clear" w:color="auto" w:fill="auto"/>
            <w:noWrap/>
            <w:vAlign w:val="bottom"/>
            <w:hideMark/>
          </w:tcPr>
          <w:p w14:paraId="5E20FC45"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Foreign Direct Investment</w:t>
            </w:r>
          </w:p>
        </w:tc>
      </w:tr>
      <w:tr w:rsidR="006A447A" w:rsidRPr="006A447A" w14:paraId="055E07B1" w14:textId="77777777" w:rsidTr="0075041F">
        <w:trPr>
          <w:trHeight w:val="301"/>
        </w:trPr>
        <w:tc>
          <w:tcPr>
            <w:tcW w:w="1289" w:type="dxa"/>
            <w:tcBorders>
              <w:top w:val="nil"/>
              <w:left w:val="nil"/>
              <w:bottom w:val="nil"/>
              <w:right w:val="nil"/>
            </w:tcBorders>
            <w:shd w:val="clear" w:color="auto" w:fill="auto"/>
            <w:noWrap/>
            <w:vAlign w:val="center"/>
            <w:hideMark/>
          </w:tcPr>
          <w:p w14:paraId="2A51BA95"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FIC</w:t>
            </w:r>
          </w:p>
        </w:tc>
        <w:tc>
          <w:tcPr>
            <w:tcW w:w="8243" w:type="dxa"/>
            <w:tcBorders>
              <w:top w:val="nil"/>
              <w:left w:val="nil"/>
              <w:bottom w:val="nil"/>
              <w:right w:val="nil"/>
            </w:tcBorders>
            <w:shd w:val="clear" w:color="auto" w:fill="auto"/>
            <w:noWrap/>
            <w:vAlign w:val="bottom"/>
            <w:hideMark/>
          </w:tcPr>
          <w:p w14:paraId="1C6FBACD"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Food Innovation Center </w:t>
            </w:r>
          </w:p>
        </w:tc>
      </w:tr>
      <w:tr w:rsidR="006A447A" w:rsidRPr="006A447A" w14:paraId="3F72C3B5" w14:textId="77777777" w:rsidTr="0075041F">
        <w:trPr>
          <w:trHeight w:val="301"/>
        </w:trPr>
        <w:tc>
          <w:tcPr>
            <w:tcW w:w="1289" w:type="dxa"/>
            <w:tcBorders>
              <w:top w:val="nil"/>
              <w:left w:val="nil"/>
              <w:bottom w:val="nil"/>
              <w:right w:val="nil"/>
            </w:tcBorders>
            <w:shd w:val="clear" w:color="auto" w:fill="auto"/>
            <w:noWrap/>
            <w:vAlign w:val="center"/>
            <w:hideMark/>
          </w:tcPr>
          <w:p w14:paraId="0359D424"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FNRI</w:t>
            </w:r>
          </w:p>
        </w:tc>
        <w:tc>
          <w:tcPr>
            <w:tcW w:w="8243" w:type="dxa"/>
            <w:tcBorders>
              <w:top w:val="nil"/>
              <w:left w:val="nil"/>
              <w:bottom w:val="nil"/>
              <w:right w:val="nil"/>
            </w:tcBorders>
            <w:shd w:val="clear" w:color="auto" w:fill="auto"/>
            <w:noWrap/>
            <w:vAlign w:val="bottom"/>
            <w:hideMark/>
          </w:tcPr>
          <w:p w14:paraId="282C1D74"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Food and Nutrition Research Institute </w:t>
            </w:r>
          </w:p>
        </w:tc>
      </w:tr>
      <w:tr w:rsidR="006A447A" w:rsidRPr="006A447A" w14:paraId="241ED90F" w14:textId="77777777" w:rsidTr="0075041F">
        <w:trPr>
          <w:trHeight w:val="301"/>
        </w:trPr>
        <w:tc>
          <w:tcPr>
            <w:tcW w:w="1289" w:type="dxa"/>
            <w:tcBorders>
              <w:top w:val="nil"/>
              <w:left w:val="nil"/>
              <w:bottom w:val="nil"/>
              <w:right w:val="nil"/>
            </w:tcBorders>
            <w:shd w:val="clear" w:color="auto" w:fill="auto"/>
            <w:noWrap/>
            <w:vAlign w:val="center"/>
            <w:hideMark/>
          </w:tcPr>
          <w:p w14:paraId="30CAC50E"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FPRDI</w:t>
            </w:r>
          </w:p>
        </w:tc>
        <w:tc>
          <w:tcPr>
            <w:tcW w:w="8243" w:type="dxa"/>
            <w:tcBorders>
              <w:top w:val="nil"/>
              <w:left w:val="nil"/>
              <w:bottom w:val="nil"/>
              <w:right w:val="nil"/>
            </w:tcBorders>
            <w:shd w:val="clear" w:color="auto" w:fill="auto"/>
            <w:noWrap/>
            <w:vAlign w:val="bottom"/>
            <w:hideMark/>
          </w:tcPr>
          <w:p w14:paraId="6DF67CCE"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Forest Products Research and Development Institute </w:t>
            </w:r>
          </w:p>
        </w:tc>
      </w:tr>
      <w:tr w:rsidR="006A447A" w:rsidRPr="006A447A" w14:paraId="3A60DC06" w14:textId="77777777" w:rsidTr="0075041F">
        <w:trPr>
          <w:trHeight w:val="301"/>
        </w:trPr>
        <w:tc>
          <w:tcPr>
            <w:tcW w:w="1289" w:type="dxa"/>
            <w:tcBorders>
              <w:top w:val="nil"/>
              <w:left w:val="nil"/>
              <w:bottom w:val="nil"/>
              <w:right w:val="nil"/>
            </w:tcBorders>
            <w:shd w:val="clear" w:color="auto" w:fill="auto"/>
            <w:noWrap/>
            <w:vAlign w:val="center"/>
            <w:hideMark/>
          </w:tcPr>
          <w:p w14:paraId="4E79CF6B"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GDP</w:t>
            </w:r>
          </w:p>
        </w:tc>
        <w:tc>
          <w:tcPr>
            <w:tcW w:w="8243" w:type="dxa"/>
            <w:tcBorders>
              <w:top w:val="nil"/>
              <w:left w:val="nil"/>
              <w:bottom w:val="nil"/>
              <w:right w:val="nil"/>
            </w:tcBorders>
            <w:shd w:val="clear" w:color="auto" w:fill="auto"/>
            <w:noWrap/>
            <w:vAlign w:val="bottom"/>
            <w:hideMark/>
          </w:tcPr>
          <w:p w14:paraId="321713D7"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Gross Domestic Product</w:t>
            </w:r>
          </w:p>
        </w:tc>
      </w:tr>
      <w:tr w:rsidR="006A447A" w:rsidRPr="006A447A" w14:paraId="4AF43A0F" w14:textId="77777777" w:rsidTr="0075041F">
        <w:trPr>
          <w:trHeight w:val="301"/>
        </w:trPr>
        <w:tc>
          <w:tcPr>
            <w:tcW w:w="1289" w:type="dxa"/>
            <w:tcBorders>
              <w:top w:val="nil"/>
              <w:left w:val="nil"/>
              <w:bottom w:val="nil"/>
              <w:right w:val="nil"/>
            </w:tcBorders>
            <w:shd w:val="clear" w:color="auto" w:fill="auto"/>
            <w:noWrap/>
            <w:vAlign w:val="center"/>
            <w:hideMark/>
          </w:tcPr>
          <w:p w14:paraId="30E59F82"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GED</w:t>
            </w:r>
          </w:p>
        </w:tc>
        <w:tc>
          <w:tcPr>
            <w:tcW w:w="8243" w:type="dxa"/>
            <w:tcBorders>
              <w:top w:val="nil"/>
              <w:left w:val="nil"/>
              <w:bottom w:val="nil"/>
              <w:right w:val="nil"/>
            </w:tcBorders>
            <w:shd w:val="clear" w:color="auto" w:fill="auto"/>
            <w:noWrap/>
            <w:vAlign w:val="bottom"/>
            <w:hideMark/>
          </w:tcPr>
          <w:p w14:paraId="74250315"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Green Economic Development </w:t>
            </w:r>
          </w:p>
        </w:tc>
      </w:tr>
      <w:tr w:rsidR="006A447A" w:rsidRPr="006A447A" w14:paraId="1E8D100B" w14:textId="77777777" w:rsidTr="0075041F">
        <w:trPr>
          <w:trHeight w:val="301"/>
        </w:trPr>
        <w:tc>
          <w:tcPr>
            <w:tcW w:w="1289" w:type="dxa"/>
            <w:tcBorders>
              <w:top w:val="nil"/>
              <w:left w:val="nil"/>
              <w:bottom w:val="nil"/>
              <w:right w:val="nil"/>
            </w:tcBorders>
            <w:shd w:val="clear" w:color="auto" w:fill="auto"/>
            <w:noWrap/>
            <w:vAlign w:val="center"/>
            <w:hideMark/>
          </w:tcPr>
          <w:p w14:paraId="16642DFD"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GEI</w:t>
            </w:r>
          </w:p>
        </w:tc>
        <w:tc>
          <w:tcPr>
            <w:tcW w:w="8243" w:type="dxa"/>
            <w:tcBorders>
              <w:top w:val="nil"/>
              <w:left w:val="nil"/>
              <w:bottom w:val="nil"/>
              <w:right w:val="nil"/>
            </w:tcBorders>
            <w:shd w:val="clear" w:color="auto" w:fill="auto"/>
            <w:noWrap/>
            <w:vAlign w:val="bottom"/>
            <w:hideMark/>
          </w:tcPr>
          <w:p w14:paraId="1C4502E7"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eastAsia="ko-KR"/>
              </w:rPr>
              <w:t xml:space="preserve">Global Entrepreneurship Index </w:t>
            </w:r>
          </w:p>
        </w:tc>
      </w:tr>
      <w:tr w:rsidR="006A447A" w:rsidRPr="006A447A" w14:paraId="0C8FC926" w14:textId="77777777" w:rsidTr="0075041F">
        <w:trPr>
          <w:trHeight w:val="301"/>
        </w:trPr>
        <w:tc>
          <w:tcPr>
            <w:tcW w:w="1289" w:type="dxa"/>
            <w:tcBorders>
              <w:top w:val="nil"/>
              <w:left w:val="nil"/>
              <w:bottom w:val="nil"/>
              <w:right w:val="nil"/>
            </w:tcBorders>
            <w:shd w:val="clear" w:color="auto" w:fill="auto"/>
            <w:noWrap/>
            <w:vAlign w:val="center"/>
            <w:hideMark/>
          </w:tcPr>
          <w:p w14:paraId="24AD2B59"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GEM</w:t>
            </w:r>
          </w:p>
        </w:tc>
        <w:tc>
          <w:tcPr>
            <w:tcW w:w="8243" w:type="dxa"/>
            <w:tcBorders>
              <w:top w:val="nil"/>
              <w:left w:val="nil"/>
              <w:bottom w:val="nil"/>
              <w:right w:val="nil"/>
            </w:tcBorders>
            <w:shd w:val="clear" w:color="auto" w:fill="auto"/>
            <w:noWrap/>
            <w:vAlign w:val="bottom"/>
            <w:hideMark/>
          </w:tcPr>
          <w:p w14:paraId="2264B566"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eastAsia="ko-KR"/>
              </w:rPr>
              <w:t xml:space="preserve">Global Entrepreneurship Monitor </w:t>
            </w:r>
          </w:p>
        </w:tc>
      </w:tr>
      <w:tr w:rsidR="006A447A" w:rsidRPr="006A447A" w14:paraId="775ABEAF" w14:textId="77777777" w:rsidTr="0075041F">
        <w:trPr>
          <w:trHeight w:val="301"/>
        </w:trPr>
        <w:tc>
          <w:tcPr>
            <w:tcW w:w="1289" w:type="dxa"/>
            <w:tcBorders>
              <w:top w:val="nil"/>
              <w:left w:val="nil"/>
              <w:bottom w:val="nil"/>
              <w:right w:val="nil"/>
            </w:tcBorders>
            <w:shd w:val="clear" w:color="auto" w:fill="auto"/>
            <w:noWrap/>
            <w:vAlign w:val="center"/>
            <w:hideMark/>
          </w:tcPr>
          <w:p w14:paraId="03246809" w14:textId="77777777" w:rsidR="006A447A" w:rsidRPr="006A447A" w:rsidRDefault="006A447A" w:rsidP="006A447A">
            <w:pPr>
              <w:spacing w:after="0" w:line="240" w:lineRule="auto"/>
              <w:rPr>
                <w:rFonts w:ascii="Times Roman" w:eastAsia="Times New Roman" w:hAnsi="Times Roman" w:cs="Calibri"/>
                <w:color w:val="000000"/>
                <w:lang w:val="en-PH" w:eastAsia="ko-KR"/>
              </w:rPr>
            </w:pPr>
            <w:proofErr w:type="spellStart"/>
            <w:r w:rsidRPr="006A447A">
              <w:rPr>
                <w:rFonts w:ascii="Times Roman" w:eastAsia="Times New Roman" w:hAnsi="Times Roman" w:cs="Calibri"/>
                <w:color w:val="000000"/>
                <w:lang w:val="en-PH" w:eastAsia="ko-KR"/>
              </w:rPr>
              <w:t>GoP</w:t>
            </w:r>
            <w:proofErr w:type="spellEnd"/>
          </w:p>
        </w:tc>
        <w:tc>
          <w:tcPr>
            <w:tcW w:w="8243" w:type="dxa"/>
            <w:tcBorders>
              <w:top w:val="nil"/>
              <w:left w:val="nil"/>
              <w:bottom w:val="nil"/>
              <w:right w:val="nil"/>
            </w:tcBorders>
            <w:shd w:val="clear" w:color="auto" w:fill="auto"/>
            <w:noWrap/>
            <w:vAlign w:val="bottom"/>
            <w:hideMark/>
          </w:tcPr>
          <w:p w14:paraId="26B7E1B6"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eastAsia="ko-KR"/>
              </w:rPr>
              <w:t>Government of the Philippines</w:t>
            </w:r>
          </w:p>
        </w:tc>
      </w:tr>
      <w:tr w:rsidR="006A447A" w:rsidRPr="006A447A" w14:paraId="4B873ED9" w14:textId="77777777" w:rsidTr="0075041F">
        <w:trPr>
          <w:trHeight w:val="301"/>
        </w:trPr>
        <w:tc>
          <w:tcPr>
            <w:tcW w:w="1289" w:type="dxa"/>
            <w:tcBorders>
              <w:top w:val="nil"/>
              <w:left w:val="nil"/>
              <w:bottom w:val="nil"/>
              <w:right w:val="nil"/>
            </w:tcBorders>
            <w:shd w:val="clear" w:color="auto" w:fill="auto"/>
            <w:noWrap/>
            <w:vAlign w:val="center"/>
            <w:hideMark/>
          </w:tcPr>
          <w:p w14:paraId="6F523FEC"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IBED</w:t>
            </w:r>
          </w:p>
        </w:tc>
        <w:tc>
          <w:tcPr>
            <w:tcW w:w="8243" w:type="dxa"/>
            <w:tcBorders>
              <w:top w:val="nil"/>
              <w:left w:val="nil"/>
              <w:bottom w:val="nil"/>
              <w:right w:val="nil"/>
            </w:tcBorders>
            <w:shd w:val="clear" w:color="auto" w:fill="auto"/>
            <w:noWrap/>
            <w:vAlign w:val="bottom"/>
            <w:hideMark/>
          </w:tcPr>
          <w:p w14:paraId="416B46C8"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Invention-Based Enterprise Development </w:t>
            </w:r>
          </w:p>
        </w:tc>
      </w:tr>
      <w:tr w:rsidR="006A447A" w:rsidRPr="006A447A" w14:paraId="4E52D19F" w14:textId="77777777" w:rsidTr="0075041F">
        <w:trPr>
          <w:trHeight w:val="301"/>
        </w:trPr>
        <w:tc>
          <w:tcPr>
            <w:tcW w:w="1289" w:type="dxa"/>
            <w:tcBorders>
              <w:top w:val="nil"/>
              <w:left w:val="nil"/>
              <w:bottom w:val="nil"/>
              <w:right w:val="nil"/>
            </w:tcBorders>
            <w:shd w:val="clear" w:color="auto" w:fill="auto"/>
            <w:noWrap/>
            <w:vAlign w:val="center"/>
            <w:hideMark/>
          </w:tcPr>
          <w:p w14:paraId="1E82DCA8" w14:textId="77777777" w:rsidR="006A447A" w:rsidRPr="006A447A" w:rsidRDefault="006A447A" w:rsidP="006A447A">
            <w:pPr>
              <w:spacing w:after="0" w:line="240" w:lineRule="auto"/>
              <w:rPr>
                <w:rFonts w:ascii="Times Roman" w:eastAsia="Times New Roman" w:hAnsi="Times Roman" w:cs="Calibri"/>
                <w:color w:val="000000"/>
                <w:lang w:val="en-PH" w:eastAsia="ko-KR"/>
              </w:rPr>
            </w:pPr>
            <w:proofErr w:type="spellStart"/>
            <w:r w:rsidRPr="006A447A">
              <w:rPr>
                <w:rFonts w:ascii="Times Roman" w:eastAsia="Times New Roman" w:hAnsi="Times Roman" w:cs="Calibri"/>
                <w:color w:val="000000"/>
                <w:lang w:val="en-PH" w:eastAsia="ko-KR"/>
              </w:rPr>
              <w:t>iBID</w:t>
            </w:r>
            <w:proofErr w:type="spellEnd"/>
          </w:p>
        </w:tc>
        <w:tc>
          <w:tcPr>
            <w:tcW w:w="8243" w:type="dxa"/>
            <w:tcBorders>
              <w:top w:val="nil"/>
              <w:left w:val="nil"/>
              <w:bottom w:val="nil"/>
              <w:right w:val="nil"/>
            </w:tcBorders>
            <w:shd w:val="clear" w:color="auto" w:fill="auto"/>
            <w:noWrap/>
            <w:vAlign w:val="bottom"/>
            <w:hideMark/>
          </w:tcPr>
          <w:p w14:paraId="1D57D9FF"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Industry-Based Development Program</w:t>
            </w:r>
          </w:p>
        </w:tc>
      </w:tr>
      <w:tr w:rsidR="006A447A" w:rsidRPr="006A447A" w14:paraId="12A20141" w14:textId="77777777" w:rsidTr="0075041F">
        <w:trPr>
          <w:trHeight w:val="301"/>
        </w:trPr>
        <w:tc>
          <w:tcPr>
            <w:tcW w:w="1289" w:type="dxa"/>
            <w:tcBorders>
              <w:top w:val="nil"/>
              <w:left w:val="nil"/>
              <w:bottom w:val="nil"/>
              <w:right w:val="nil"/>
            </w:tcBorders>
            <w:shd w:val="clear" w:color="auto" w:fill="auto"/>
            <w:noWrap/>
            <w:vAlign w:val="center"/>
            <w:hideMark/>
          </w:tcPr>
          <w:p w14:paraId="5A408D43"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ICE</w:t>
            </w:r>
          </w:p>
        </w:tc>
        <w:tc>
          <w:tcPr>
            <w:tcW w:w="8243" w:type="dxa"/>
            <w:tcBorders>
              <w:top w:val="nil"/>
              <w:left w:val="nil"/>
              <w:bottom w:val="nil"/>
              <w:right w:val="nil"/>
            </w:tcBorders>
            <w:shd w:val="clear" w:color="auto" w:fill="auto"/>
            <w:noWrap/>
            <w:vAlign w:val="bottom"/>
            <w:hideMark/>
          </w:tcPr>
          <w:p w14:paraId="79782EA2"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Industry Cluster Enhancement </w:t>
            </w:r>
          </w:p>
        </w:tc>
      </w:tr>
      <w:tr w:rsidR="006A447A" w:rsidRPr="006A447A" w14:paraId="228C1245" w14:textId="77777777" w:rsidTr="0075041F">
        <w:trPr>
          <w:trHeight w:val="301"/>
        </w:trPr>
        <w:tc>
          <w:tcPr>
            <w:tcW w:w="1289" w:type="dxa"/>
            <w:tcBorders>
              <w:top w:val="nil"/>
              <w:left w:val="nil"/>
              <w:bottom w:val="nil"/>
              <w:right w:val="nil"/>
            </w:tcBorders>
            <w:shd w:val="clear" w:color="auto" w:fill="auto"/>
            <w:noWrap/>
            <w:vAlign w:val="center"/>
            <w:hideMark/>
          </w:tcPr>
          <w:p w14:paraId="6C16CC97"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ICT</w:t>
            </w:r>
          </w:p>
        </w:tc>
        <w:tc>
          <w:tcPr>
            <w:tcW w:w="8243" w:type="dxa"/>
            <w:tcBorders>
              <w:top w:val="nil"/>
              <w:left w:val="nil"/>
              <w:bottom w:val="nil"/>
              <w:right w:val="nil"/>
            </w:tcBorders>
            <w:shd w:val="clear" w:color="auto" w:fill="auto"/>
            <w:noWrap/>
            <w:vAlign w:val="bottom"/>
            <w:hideMark/>
          </w:tcPr>
          <w:p w14:paraId="41B39C9D"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Information and communications technology</w:t>
            </w:r>
          </w:p>
        </w:tc>
      </w:tr>
      <w:tr w:rsidR="006A447A" w:rsidRPr="006A447A" w14:paraId="770F0AA5" w14:textId="77777777" w:rsidTr="0075041F">
        <w:trPr>
          <w:trHeight w:val="301"/>
        </w:trPr>
        <w:tc>
          <w:tcPr>
            <w:tcW w:w="1289" w:type="dxa"/>
            <w:tcBorders>
              <w:top w:val="nil"/>
              <w:left w:val="nil"/>
              <w:bottom w:val="nil"/>
              <w:right w:val="nil"/>
            </w:tcBorders>
            <w:shd w:val="clear" w:color="auto" w:fill="auto"/>
            <w:noWrap/>
            <w:vAlign w:val="center"/>
            <w:hideMark/>
          </w:tcPr>
          <w:p w14:paraId="72A5B5BC"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 xml:space="preserve">IPR </w:t>
            </w:r>
          </w:p>
        </w:tc>
        <w:tc>
          <w:tcPr>
            <w:tcW w:w="8243" w:type="dxa"/>
            <w:tcBorders>
              <w:top w:val="nil"/>
              <w:left w:val="nil"/>
              <w:bottom w:val="nil"/>
              <w:right w:val="nil"/>
            </w:tcBorders>
            <w:shd w:val="clear" w:color="auto" w:fill="auto"/>
            <w:noWrap/>
            <w:vAlign w:val="bottom"/>
            <w:hideMark/>
          </w:tcPr>
          <w:p w14:paraId="5A39D0E0"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Intellectual Property Rights  </w:t>
            </w:r>
          </w:p>
        </w:tc>
      </w:tr>
      <w:tr w:rsidR="006A447A" w:rsidRPr="006A447A" w14:paraId="2778A572" w14:textId="77777777" w:rsidTr="0075041F">
        <w:trPr>
          <w:trHeight w:val="301"/>
        </w:trPr>
        <w:tc>
          <w:tcPr>
            <w:tcW w:w="1289" w:type="dxa"/>
            <w:tcBorders>
              <w:top w:val="nil"/>
              <w:left w:val="nil"/>
              <w:bottom w:val="nil"/>
              <w:right w:val="nil"/>
            </w:tcBorders>
            <w:shd w:val="clear" w:color="auto" w:fill="auto"/>
            <w:noWrap/>
            <w:vAlign w:val="center"/>
            <w:hideMark/>
          </w:tcPr>
          <w:p w14:paraId="17186404"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IPRAR</w:t>
            </w:r>
          </w:p>
        </w:tc>
        <w:tc>
          <w:tcPr>
            <w:tcW w:w="8243" w:type="dxa"/>
            <w:tcBorders>
              <w:top w:val="nil"/>
              <w:left w:val="nil"/>
              <w:bottom w:val="nil"/>
              <w:right w:val="nil"/>
            </w:tcBorders>
            <w:shd w:val="clear" w:color="auto" w:fill="auto"/>
            <w:noWrap/>
            <w:vAlign w:val="bottom"/>
            <w:hideMark/>
          </w:tcPr>
          <w:p w14:paraId="1DC19B89"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Intellectual Property Rights Assistance Program </w:t>
            </w:r>
          </w:p>
        </w:tc>
      </w:tr>
      <w:tr w:rsidR="006A447A" w:rsidRPr="006A447A" w14:paraId="5AABE06F" w14:textId="77777777" w:rsidTr="0075041F">
        <w:trPr>
          <w:trHeight w:val="301"/>
        </w:trPr>
        <w:tc>
          <w:tcPr>
            <w:tcW w:w="1289" w:type="dxa"/>
            <w:tcBorders>
              <w:top w:val="nil"/>
              <w:left w:val="nil"/>
              <w:bottom w:val="nil"/>
              <w:right w:val="nil"/>
            </w:tcBorders>
            <w:shd w:val="clear" w:color="auto" w:fill="auto"/>
            <w:noWrap/>
            <w:vAlign w:val="center"/>
            <w:hideMark/>
          </w:tcPr>
          <w:p w14:paraId="5A6FD59D"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ISTE</w:t>
            </w:r>
          </w:p>
        </w:tc>
        <w:tc>
          <w:tcPr>
            <w:tcW w:w="8243" w:type="dxa"/>
            <w:tcBorders>
              <w:top w:val="nil"/>
              <w:left w:val="nil"/>
              <w:bottom w:val="nil"/>
              <w:right w:val="nil"/>
            </w:tcBorders>
            <w:shd w:val="clear" w:color="auto" w:fill="auto"/>
            <w:noWrap/>
            <w:vAlign w:val="bottom"/>
            <w:hideMark/>
          </w:tcPr>
          <w:p w14:paraId="0F62C1A7"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Institutional Support for Trade and Exhibitions of DOST Technologies and services</w:t>
            </w:r>
          </w:p>
        </w:tc>
      </w:tr>
      <w:tr w:rsidR="006A447A" w:rsidRPr="006A447A" w14:paraId="04133078" w14:textId="77777777" w:rsidTr="0075041F">
        <w:trPr>
          <w:trHeight w:val="301"/>
        </w:trPr>
        <w:tc>
          <w:tcPr>
            <w:tcW w:w="1289" w:type="dxa"/>
            <w:tcBorders>
              <w:top w:val="nil"/>
              <w:left w:val="nil"/>
              <w:bottom w:val="nil"/>
              <w:right w:val="nil"/>
            </w:tcBorders>
            <w:shd w:val="clear" w:color="auto" w:fill="auto"/>
            <w:noWrap/>
            <w:vAlign w:val="center"/>
            <w:hideMark/>
          </w:tcPr>
          <w:p w14:paraId="0ECDE815"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 xml:space="preserve">IT </w:t>
            </w:r>
          </w:p>
        </w:tc>
        <w:tc>
          <w:tcPr>
            <w:tcW w:w="8243" w:type="dxa"/>
            <w:tcBorders>
              <w:top w:val="nil"/>
              <w:left w:val="nil"/>
              <w:bottom w:val="nil"/>
              <w:right w:val="nil"/>
            </w:tcBorders>
            <w:shd w:val="clear" w:color="auto" w:fill="auto"/>
            <w:noWrap/>
            <w:vAlign w:val="bottom"/>
            <w:hideMark/>
          </w:tcPr>
          <w:p w14:paraId="0C4D145F"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Information technology</w:t>
            </w:r>
          </w:p>
        </w:tc>
      </w:tr>
      <w:tr w:rsidR="006A447A" w:rsidRPr="006A447A" w14:paraId="05AF2E2A" w14:textId="77777777" w:rsidTr="0075041F">
        <w:trPr>
          <w:trHeight w:val="301"/>
        </w:trPr>
        <w:tc>
          <w:tcPr>
            <w:tcW w:w="1289" w:type="dxa"/>
            <w:tcBorders>
              <w:top w:val="nil"/>
              <w:left w:val="nil"/>
              <w:bottom w:val="nil"/>
              <w:right w:val="nil"/>
            </w:tcBorders>
            <w:shd w:val="clear" w:color="auto" w:fill="auto"/>
            <w:noWrap/>
            <w:vAlign w:val="center"/>
            <w:hideMark/>
          </w:tcPr>
          <w:p w14:paraId="6F3728A8"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ITDI</w:t>
            </w:r>
          </w:p>
        </w:tc>
        <w:tc>
          <w:tcPr>
            <w:tcW w:w="8243" w:type="dxa"/>
            <w:tcBorders>
              <w:top w:val="nil"/>
              <w:left w:val="nil"/>
              <w:bottom w:val="nil"/>
              <w:right w:val="nil"/>
            </w:tcBorders>
            <w:shd w:val="clear" w:color="auto" w:fill="auto"/>
            <w:noWrap/>
            <w:vAlign w:val="bottom"/>
            <w:hideMark/>
          </w:tcPr>
          <w:p w14:paraId="321FB6A9"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Industrial Technology Development Institute </w:t>
            </w:r>
          </w:p>
        </w:tc>
      </w:tr>
      <w:tr w:rsidR="006A447A" w:rsidRPr="006A447A" w14:paraId="382B0519" w14:textId="77777777" w:rsidTr="0075041F">
        <w:trPr>
          <w:trHeight w:val="301"/>
        </w:trPr>
        <w:tc>
          <w:tcPr>
            <w:tcW w:w="1289" w:type="dxa"/>
            <w:tcBorders>
              <w:top w:val="nil"/>
              <w:left w:val="nil"/>
              <w:bottom w:val="nil"/>
              <w:right w:val="nil"/>
            </w:tcBorders>
            <w:shd w:val="clear" w:color="auto" w:fill="auto"/>
            <w:noWrap/>
            <w:vAlign w:val="center"/>
            <w:hideMark/>
          </w:tcPr>
          <w:p w14:paraId="2C8AC0A6"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KMME</w:t>
            </w:r>
          </w:p>
        </w:tc>
        <w:tc>
          <w:tcPr>
            <w:tcW w:w="8243" w:type="dxa"/>
            <w:tcBorders>
              <w:top w:val="nil"/>
              <w:left w:val="nil"/>
              <w:bottom w:val="nil"/>
              <w:right w:val="nil"/>
            </w:tcBorders>
            <w:shd w:val="clear" w:color="auto" w:fill="auto"/>
            <w:noWrap/>
            <w:vAlign w:val="bottom"/>
            <w:hideMark/>
          </w:tcPr>
          <w:p w14:paraId="620D6D67"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Project </w:t>
            </w:r>
            <w:proofErr w:type="spellStart"/>
            <w:r w:rsidRPr="006A447A">
              <w:rPr>
                <w:rFonts w:ascii="Times Roman" w:eastAsia="Times New Roman" w:hAnsi="Times Roman" w:cs="Calibri"/>
                <w:color w:val="000000"/>
                <w:sz w:val="20"/>
                <w:szCs w:val="20"/>
                <w:lang w:val="en-PH" w:eastAsia="ko-KR"/>
              </w:rPr>
              <w:t>Kapatid</w:t>
            </w:r>
            <w:proofErr w:type="spellEnd"/>
            <w:r w:rsidRPr="006A447A">
              <w:rPr>
                <w:rFonts w:ascii="Times Roman" w:eastAsia="Times New Roman" w:hAnsi="Times Roman" w:cs="Calibri"/>
                <w:color w:val="000000"/>
                <w:sz w:val="20"/>
                <w:szCs w:val="20"/>
                <w:lang w:val="en-PH" w:eastAsia="ko-KR"/>
              </w:rPr>
              <w:t xml:space="preserve"> - Mentor Me </w:t>
            </w:r>
          </w:p>
        </w:tc>
      </w:tr>
      <w:tr w:rsidR="006A447A" w:rsidRPr="006A447A" w14:paraId="01CAE52E" w14:textId="77777777" w:rsidTr="0075041F">
        <w:trPr>
          <w:trHeight w:val="301"/>
        </w:trPr>
        <w:tc>
          <w:tcPr>
            <w:tcW w:w="1289" w:type="dxa"/>
            <w:tcBorders>
              <w:top w:val="nil"/>
              <w:left w:val="nil"/>
              <w:bottom w:val="nil"/>
              <w:right w:val="nil"/>
            </w:tcBorders>
            <w:shd w:val="clear" w:color="auto" w:fill="auto"/>
            <w:noWrap/>
            <w:vAlign w:val="center"/>
            <w:hideMark/>
          </w:tcPr>
          <w:p w14:paraId="656F7383"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M&amp;E</w:t>
            </w:r>
          </w:p>
        </w:tc>
        <w:tc>
          <w:tcPr>
            <w:tcW w:w="8243" w:type="dxa"/>
            <w:tcBorders>
              <w:top w:val="nil"/>
              <w:left w:val="nil"/>
              <w:bottom w:val="nil"/>
              <w:right w:val="nil"/>
            </w:tcBorders>
            <w:shd w:val="clear" w:color="auto" w:fill="auto"/>
            <w:noWrap/>
            <w:vAlign w:val="bottom"/>
            <w:hideMark/>
          </w:tcPr>
          <w:p w14:paraId="7FAF43D9"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 Monitoring and Evaluation</w:t>
            </w:r>
          </w:p>
        </w:tc>
      </w:tr>
      <w:tr w:rsidR="006A447A" w:rsidRPr="006A447A" w14:paraId="231A4969" w14:textId="77777777" w:rsidTr="0075041F">
        <w:trPr>
          <w:trHeight w:val="301"/>
        </w:trPr>
        <w:tc>
          <w:tcPr>
            <w:tcW w:w="1289" w:type="dxa"/>
            <w:tcBorders>
              <w:top w:val="nil"/>
              <w:left w:val="nil"/>
              <w:bottom w:val="nil"/>
              <w:right w:val="nil"/>
            </w:tcBorders>
            <w:shd w:val="clear" w:color="auto" w:fill="auto"/>
            <w:noWrap/>
            <w:vAlign w:val="center"/>
            <w:hideMark/>
          </w:tcPr>
          <w:p w14:paraId="5FC6C73D"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MFI</w:t>
            </w:r>
          </w:p>
        </w:tc>
        <w:tc>
          <w:tcPr>
            <w:tcW w:w="8243" w:type="dxa"/>
            <w:tcBorders>
              <w:top w:val="nil"/>
              <w:left w:val="nil"/>
              <w:bottom w:val="nil"/>
              <w:right w:val="nil"/>
            </w:tcBorders>
            <w:shd w:val="clear" w:color="auto" w:fill="auto"/>
            <w:noWrap/>
            <w:vAlign w:val="bottom"/>
            <w:hideMark/>
          </w:tcPr>
          <w:p w14:paraId="67D64B79"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Microfinance Institutions</w:t>
            </w:r>
          </w:p>
        </w:tc>
      </w:tr>
      <w:tr w:rsidR="006A447A" w:rsidRPr="006A447A" w14:paraId="0CE4D921" w14:textId="77777777" w:rsidTr="0075041F">
        <w:trPr>
          <w:trHeight w:val="301"/>
        </w:trPr>
        <w:tc>
          <w:tcPr>
            <w:tcW w:w="1289" w:type="dxa"/>
            <w:tcBorders>
              <w:top w:val="nil"/>
              <w:left w:val="nil"/>
              <w:bottom w:val="nil"/>
              <w:right w:val="nil"/>
            </w:tcBorders>
            <w:shd w:val="clear" w:color="auto" w:fill="auto"/>
            <w:noWrap/>
            <w:vAlign w:val="center"/>
            <w:hideMark/>
          </w:tcPr>
          <w:p w14:paraId="427EFC90"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MIRDC</w:t>
            </w:r>
          </w:p>
        </w:tc>
        <w:tc>
          <w:tcPr>
            <w:tcW w:w="8243" w:type="dxa"/>
            <w:tcBorders>
              <w:top w:val="nil"/>
              <w:left w:val="nil"/>
              <w:bottom w:val="nil"/>
              <w:right w:val="nil"/>
            </w:tcBorders>
            <w:shd w:val="clear" w:color="auto" w:fill="auto"/>
            <w:noWrap/>
            <w:vAlign w:val="bottom"/>
            <w:hideMark/>
          </w:tcPr>
          <w:p w14:paraId="1CABFBBA"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Metals Industry Research and Development Center </w:t>
            </w:r>
          </w:p>
        </w:tc>
      </w:tr>
      <w:tr w:rsidR="006A447A" w:rsidRPr="006A447A" w14:paraId="45F2E449" w14:textId="77777777" w:rsidTr="0075041F">
        <w:trPr>
          <w:trHeight w:val="301"/>
        </w:trPr>
        <w:tc>
          <w:tcPr>
            <w:tcW w:w="1289" w:type="dxa"/>
            <w:tcBorders>
              <w:top w:val="nil"/>
              <w:left w:val="nil"/>
              <w:bottom w:val="nil"/>
              <w:right w:val="nil"/>
            </w:tcBorders>
            <w:shd w:val="clear" w:color="auto" w:fill="auto"/>
            <w:noWrap/>
            <w:vAlign w:val="center"/>
            <w:hideMark/>
          </w:tcPr>
          <w:p w14:paraId="426A7033"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MRP</w:t>
            </w:r>
          </w:p>
        </w:tc>
        <w:tc>
          <w:tcPr>
            <w:tcW w:w="8243" w:type="dxa"/>
            <w:tcBorders>
              <w:top w:val="nil"/>
              <w:left w:val="nil"/>
              <w:bottom w:val="nil"/>
              <w:right w:val="nil"/>
            </w:tcBorders>
            <w:shd w:val="clear" w:color="auto" w:fill="auto"/>
            <w:noWrap/>
            <w:vAlign w:val="bottom"/>
            <w:hideMark/>
          </w:tcPr>
          <w:p w14:paraId="085F2AA0"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Manufacturing Resurgence Program </w:t>
            </w:r>
          </w:p>
        </w:tc>
      </w:tr>
      <w:tr w:rsidR="006A447A" w:rsidRPr="006A447A" w14:paraId="4106EAFE" w14:textId="77777777" w:rsidTr="0075041F">
        <w:trPr>
          <w:trHeight w:val="301"/>
        </w:trPr>
        <w:tc>
          <w:tcPr>
            <w:tcW w:w="1289" w:type="dxa"/>
            <w:tcBorders>
              <w:top w:val="nil"/>
              <w:left w:val="nil"/>
              <w:bottom w:val="nil"/>
              <w:right w:val="nil"/>
            </w:tcBorders>
            <w:shd w:val="clear" w:color="auto" w:fill="auto"/>
            <w:noWrap/>
            <w:vAlign w:val="center"/>
            <w:hideMark/>
          </w:tcPr>
          <w:p w14:paraId="122CAC26"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MSMED</w:t>
            </w:r>
          </w:p>
        </w:tc>
        <w:tc>
          <w:tcPr>
            <w:tcW w:w="8243" w:type="dxa"/>
            <w:tcBorders>
              <w:top w:val="nil"/>
              <w:left w:val="nil"/>
              <w:bottom w:val="nil"/>
              <w:right w:val="nil"/>
            </w:tcBorders>
            <w:shd w:val="clear" w:color="auto" w:fill="auto"/>
            <w:noWrap/>
            <w:vAlign w:val="bottom"/>
            <w:hideMark/>
          </w:tcPr>
          <w:p w14:paraId="56D4E94C"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MSME Development Plan</w:t>
            </w:r>
          </w:p>
        </w:tc>
      </w:tr>
      <w:tr w:rsidR="006A447A" w:rsidRPr="006A447A" w14:paraId="7CFE36F5" w14:textId="77777777" w:rsidTr="0075041F">
        <w:trPr>
          <w:trHeight w:val="301"/>
        </w:trPr>
        <w:tc>
          <w:tcPr>
            <w:tcW w:w="1289" w:type="dxa"/>
            <w:tcBorders>
              <w:top w:val="nil"/>
              <w:left w:val="nil"/>
              <w:bottom w:val="nil"/>
              <w:right w:val="nil"/>
            </w:tcBorders>
            <w:shd w:val="clear" w:color="auto" w:fill="auto"/>
            <w:noWrap/>
            <w:vAlign w:val="center"/>
            <w:hideMark/>
          </w:tcPr>
          <w:p w14:paraId="4171D8B5"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MSMEs</w:t>
            </w:r>
          </w:p>
        </w:tc>
        <w:tc>
          <w:tcPr>
            <w:tcW w:w="8243" w:type="dxa"/>
            <w:tcBorders>
              <w:top w:val="nil"/>
              <w:left w:val="nil"/>
              <w:bottom w:val="nil"/>
              <w:right w:val="nil"/>
            </w:tcBorders>
            <w:shd w:val="clear" w:color="auto" w:fill="auto"/>
            <w:noWrap/>
            <w:vAlign w:val="bottom"/>
            <w:hideMark/>
          </w:tcPr>
          <w:p w14:paraId="479367B4"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eastAsia="ko-KR"/>
              </w:rPr>
              <w:t>micro, small, and medium enterprises</w:t>
            </w:r>
          </w:p>
        </w:tc>
      </w:tr>
      <w:tr w:rsidR="006A447A" w:rsidRPr="006A447A" w14:paraId="367C06F5" w14:textId="77777777" w:rsidTr="0075041F">
        <w:trPr>
          <w:trHeight w:val="301"/>
        </w:trPr>
        <w:tc>
          <w:tcPr>
            <w:tcW w:w="1289" w:type="dxa"/>
            <w:tcBorders>
              <w:top w:val="nil"/>
              <w:left w:val="nil"/>
              <w:bottom w:val="nil"/>
              <w:right w:val="nil"/>
            </w:tcBorders>
            <w:shd w:val="clear" w:color="auto" w:fill="auto"/>
            <w:noWrap/>
            <w:vAlign w:val="center"/>
            <w:hideMark/>
          </w:tcPr>
          <w:p w14:paraId="3F8F5BA7"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NAST</w:t>
            </w:r>
          </w:p>
        </w:tc>
        <w:tc>
          <w:tcPr>
            <w:tcW w:w="8243" w:type="dxa"/>
            <w:tcBorders>
              <w:top w:val="nil"/>
              <w:left w:val="nil"/>
              <w:bottom w:val="nil"/>
              <w:right w:val="nil"/>
            </w:tcBorders>
            <w:shd w:val="clear" w:color="auto" w:fill="auto"/>
            <w:noWrap/>
            <w:vAlign w:val="bottom"/>
            <w:hideMark/>
          </w:tcPr>
          <w:p w14:paraId="79BBD8E0"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National Academy of Science and Technology </w:t>
            </w:r>
          </w:p>
        </w:tc>
      </w:tr>
      <w:tr w:rsidR="006A447A" w:rsidRPr="006A447A" w14:paraId="2FA21465" w14:textId="77777777" w:rsidTr="0075041F">
        <w:trPr>
          <w:trHeight w:val="301"/>
        </w:trPr>
        <w:tc>
          <w:tcPr>
            <w:tcW w:w="1289" w:type="dxa"/>
            <w:tcBorders>
              <w:top w:val="nil"/>
              <w:left w:val="nil"/>
              <w:bottom w:val="nil"/>
              <w:right w:val="nil"/>
            </w:tcBorders>
            <w:shd w:val="clear" w:color="auto" w:fill="auto"/>
            <w:noWrap/>
            <w:vAlign w:val="center"/>
            <w:hideMark/>
          </w:tcPr>
          <w:p w14:paraId="4F23A8F7"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NGC</w:t>
            </w:r>
          </w:p>
        </w:tc>
        <w:tc>
          <w:tcPr>
            <w:tcW w:w="8243" w:type="dxa"/>
            <w:tcBorders>
              <w:top w:val="nil"/>
              <w:left w:val="nil"/>
              <w:bottom w:val="nil"/>
              <w:right w:val="nil"/>
            </w:tcBorders>
            <w:shd w:val="clear" w:color="auto" w:fill="auto"/>
            <w:noWrap/>
            <w:vAlign w:val="bottom"/>
            <w:hideMark/>
          </w:tcPr>
          <w:p w14:paraId="2615DBE8"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proofErr w:type="spellStart"/>
            <w:r w:rsidRPr="006A447A">
              <w:rPr>
                <w:rFonts w:ascii="Times Roman" w:eastAsia="Times New Roman" w:hAnsi="Times Roman" w:cs="Calibri"/>
                <w:color w:val="000000"/>
                <w:sz w:val="20"/>
                <w:szCs w:val="20"/>
                <w:lang w:val="en-PH" w:eastAsia="ko-KR"/>
              </w:rPr>
              <w:t>Negosyo</w:t>
            </w:r>
            <w:proofErr w:type="spellEnd"/>
            <w:r w:rsidRPr="006A447A">
              <w:rPr>
                <w:rFonts w:ascii="Times Roman" w:eastAsia="Times New Roman" w:hAnsi="Times Roman" w:cs="Calibri"/>
                <w:color w:val="000000"/>
                <w:sz w:val="20"/>
                <w:szCs w:val="20"/>
                <w:lang w:val="en-PH" w:eastAsia="ko-KR"/>
              </w:rPr>
              <w:t xml:space="preserve"> Center </w:t>
            </w:r>
          </w:p>
        </w:tc>
      </w:tr>
      <w:tr w:rsidR="006A447A" w:rsidRPr="006A447A" w14:paraId="5BC5F25E" w14:textId="77777777" w:rsidTr="0075041F">
        <w:trPr>
          <w:trHeight w:val="301"/>
        </w:trPr>
        <w:tc>
          <w:tcPr>
            <w:tcW w:w="1289" w:type="dxa"/>
            <w:tcBorders>
              <w:top w:val="nil"/>
              <w:left w:val="nil"/>
              <w:bottom w:val="nil"/>
              <w:right w:val="nil"/>
            </w:tcBorders>
            <w:shd w:val="clear" w:color="auto" w:fill="auto"/>
            <w:noWrap/>
            <w:vAlign w:val="center"/>
            <w:hideMark/>
          </w:tcPr>
          <w:p w14:paraId="77F53A9C"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NRCP</w:t>
            </w:r>
          </w:p>
        </w:tc>
        <w:tc>
          <w:tcPr>
            <w:tcW w:w="8243" w:type="dxa"/>
            <w:tcBorders>
              <w:top w:val="nil"/>
              <w:left w:val="nil"/>
              <w:bottom w:val="nil"/>
              <w:right w:val="nil"/>
            </w:tcBorders>
            <w:shd w:val="clear" w:color="auto" w:fill="auto"/>
            <w:noWrap/>
            <w:vAlign w:val="bottom"/>
            <w:hideMark/>
          </w:tcPr>
          <w:p w14:paraId="15D65D4C"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National Research Council of the Philippines </w:t>
            </w:r>
          </w:p>
        </w:tc>
      </w:tr>
      <w:tr w:rsidR="006A447A" w:rsidRPr="006A447A" w14:paraId="16FA3D82" w14:textId="77777777" w:rsidTr="0075041F">
        <w:trPr>
          <w:trHeight w:val="301"/>
        </w:trPr>
        <w:tc>
          <w:tcPr>
            <w:tcW w:w="1289" w:type="dxa"/>
            <w:tcBorders>
              <w:top w:val="nil"/>
              <w:left w:val="nil"/>
              <w:bottom w:val="nil"/>
              <w:right w:val="nil"/>
            </w:tcBorders>
            <w:shd w:val="clear" w:color="auto" w:fill="auto"/>
            <w:noWrap/>
            <w:vAlign w:val="center"/>
            <w:hideMark/>
          </w:tcPr>
          <w:p w14:paraId="53EFDE1C"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OTOP</w:t>
            </w:r>
          </w:p>
        </w:tc>
        <w:tc>
          <w:tcPr>
            <w:tcW w:w="8243" w:type="dxa"/>
            <w:tcBorders>
              <w:top w:val="nil"/>
              <w:left w:val="nil"/>
              <w:bottom w:val="nil"/>
              <w:right w:val="nil"/>
            </w:tcBorders>
            <w:shd w:val="clear" w:color="auto" w:fill="auto"/>
            <w:noWrap/>
            <w:vAlign w:val="bottom"/>
            <w:hideMark/>
          </w:tcPr>
          <w:p w14:paraId="3428A978"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One Town One Product Next Gen</w:t>
            </w:r>
          </w:p>
        </w:tc>
      </w:tr>
      <w:tr w:rsidR="006A447A" w:rsidRPr="006A447A" w14:paraId="2B6CF015" w14:textId="77777777" w:rsidTr="0075041F">
        <w:trPr>
          <w:trHeight w:val="301"/>
        </w:trPr>
        <w:tc>
          <w:tcPr>
            <w:tcW w:w="1289" w:type="dxa"/>
            <w:tcBorders>
              <w:top w:val="nil"/>
              <w:left w:val="nil"/>
              <w:bottom w:val="nil"/>
              <w:right w:val="nil"/>
            </w:tcBorders>
            <w:shd w:val="clear" w:color="auto" w:fill="auto"/>
            <w:noWrap/>
            <w:vAlign w:val="center"/>
            <w:hideMark/>
          </w:tcPr>
          <w:p w14:paraId="191660B2"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P3</w:t>
            </w:r>
          </w:p>
        </w:tc>
        <w:tc>
          <w:tcPr>
            <w:tcW w:w="8243" w:type="dxa"/>
            <w:tcBorders>
              <w:top w:val="nil"/>
              <w:left w:val="nil"/>
              <w:bottom w:val="nil"/>
              <w:right w:val="nil"/>
            </w:tcBorders>
            <w:shd w:val="clear" w:color="auto" w:fill="auto"/>
            <w:noWrap/>
            <w:vAlign w:val="bottom"/>
            <w:hideMark/>
          </w:tcPr>
          <w:p w14:paraId="0A88568C"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proofErr w:type="spellStart"/>
            <w:r w:rsidRPr="006A447A">
              <w:rPr>
                <w:rFonts w:ascii="Times Roman" w:eastAsia="Times New Roman" w:hAnsi="Times Roman" w:cs="Calibri"/>
                <w:color w:val="000000"/>
                <w:sz w:val="20"/>
                <w:szCs w:val="20"/>
                <w:lang w:val="en-PH" w:eastAsia="ko-KR"/>
              </w:rPr>
              <w:t>Pondo</w:t>
            </w:r>
            <w:proofErr w:type="spellEnd"/>
            <w:r w:rsidRPr="006A447A">
              <w:rPr>
                <w:rFonts w:ascii="Times Roman" w:eastAsia="Times New Roman" w:hAnsi="Times Roman" w:cs="Calibri"/>
                <w:color w:val="000000"/>
                <w:sz w:val="20"/>
                <w:szCs w:val="20"/>
                <w:lang w:val="en-PH" w:eastAsia="ko-KR"/>
              </w:rPr>
              <w:t xml:space="preserve"> </w:t>
            </w:r>
            <w:proofErr w:type="spellStart"/>
            <w:r w:rsidRPr="006A447A">
              <w:rPr>
                <w:rFonts w:ascii="Times Roman" w:eastAsia="Times New Roman" w:hAnsi="Times Roman" w:cs="Calibri"/>
                <w:color w:val="000000"/>
                <w:sz w:val="20"/>
                <w:szCs w:val="20"/>
                <w:lang w:val="en-PH" w:eastAsia="ko-KR"/>
              </w:rPr>
              <w:t>sa</w:t>
            </w:r>
            <w:proofErr w:type="spellEnd"/>
            <w:r w:rsidRPr="006A447A">
              <w:rPr>
                <w:rFonts w:ascii="Times Roman" w:eastAsia="Times New Roman" w:hAnsi="Times Roman" w:cs="Calibri"/>
                <w:color w:val="000000"/>
                <w:sz w:val="20"/>
                <w:szCs w:val="20"/>
                <w:lang w:val="en-PH" w:eastAsia="ko-KR"/>
              </w:rPr>
              <w:t xml:space="preserve"> </w:t>
            </w:r>
            <w:proofErr w:type="spellStart"/>
            <w:r w:rsidRPr="006A447A">
              <w:rPr>
                <w:rFonts w:ascii="Times Roman" w:eastAsia="Times New Roman" w:hAnsi="Times Roman" w:cs="Calibri"/>
                <w:color w:val="000000"/>
                <w:sz w:val="20"/>
                <w:szCs w:val="20"/>
                <w:lang w:val="en-PH" w:eastAsia="ko-KR"/>
              </w:rPr>
              <w:t>Pagbabago</w:t>
            </w:r>
            <w:proofErr w:type="spellEnd"/>
            <w:r w:rsidRPr="006A447A">
              <w:rPr>
                <w:rFonts w:ascii="Times Roman" w:eastAsia="Times New Roman" w:hAnsi="Times Roman" w:cs="Calibri"/>
                <w:color w:val="000000"/>
                <w:sz w:val="20"/>
                <w:szCs w:val="20"/>
                <w:lang w:val="en-PH" w:eastAsia="ko-KR"/>
              </w:rPr>
              <w:t xml:space="preserve"> at Pag-</w:t>
            </w:r>
            <w:proofErr w:type="spellStart"/>
            <w:r w:rsidRPr="006A447A">
              <w:rPr>
                <w:rFonts w:ascii="Times Roman" w:eastAsia="Times New Roman" w:hAnsi="Times Roman" w:cs="Calibri"/>
                <w:color w:val="000000"/>
                <w:sz w:val="20"/>
                <w:szCs w:val="20"/>
                <w:lang w:val="en-PH" w:eastAsia="ko-KR"/>
              </w:rPr>
              <w:t>asenso</w:t>
            </w:r>
            <w:proofErr w:type="spellEnd"/>
            <w:r w:rsidRPr="006A447A">
              <w:rPr>
                <w:rFonts w:ascii="Times Roman" w:eastAsia="Times New Roman" w:hAnsi="Times Roman" w:cs="Calibri"/>
                <w:color w:val="000000"/>
                <w:sz w:val="20"/>
                <w:szCs w:val="20"/>
                <w:lang w:val="en-PH" w:eastAsia="ko-KR"/>
              </w:rPr>
              <w:t xml:space="preserve"> </w:t>
            </w:r>
          </w:p>
        </w:tc>
      </w:tr>
      <w:tr w:rsidR="006A447A" w:rsidRPr="006A447A" w14:paraId="3FBAB36B" w14:textId="77777777" w:rsidTr="0075041F">
        <w:trPr>
          <w:trHeight w:val="301"/>
        </w:trPr>
        <w:tc>
          <w:tcPr>
            <w:tcW w:w="1289" w:type="dxa"/>
            <w:tcBorders>
              <w:top w:val="nil"/>
              <w:left w:val="nil"/>
              <w:bottom w:val="nil"/>
              <w:right w:val="nil"/>
            </w:tcBorders>
            <w:shd w:val="clear" w:color="auto" w:fill="auto"/>
            <w:noWrap/>
            <w:vAlign w:val="center"/>
            <w:hideMark/>
          </w:tcPr>
          <w:p w14:paraId="0D432A73"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PCIEERD</w:t>
            </w:r>
          </w:p>
        </w:tc>
        <w:tc>
          <w:tcPr>
            <w:tcW w:w="8243" w:type="dxa"/>
            <w:tcBorders>
              <w:top w:val="nil"/>
              <w:left w:val="nil"/>
              <w:bottom w:val="nil"/>
              <w:right w:val="nil"/>
            </w:tcBorders>
            <w:shd w:val="clear" w:color="auto" w:fill="auto"/>
            <w:noWrap/>
            <w:vAlign w:val="bottom"/>
            <w:hideMark/>
          </w:tcPr>
          <w:p w14:paraId="64C048EE"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Philippine Council for Industry, Energy, and Emerging Technology Research and Development </w:t>
            </w:r>
          </w:p>
        </w:tc>
      </w:tr>
      <w:tr w:rsidR="006A447A" w:rsidRPr="006A447A" w14:paraId="4437845E" w14:textId="77777777" w:rsidTr="0075041F">
        <w:trPr>
          <w:trHeight w:val="301"/>
        </w:trPr>
        <w:tc>
          <w:tcPr>
            <w:tcW w:w="1289" w:type="dxa"/>
            <w:tcBorders>
              <w:top w:val="nil"/>
              <w:left w:val="nil"/>
              <w:bottom w:val="nil"/>
              <w:right w:val="nil"/>
            </w:tcBorders>
            <w:shd w:val="clear" w:color="auto" w:fill="auto"/>
            <w:noWrap/>
            <w:vAlign w:val="center"/>
            <w:hideMark/>
          </w:tcPr>
          <w:p w14:paraId="7881EB5B"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PDP</w:t>
            </w:r>
          </w:p>
        </w:tc>
        <w:tc>
          <w:tcPr>
            <w:tcW w:w="8243" w:type="dxa"/>
            <w:tcBorders>
              <w:top w:val="nil"/>
              <w:left w:val="nil"/>
              <w:bottom w:val="nil"/>
              <w:right w:val="nil"/>
            </w:tcBorders>
            <w:shd w:val="clear" w:color="auto" w:fill="auto"/>
            <w:noWrap/>
            <w:vAlign w:val="bottom"/>
            <w:hideMark/>
          </w:tcPr>
          <w:p w14:paraId="2B2EF9F2"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Philippine Development Plan</w:t>
            </w:r>
          </w:p>
        </w:tc>
      </w:tr>
      <w:tr w:rsidR="006A447A" w:rsidRPr="006A447A" w14:paraId="1DC0BA71" w14:textId="77777777" w:rsidTr="0075041F">
        <w:trPr>
          <w:trHeight w:val="301"/>
        </w:trPr>
        <w:tc>
          <w:tcPr>
            <w:tcW w:w="1289" w:type="dxa"/>
            <w:tcBorders>
              <w:top w:val="nil"/>
              <w:left w:val="nil"/>
              <w:bottom w:val="nil"/>
              <w:right w:val="nil"/>
            </w:tcBorders>
            <w:shd w:val="clear" w:color="auto" w:fill="auto"/>
            <w:noWrap/>
            <w:vAlign w:val="center"/>
            <w:hideMark/>
          </w:tcPr>
          <w:p w14:paraId="20DDE09E"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PER</w:t>
            </w:r>
          </w:p>
        </w:tc>
        <w:tc>
          <w:tcPr>
            <w:tcW w:w="8243" w:type="dxa"/>
            <w:tcBorders>
              <w:top w:val="nil"/>
              <w:left w:val="nil"/>
              <w:bottom w:val="nil"/>
              <w:right w:val="nil"/>
            </w:tcBorders>
            <w:shd w:val="clear" w:color="auto" w:fill="auto"/>
            <w:noWrap/>
            <w:vAlign w:val="bottom"/>
            <w:hideMark/>
          </w:tcPr>
          <w:p w14:paraId="7AFED866"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eastAsia="ko-KR"/>
              </w:rPr>
              <w:t>Policy Effectiveness Review</w:t>
            </w:r>
          </w:p>
        </w:tc>
      </w:tr>
      <w:tr w:rsidR="006A447A" w:rsidRPr="006A447A" w14:paraId="37320F70" w14:textId="77777777" w:rsidTr="0075041F">
        <w:trPr>
          <w:trHeight w:val="301"/>
        </w:trPr>
        <w:tc>
          <w:tcPr>
            <w:tcW w:w="1289" w:type="dxa"/>
            <w:tcBorders>
              <w:top w:val="nil"/>
              <w:left w:val="nil"/>
              <w:bottom w:val="nil"/>
              <w:right w:val="nil"/>
            </w:tcBorders>
            <w:shd w:val="clear" w:color="auto" w:fill="auto"/>
            <w:noWrap/>
            <w:vAlign w:val="center"/>
            <w:hideMark/>
          </w:tcPr>
          <w:p w14:paraId="05BD3E6C"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PLDT</w:t>
            </w:r>
          </w:p>
        </w:tc>
        <w:tc>
          <w:tcPr>
            <w:tcW w:w="8243" w:type="dxa"/>
            <w:tcBorders>
              <w:top w:val="nil"/>
              <w:left w:val="nil"/>
              <w:bottom w:val="nil"/>
              <w:right w:val="nil"/>
            </w:tcBorders>
            <w:shd w:val="clear" w:color="auto" w:fill="auto"/>
            <w:noWrap/>
            <w:vAlign w:val="bottom"/>
            <w:hideMark/>
          </w:tcPr>
          <w:p w14:paraId="48105FA5"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eastAsia="ko-KR"/>
              </w:rPr>
              <w:t>Philippine Long-Distance Telephone</w:t>
            </w:r>
          </w:p>
        </w:tc>
      </w:tr>
      <w:tr w:rsidR="006A447A" w:rsidRPr="006A447A" w14:paraId="6F9539A2" w14:textId="77777777" w:rsidTr="0075041F">
        <w:trPr>
          <w:trHeight w:val="301"/>
        </w:trPr>
        <w:tc>
          <w:tcPr>
            <w:tcW w:w="1289" w:type="dxa"/>
            <w:tcBorders>
              <w:top w:val="nil"/>
              <w:left w:val="nil"/>
              <w:bottom w:val="nil"/>
              <w:right w:val="nil"/>
            </w:tcBorders>
            <w:shd w:val="clear" w:color="auto" w:fill="auto"/>
            <w:noWrap/>
            <w:vAlign w:val="center"/>
            <w:hideMark/>
          </w:tcPr>
          <w:p w14:paraId="16871501"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PMR</w:t>
            </w:r>
          </w:p>
        </w:tc>
        <w:tc>
          <w:tcPr>
            <w:tcW w:w="8243" w:type="dxa"/>
            <w:tcBorders>
              <w:top w:val="nil"/>
              <w:left w:val="nil"/>
              <w:bottom w:val="nil"/>
              <w:right w:val="nil"/>
            </w:tcBorders>
            <w:shd w:val="clear" w:color="auto" w:fill="auto"/>
            <w:noWrap/>
            <w:vAlign w:val="bottom"/>
            <w:hideMark/>
          </w:tcPr>
          <w:p w14:paraId="573D8E9E"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eastAsia="ko-KR"/>
              </w:rPr>
              <w:t xml:space="preserve">Product market regulation </w:t>
            </w:r>
          </w:p>
        </w:tc>
      </w:tr>
      <w:tr w:rsidR="006A447A" w:rsidRPr="006A447A" w14:paraId="5A331282" w14:textId="77777777" w:rsidTr="0075041F">
        <w:trPr>
          <w:trHeight w:val="301"/>
        </w:trPr>
        <w:tc>
          <w:tcPr>
            <w:tcW w:w="1289" w:type="dxa"/>
            <w:tcBorders>
              <w:top w:val="nil"/>
              <w:left w:val="nil"/>
              <w:bottom w:val="nil"/>
              <w:right w:val="nil"/>
            </w:tcBorders>
            <w:shd w:val="clear" w:color="auto" w:fill="auto"/>
            <w:noWrap/>
            <w:vAlign w:val="center"/>
            <w:hideMark/>
          </w:tcPr>
          <w:p w14:paraId="4AD0EDD1"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eastAsia="ko-KR"/>
              </w:rPr>
              <w:t>PROs</w:t>
            </w:r>
          </w:p>
        </w:tc>
        <w:tc>
          <w:tcPr>
            <w:tcW w:w="8243" w:type="dxa"/>
            <w:tcBorders>
              <w:top w:val="nil"/>
              <w:left w:val="nil"/>
              <w:bottom w:val="nil"/>
              <w:right w:val="nil"/>
            </w:tcBorders>
            <w:shd w:val="clear" w:color="auto" w:fill="auto"/>
            <w:noWrap/>
            <w:vAlign w:val="bottom"/>
            <w:hideMark/>
          </w:tcPr>
          <w:p w14:paraId="4C404F67"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proofErr w:type="spellStart"/>
            <w:r w:rsidRPr="006A447A">
              <w:rPr>
                <w:rFonts w:ascii="Times Roman" w:eastAsia="Times New Roman" w:hAnsi="Times Roman" w:cs="Calibri"/>
                <w:color w:val="000000"/>
                <w:sz w:val="20"/>
                <w:szCs w:val="20"/>
                <w:lang w:val="en-PH" w:eastAsia="ko-KR"/>
              </w:rPr>
              <w:t>Publ</w:t>
            </w:r>
            <w:proofErr w:type="spellEnd"/>
            <w:r w:rsidRPr="006A447A">
              <w:rPr>
                <w:rFonts w:ascii="Times Roman" w:eastAsia="Times New Roman" w:hAnsi="Times Roman" w:cs="Calibri"/>
                <w:color w:val="000000"/>
                <w:sz w:val="20"/>
                <w:szCs w:val="20"/>
                <w:lang w:val="en-PH" w:eastAsia="ko-KR"/>
              </w:rPr>
              <w:t xml:space="preserve"> research organizations</w:t>
            </w:r>
          </w:p>
        </w:tc>
      </w:tr>
      <w:tr w:rsidR="006A447A" w:rsidRPr="006A447A" w14:paraId="442EC543" w14:textId="77777777" w:rsidTr="0075041F">
        <w:trPr>
          <w:trHeight w:val="301"/>
        </w:trPr>
        <w:tc>
          <w:tcPr>
            <w:tcW w:w="1289" w:type="dxa"/>
            <w:tcBorders>
              <w:top w:val="nil"/>
              <w:left w:val="nil"/>
              <w:bottom w:val="nil"/>
              <w:right w:val="nil"/>
            </w:tcBorders>
            <w:shd w:val="clear" w:color="auto" w:fill="auto"/>
            <w:noWrap/>
            <w:vAlign w:val="center"/>
            <w:hideMark/>
          </w:tcPr>
          <w:p w14:paraId="7459FB3C"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PSA</w:t>
            </w:r>
          </w:p>
        </w:tc>
        <w:tc>
          <w:tcPr>
            <w:tcW w:w="8243" w:type="dxa"/>
            <w:tcBorders>
              <w:top w:val="nil"/>
              <w:left w:val="nil"/>
              <w:bottom w:val="nil"/>
              <w:right w:val="nil"/>
            </w:tcBorders>
            <w:shd w:val="clear" w:color="auto" w:fill="auto"/>
            <w:noWrap/>
            <w:vAlign w:val="bottom"/>
            <w:hideMark/>
          </w:tcPr>
          <w:p w14:paraId="3B083039"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eastAsia="ko-KR"/>
              </w:rPr>
              <w:t>Philippines Statistics Authority</w:t>
            </w:r>
          </w:p>
        </w:tc>
      </w:tr>
      <w:tr w:rsidR="006A447A" w:rsidRPr="006A447A" w14:paraId="5FB8D8F8" w14:textId="77777777" w:rsidTr="0075041F">
        <w:trPr>
          <w:trHeight w:val="301"/>
        </w:trPr>
        <w:tc>
          <w:tcPr>
            <w:tcW w:w="1289" w:type="dxa"/>
            <w:tcBorders>
              <w:top w:val="nil"/>
              <w:left w:val="nil"/>
              <w:bottom w:val="nil"/>
              <w:right w:val="nil"/>
            </w:tcBorders>
            <w:shd w:val="clear" w:color="auto" w:fill="auto"/>
            <w:noWrap/>
            <w:vAlign w:val="center"/>
            <w:hideMark/>
          </w:tcPr>
          <w:p w14:paraId="51526AEA"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PSHS</w:t>
            </w:r>
          </w:p>
        </w:tc>
        <w:tc>
          <w:tcPr>
            <w:tcW w:w="8243" w:type="dxa"/>
            <w:tcBorders>
              <w:top w:val="nil"/>
              <w:left w:val="nil"/>
              <w:bottom w:val="nil"/>
              <w:right w:val="nil"/>
            </w:tcBorders>
            <w:shd w:val="clear" w:color="auto" w:fill="auto"/>
            <w:noWrap/>
            <w:vAlign w:val="bottom"/>
            <w:hideMark/>
          </w:tcPr>
          <w:p w14:paraId="61DC6919"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Philippine Science High School </w:t>
            </w:r>
          </w:p>
        </w:tc>
      </w:tr>
      <w:tr w:rsidR="006A447A" w:rsidRPr="006A447A" w14:paraId="494A6A68" w14:textId="77777777" w:rsidTr="0075041F">
        <w:trPr>
          <w:trHeight w:val="301"/>
        </w:trPr>
        <w:tc>
          <w:tcPr>
            <w:tcW w:w="1289" w:type="dxa"/>
            <w:tcBorders>
              <w:top w:val="nil"/>
              <w:left w:val="nil"/>
              <w:bottom w:val="nil"/>
              <w:right w:val="nil"/>
            </w:tcBorders>
            <w:shd w:val="clear" w:color="auto" w:fill="auto"/>
            <w:noWrap/>
            <w:vAlign w:val="center"/>
            <w:hideMark/>
          </w:tcPr>
          <w:p w14:paraId="516889B8"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PTRI</w:t>
            </w:r>
          </w:p>
        </w:tc>
        <w:tc>
          <w:tcPr>
            <w:tcW w:w="8243" w:type="dxa"/>
            <w:tcBorders>
              <w:top w:val="nil"/>
              <w:left w:val="nil"/>
              <w:bottom w:val="nil"/>
              <w:right w:val="nil"/>
            </w:tcBorders>
            <w:shd w:val="clear" w:color="auto" w:fill="auto"/>
            <w:noWrap/>
            <w:vAlign w:val="bottom"/>
            <w:hideMark/>
          </w:tcPr>
          <w:p w14:paraId="327839B4"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Philippine Textile Research Institute </w:t>
            </w:r>
          </w:p>
        </w:tc>
      </w:tr>
      <w:tr w:rsidR="006A447A" w:rsidRPr="006A447A" w14:paraId="6B0C4C0D" w14:textId="77777777" w:rsidTr="0075041F">
        <w:trPr>
          <w:trHeight w:val="301"/>
        </w:trPr>
        <w:tc>
          <w:tcPr>
            <w:tcW w:w="1289" w:type="dxa"/>
            <w:tcBorders>
              <w:top w:val="nil"/>
              <w:left w:val="nil"/>
              <w:bottom w:val="nil"/>
              <w:right w:val="nil"/>
            </w:tcBorders>
            <w:shd w:val="clear" w:color="auto" w:fill="auto"/>
            <w:noWrap/>
            <w:vAlign w:val="center"/>
            <w:hideMark/>
          </w:tcPr>
          <w:p w14:paraId="46E10494"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PTTC</w:t>
            </w:r>
          </w:p>
        </w:tc>
        <w:tc>
          <w:tcPr>
            <w:tcW w:w="8243" w:type="dxa"/>
            <w:tcBorders>
              <w:top w:val="nil"/>
              <w:left w:val="nil"/>
              <w:bottom w:val="nil"/>
              <w:right w:val="nil"/>
            </w:tcBorders>
            <w:shd w:val="clear" w:color="auto" w:fill="auto"/>
            <w:noWrap/>
            <w:vAlign w:val="bottom"/>
            <w:hideMark/>
          </w:tcPr>
          <w:p w14:paraId="417971B7"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Philippine Trade Training Center </w:t>
            </w:r>
          </w:p>
        </w:tc>
      </w:tr>
      <w:tr w:rsidR="006A447A" w:rsidRPr="006A447A" w14:paraId="53316867" w14:textId="77777777" w:rsidTr="0075041F">
        <w:trPr>
          <w:trHeight w:val="301"/>
        </w:trPr>
        <w:tc>
          <w:tcPr>
            <w:tcW w:w="1289" w:type="dxa"/>
            <w:tcBorders>
              <w:top w:val="nil"/>
              <w:left w:val="nil"/>
              <w:bottom w:val="nil"/>
              <w:right w:val="nil"/>
            </w:tcBorders>
            <w:shd w:val="clear" w:color="auto" w:fill="auto"/>
            <w:noWrap/>
            <w:vAlign w:val="center"/>
            <w:hideMark/>
          </w:tcPr>
          <w:p w14:paraId="51CE6F01"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RIPPLES</w:t>
            </w:r>
          </w:p>
        </w:tc>
        <w:tc>
          <w:tcPr>
            <w:tcW w:w="8243" w:type="dxa"/>
            <w:tcBorders>
              <w:top w:val="nil"/>
              <w:left w:val="nil"/>
              <w:bottom w:val="nil"/>
              <w:right w:val="nil"/>
            </w:tcBorders>
            <w:shd w:val="clear" w:color="auto" w:fill="auto"/>
            <w:noWrap/>
            <w:vAlign w:val="bottom"/>
            <w:hideMark/>
          </w:tcPr>
          <w:p w14:paraId="778562EF"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Regional Interactive Platform for Philippine Exporters </w:t>
            </w:r>
          </w:p>
        </w:tc>
      </w:tr>
      <w:tr w:rsidR="006A447A" w:rsidRPr="006A447A" w14:paraId="2917D3A4" w14:textId="77777777" w:rsidTr="0075041F">
        <w:trPr>
          <w:trHeight w:val="301"/>
        </w:trPr>
        <w:tc>
          <w:tcPr>
            <w:tcW w:w="1289" w:type="dxa"/>
            <w:tcBorders>
              <w:top w:val="nil"/>
              <w:left w:val="nil"/>
              <w:bottom w:val="nil"/>
              <w:right w:val="nil"/>
            </w:tcBorders>
            <w:shd w:val="clear" w:color="auto" w:fill="auto"/>
            <w:noWrap/>
            <w:vAlign w:val="center"/>
            <w:hideMark/>
          </w:tcPr>
          <w:p w14:paraId="297F21BE"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ROG</w:t>
            </w:r>
          </w:p>
        </w:tc>
        <w:tc>
          <w:tcPr>
            <w:tcW w:w="8243" w:type="dxa"/>
            <w:tcBorders>
              <w:top w:val="nil"/>
              <w:left w:val="nil"/>
              <w:bottom w:val="nil"/>
              <w:right w:val="nil"/>
            </w:tcBorders>
            <w:shd w:val="clear" w:color="auto" w:fill="auto"/>
            <w:noWrap/>
            <w:vAlign w:val="bottom"/>
            <w:hideMark/>
          </w:tcPr>
          <w:p w14:paraId="0D3E4633"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Regional Operations Group</w:t>
            </w:r>
          </w:p>
        </w:tc>
      </w:tr>
      <w:tr w:rsidR="006A447A" w:rsidRPr="006A447A" w14:paraId="4D68E686" w14:textId="77777777" w:rsidTr="0075041F">
        <w:trPr>
          <w:trHeight w:val="301"/>
        </w:trPr>
        <w:tc>
          <w:tcPr>
            <w:tcW w:w="1289" w:type="dxa"/>
            <w:tcBorders>
              <w:top w:val="nil"/>
              <w:left w:val="nil"/>
              <w:bottom w:val="nil"/>
              <w:right w:val="nil"/>
            </w:tcBorders>
            <w:shd w:val="clear" w:color="auto" w:fill="auto"/>
            <w:noWrap/>
            <w:vAlign w:val="center"/>
            <w:hideMark/>
          </w:tcPr>
          <w:p w14:paraId="121F0E80"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SB Corp.</w:t>
            </w:r>
          </w:p>
        </w:tc>
        <w:tc>
          <w:tcPr>
            <w:tcW w:w="8243" w:type="dxa"/>
            <w:tcBorders>
              <w:top w:val="nil"/>
              <w:left w:val="nil"/>
              <w:bottom w:val="nil"/>
              <w:right w:val="nil"/>
            </w:tcBorders>
            <w:shd w:val="clear" w:color="auto" w:fill="auto"/>
            <w:noWrap/>
            <w:vAlign w:val="bottom"/>
            <w:hideMark/>
          </w:tcPr>
          <w:p w14:paraId="4C7C08C2"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Small Business Guarantee &amp; Finance Corp </w:t>
            </w:r>
          </w:p>
        </w:tc>
      </w:tr>
      <w:tr w:rsidR="006A447A" w:rsidRPr="006A447A" w14:paraId="2B4BCA75" w14:textId="77777777" w:rsidTr="0075041F">
        <w:trPr>
          <w:trHeight w:val="301"/>
        </w:trPr>
        <w:tc>
          <w:tcPr>
            <w:tcW w:w="1289" w:type="dxa"/>
            <w:tcBorders>
              <w:top w:val="nil"/>
              <w:left w:val="nil"/>
              <w:bottom w:val="nil"/>
              <w:right w:val="nil"/>
            </w:tcBorders>
            <w:shd w:val="clear" w:color="auto" w:fill="auto"/>
            <w:noWrap/>
            <w:vAlign w:val="center"/>
            <w:hideMark/>
          </w:tcPr>
          <w:p w14:paraId="4C6079AC"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SEDP</w:t>
            </w:r>
          </w:p>
        </w:tc>
        <w:tc>
          <w:tcPr>
            <w:tcW w:w="8243" w:type="dxa"/>
            <w:tcBorders>
              <w:top w:val="nil"/>
              <w:left w:val="nil"/>
              <w:bottom w:val="nil"/>
              <w:right w:val="nil"/>
            </w:tcBorders>
            <w:shd w:val="clear" w:color="auto" w:fill="auto"/>
            <w:noWrap/>
            <w:vAlign w:val="bottom"/>
            <w:hideMark/>
          </w:tcPr>
          <w:p w14:paraId="2C2890E7"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eastAsia="ko-KR"/>
              </w:rPr>
              <w:t>Startup Ecosystem Development Program</w:t>
            </w:r>
          </w:p>
        </w:tc>
      </w:tr>
      <w:tr w:rsidR="006A447A" w:rsidRPr="006A447A" w14:paraId="1658F9B1" w14:textId="77777777" w:rsidTr="0075041F">
        <w:trPr>
          <w:trHeight w:val="301"/>
        </w:trPr>
        <w:tc>
          <w:tcPr>
            <w:tcW w:w="1289" w:type="dxa"/>
            <w:tcBorders>
              <w:top w:val="nil"/>
              <w:left w:val="nil"/>
              <w:bottom w:val="nil"/>
              <w:right w:val="nil"/>
            </w:tcBorders>
            <w:shd w:val="clear" w:color="auto" w:fill="auto"/>
            <w:noWrap/>
            <w:vAlign w:val="center"/>
            <w:hideMark/>
          </w:tcPr>
          <w:p w14:paraId="15A2AA7F"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SEI</w:t>
            </w:r>
          </w:p>
        </w:tc>
        <w:tc>
          <w:tcPr>
            <w:tcW w:w="8243" w:type="dxa"/>
            <w:tcBorders>
              <w:top w:val="nil"/>
              <w:left w:val="nil"/>
              <w:bottom w:val="nil"/>
              <w:right w:val="nil"/>
            </w:tcBorders>
            <w:shd w:val="clear" w:color="auto" w:fill="auto"/>
            <w:noWrap/>
            <w:vAlign w:val="bottom"/>
            <w:hideMark/>
          </w:tcPr>
          <w:p w14:paraId="1C738243"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Science Education Institute </w:t>
            </w:r>
          </w:p>
        </w:tc>
      </w:tr>
      <w:tr w:rsidR="006A447A" w:rsidRPr="006A447A" w14:paraId="273C2FE7" w14:textId="77777777" w:rsidTr="0075041F">
        <w:trPr>
          <w:trHeight w:val="301"/>
        </w:trPr>
        <w:tc>
          <w:tcPr>
            <w:tcW w:w="1289" w:type="dxa"/>
            <w:tcBorders>
              <w:top w:val="nil"/>
              <w:left w:val="nil"/>
              <w:bottom w:val="nil"/>
              <w:right w:val="nil"/>
            </w:tcBorders>
            <w:shd w:val="clear" w:color="auto" w:fill="auto"/>
            <w:noWrap/>
            <w:vAlign w:val="center"/>
            <w:hideMark/>
          </w:tcPr>
          <w:p w14:paraId="6E6FBB5D"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SETUP</w:t>
            </w:r>
          </w:p>
        </w:tc>
        <w:tc>
          <w:tcPr>
            <w:tcW w:w="8243" w:type="dxa"/>
            <w:tcBorders>
              <w:top w:val="nil"/>
              <w:left w:val="nil"/>
              <w:bottom w:val="nil"/>
              <w:right w:val="nil"/>
            </w:tcBorders>
            <w:shd w:val="clear" w:color="auto" w:fill="auto"/>
            <w:noWrap/>
            <w:vAlign w:val="bottom"/>
            <w:hideMark/>
          </w:tcPr>
          <w:p w14:paraId="4F73C43D"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Small Enterprise Technology Upgrading Program </w:t>
            </w:r>
          </w:p>
        </w:tc>
      </w:tr>
      <w:tr w:rsidR="006A447A" w:rsidRPr="006A447A" w14:paraId="7B116FEB" w14:textId="77777777" w:rsidTr="0075041F">
        <w:trPr>
          <w:trHeight w:val="301"/>
        </w:trPr>
        <w:tc>
          <w:tcPr>
            <w:tcW w:w="1289" w:type="dxa"/>
            <w:tcBorders>
              <w:top w:val="nil"/>
              <w:left w:val="nil"/>
              <w:bottom w:val="nil"/>
              <w:right w:val="nil"/>
            </w:tcBorders>
            <w:shd w:val="clear" w:color="auto" w:fill="auto"/>
            <w:noWrap/>
            <w:vAlign w:val="center"/>
            <w:hideMark/>
          </w:tcPr>
          <w:p w14:paraId="4B067F4B"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SMEs</w:t>
            </w:r>
          </w:p>
        </w:tc>
        <w:tc>
          <w:tcPr>
            <w:tcW w:w="8243" w:type="dxa"/>
            <w:tcBorders>
              <w:top w:val="nil"/>
              <w:left w:val="nil"/>
              <w:bottom w:val="nil"/>
              <w:right w:val="nil"/>
            </w:tcBorders>
            <w:shd w:val="clear" w:color="auto" w:fill="auto"/>
            <w:noWrap/>
            <w:vAlign w:val="bottom"/>
            <w:hideMark/>
          </w:tcPr>
          <w:p w14:paraId="534E39EF"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small, and medium enterprises</w:t>
            </w:r>
          </w:p>
        </w:tc>
      </w:tr>
      <w:tr w:rsidR="006A447A" w:rsidRPr="006A447A" w14:paraId="6D11C5CA" w14:textId="77777777" w:rsidTr="0075041F">
        <w:trPr>
          <w:trHeight w:val="301"/>
        </w:trPr>
        <w:tc>
          <w:tcPr>
            <w:tcW w:w="1289" w:type="dxa"/>
            <w:tcBorders>
              <w:top w:val="nil"/>
              <w:left w:val="nil"/>
              <w:bottom w:val="nil"/>
              <w:right w:val="nil"/>
            </w:tcBorders>
            <w:shd w:val="clear" w:color="auto" w:fill="auto"/>
            <w:noWrap/>
            <w:vAlign w:val="center"/>
            <w:hideMark/>
          </w:tcPr>
          <w:p w14:paraId="66FF925D"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SNRG</w:t>
            </w:r>
          </w:p>
        </w:tc>
        <w:tc>
          <w:tcPr>
            <w:tcW w:w="8243" w:type="dxa"/>
            <w:tcBorders>
              <w:top w:val="nil"/>
              <w:left w:val="nil"/>
              <w:bottom w:val="nil"/>
              <w:right w:val="nil"/>
            </w:tcBorders>
            <w:shd w:val="clear" w:color="auto" w:fill="auto"/>
            <w:noWrap/>
            <w:vAlign w:val="bottom"/>
            <w:hideMark/>
          </w:tcPr>
          <w:p w14:paraId="759EEDB2"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Startup Nation Research Grant </w:t>
            </w:r>
          </w:p>
        </w:tc>
      </w:tr>
      <w:tr w:rsidR="006A447A" w:rsidRPr="006A447A" w14:paraId="3158EC63" w14:textId="77777777" w:rsidTr="0075041F">
        <w:trPr>
          <w:trHeight w:val="301"/>
        </w:trPr>
        <w:tc>
          <w:tcPr>
            <w:tcW w:w="1289" w:type="dxa"/>
            <w:tcBorders>
              <w:top w:val="nil"/>
              <w:left w:val="nil"/>
              <w:bottom w:val="nil"/>
              <w:right w:val="nil"/>
            </w:tcBorders>
            <w:shd w:val="clear" w:color="auto" w:fill="auto"/>
            <w:noWrap/>
            <w:vAlign w:val="center"/>
            <w:hideMark/>
          </w:tcPr>
          <w:p w14:paraId="5DDDC799"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SSF</w:t>
            </w:r>
          </w:p>
        </w:tc>
        <w:tc>
          <w:tcPr>
            <w:tcW w:w="8243" w:type="dxa"/>
            <w:tcBorders>
              <w:top w:val="nil"/>
              <w:left w:val="nil"/>
              <w:bottom w:val="nil"/>
              <w:right w:val="nil"/>
            </w:tcBorders>
            <w:shd w:val="clear" w:color="auto" w:fill="auto"/>
            <w:noWrap/>
            <w:vAlign w:val="bottom"/>
            <w:hideMark/>
          </w:tcPr>
          <w:p w14:paraId="203F241B"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Shared Service Facilities Project </w:t>
            </w:r>
          </w:p>
        </w:tc>
      </w:tr>
      <w:tr w:rsidR="006A447A" w:rsidRPr="006A447A" w14:paraId="140257F5" w14:textId="77777777" w:rsidTr="0075041F">
        <w:trPr>
          <w:trHeight w:val="301"/>
        </w:trPr>
        <w:tc>
          <w:tcPr>
            <w:tcW w:w="1289" w:type="dxa"/>
            <w:tcBorders>
              <w:top w:val="nil"/>
              <w:left w:val="nil"/>
              <w:bottom w:val="nil"/>
              <w:right w:val="nil"/>
            </w:tcBorders>
            <w:shd w:val="clear" w:color="auto" w:fill="auto"/>
            <w:noWrap/>
            <w:vAlign w:val="center"/>
            <w:hideMark/>
          </w:tcPr>
          <w:p w14:paraId="3B715DDE"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STEM</w:t>
            </w:r>
          </w:p>
        </w:tc>
        <w:tc>
          <w:tcPr>
            <w:tcW w:w="8243" w:type="dxa"/>
            <w:tcBorders>
              <w:top w:val="nil"/>
              <w:left w:val="nil"/>
              <w:bottom w:val="nil"/>
              <w:right w:val="nil"/>
            </w:tcBorders>
            <w:shd w:val="clear" w:color="auto" w:fill="auto"/>
            <w:noWrap/>
            <w:vAlign w:val="bottom"/>
            <w:hideMark/>
          </w:tcPr>
          <w:p w14:paraId="072AE791"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Science, Technology, Engineering and Math</w:t>
            </w:r>
          </w:p>
        </w:tc>
      </w:tr>
      <w:tr w:rsidR="006A447A" w:rsidRPr="006A447A" w14:paraId="2A3F6E1F" w14:textId="77777777" w:rsidTr="0075041F">
        <w:trPr>
          <w:trHeight w:val="301"/>
        </w:trPr>
        <w:tc>
          <w:tcPr>
            <w:tcW w:w="1289" w:type="dxa"/>
            <w:tcBorders>
              <w:top w:val="nil"/>
              <w:left w:val="nil"/>
              <w:bottom w:val="nil"/>
              <w:right w:val="nil"/>
            </w:tcBorders>
            <w:shd w:val="clear" w:color="auto" w:fill="auto"/>
            <w:noWrap/>
            <w:vAlign w:val="center"/>
            <w:hideMark/>
          </w:tcPr>
          <w:p w14:paraId="38F500E9"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 xml:space="preserve">STI </w:t>
            </w:r>
          </w:p>
        </w:tc>
        <w:tc>
          <w:tcPr>
            <w:tcW w:w="8243" w:type="dxa"/>
            <w:tcBorders>
              <w:top w:val="nil"/>
              <w:left w:val="nil"/>
              <w:bottom w:val="nil"/>
              <w:right w:val="nil"/>
            </w:tcBorders>
            <w:shd w:val="clear" w:color="auto" w:fill="auto"/>
            <w:noWrap/>
            <w:vAlign w:val="bottom"/>
            <w:hideMark/>
          </w:tcPr>
          <w:p w14:paraId="2A30B93F"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Science, Technology and Innovation</w:t>
            </w:r>
          </w:p>
        </w:tc>
      </w:tr>
      <w:tr w:rsidR="006A447A" w:rsidRPr="006A447A" w14:paraId="3C746A95" w14:textId="77777777" w:rsidTr="0075041F">
        <w:trPr>
          <w:trHeight w:val="301"/>
        </w:trPr>
        <w:tc>
          <w:tcPr>
            <w:tcW w:w="1289" w:type="dxa"/>
            <w:tcBorders>
              <w:top w:val="nil"/>
              <w:left w:val="nil"/>
              <w:bottom w:val="nil"/>
              <w:right w:val="nil"/>
            </w:tcBorders>
            <w:shd w:val="clear" w:color="auto" w:fill="auto"/>
            <w:noWrap/>
            <w:vAlign w:val="center"/>
            <w:hideMark/>
          </w:tcPr>
          <w:p w14:paraId="5E7052A2"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STII</w:t>
            </w:r>
          </w:p>
        </w:tc>
        <w:tc>
          <w:tcPr>
            <w:tcW w:w="8243" w:type="dxa"/>
            <w:tcBorders>
              <w:top w:val="nil"/>
              <w:left w:val="nil"/>
              <w:bottom w:val="nil"/>
              <w:right w:val="nil"/>
            </w:tcBorders>
            <w:shd w:val="clear" w:color="auto" w:fill="auto"/>
            <w:noWrap/>
            <w:vAlign w:val="bottom"/>
            <w:hideMark/>
          </w:tcPr>
          <w:p w14:paraId="161EF39C"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Science and Technology Information Institute </w:t>
            </w:r>
          </w:p>
        </w:tc>
      </w:tr>
      <w:tr w:rsidR="006A447A" w:rsidRPr="006A447A" w14:paraId="7B633D1C" w14:textId="77777777" w:rsidTr="0075041F">
        <w:trPr>
          <w:trHeight w:val="301"/>
        </w:trPr>
        <w:tc>
          <w:tcPr>
            <w:tcW w:w="1289" w:type="dxa"/>
            <w:tcBorders>
              <w:top w:val="nil"/>
              <w:left w:val="nil"/>
              <w:bottom w:val="nil"/>
              <w:right w:val="nil"/>
            </w:tcBorders>
            <w:shd w:val="clear" w:color="auto" w:fill="auto"/>
            <w:noWrap/>
            <w:vAlign w:val="center"/>
            <w:hideMark/>
          </w:tcPr>
          <w:p w14:paraId="5929B7D6"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TAPI</w:t>
            </w:r>
          </w:p>
        </w:tc>
        <w:tc>
          <w:tcPr>
            <w:tcW w:w="8243" w:type="dxa"/>
            <w:tcBorders>
              <w:top w:val="nil"/>
              <w:left w:val="nil"/>
              <w:bottom w:val="nil"/>
              <w:right w:val="nil"/>
            </w:tcBorders>
            <w:shd w:val="clear" w:color="auto" w:fill="auto"/>
            <w:noWrap/>
            <w:vAlign w:val="bottom"/>
            <w:hideMark/>
          </w:tcPr>
          <w:p w14:paraId="307E6130"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Technology Application and Promotion Institute </w:t>
            </w:r>
          </w:p>
        </w:tc>
      </w:tr>
      <w:tr w:rsidR="006A447A" w:rsidRPr="006A447A" w14:paraId="4AB24EA5" w14:textId="77777777" w:rsidTr="0075041F">
        <w:trPr>
          <w:trHeight w:val="301"/>
        </w:trPr>
        <w:tc>
          <w:tcPr>
            <w:tcW w:w="1289" w:type="dxa"/>
            <w:tcBorders>
              <w:top w:val="nil"/>
              <w:left w:val="nil"/>
              <w:bottom w:val="nil"/>
              <w:right w:val="nil"/>
            </w:tcBorders>
            <w:shd w:val="clear" w:color="auto" w:fill="auto"/>
            <w:noWrap/>
            <w:vAlign w:val="center"/>
            <w:hideMark/>
          </w:tcPr>
          <w:p w14:paraId="292C50BC"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TBI</w:t>
            </w:r>
          </w:p>
        </w:tc>
        <w:tc>
          <w:tcPr>
            <w:tcW w:w="8243" w:type="dxa"/>
            <w:tcBorders>
              <w:top w:val="nil"/>
              <w:left w:val="nil"/>
              <w:bottom w:val="nil"/>
              <w:right w:val="nil"/>
            </w:tcBorders>
            <w:shd w:val="clear" w:color="auto" w:fill="auto"/>
            <w:noWrap/>
            <w:vAlign w:val="bottom"/>
            <w:hideMark/>
          </w:tcPr>
          <w:p w14:paraId="242215FD"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Technology Business Incubator </w:t>
            </w:r>
          </w:p>
        </w:tc>
      </w:tr>
      <w:tr w:rsidR="006A447A" w:rsidRPr="006A447A" w14:paraId="67AEC788" w14:textId="77777777" w:rsidTr="0075041F">
        <w:trPr>
          <w:trHeight w:val="301"/>
        </w:trPr>
        <w:tc>
          <w:tcPr>
            <w:tcW w:w="1289" w:type="dxa"/>
            <w:tcBorders>
              <w:top w:val="nil"/>
              <w:left w:val="nil"/>
              <w:bottom w:val="nil"/>
              <w:right w:val="nil"/>
            </w:tcBorders>
            <w:shd w:val="clear" w:color="auto" w:fill="auto"/>
            <w:noWrap/>
            <w:vAlign w:val="center"/>
            <w:hideMark/>
          </w:tcPr>
          <w:p w14:paraId="357FF193"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TECHNICOM</w:t>
            </w:r>
          </w:p>
        </w:tc>
        <w:tc>
          <w:tcPr>
            <w:tcW w:w="8243" w:type="dxa"/>
            <w:tcBorders>
              <w:top w:val="nil"/>
              <w:left w:val="nil"/>
              <w:bottom w:val="nil"/>
              <w:right w:val="nil"/>
            </w:tcBorders>
            <w:shd w:val="clear" w:color="auto" w:fill="auto"/>
            <w:noWrap/>
            <w:vAlign w:val="bottom"/>
            <w:hideMark/>
          </w:tcPr>
          <w:p w14:paraId="086361E2"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 xml:space="preserve">Technology Innovation for Commercialization </w:t>
            </w:r>
          </w:p>
        </w:tc>
      </w:tr>
      <w:tr w:rsidR="006A447A" w:rsidRPr="006A447A" w14:paraId="6BF1716E" w14:textId="77777777" w:rsidTr="0075041F">
        <w:trPr>
          <w:trHeight w:val="301"/>
        </w:trPr>
        <w:tc>
          <w:tcPr>
            <w:tcW w:w="1289" w:type="dxa"/>
            <w:tcBorders>
              <w:top w:val="nil"/>
              <w:left w:val="nil"/>
              <w:bottom w:val="nil"/>
              <w:right w:val="nil"/>
            </w:tcBorders>
            <w:shd w:val="clear" w:color="auto" w:fill="auto"/>
            <w:noWrap/>
            <w:vAlign w:val="center"/>
            <w:hideMark/>
          </w:tcPr>
          <w:p w14:paraId="3729A198"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TFP</w:t>
            </w:r>
          </w:p>
        </w:tc>
        <w:tc>
          <w:tcPr>
            <w:tcW w:w="8243" w:type="dxa"/>
            <w:tcBorders>
              <w:top w:val="nil"/>
              <w:left w:val="nil"/>
              <w:bottom w:val="nil"/>
              <w:right w:val="nil"/>
            </w:tcBorders>
            <w:shd w:val="clear" w:color="auto" w:fill="auto"/>
            <w:noWrap/>
            <w:vAlign w:val="bottom"/>
            <w:hideMark/>
          </w:tcPr>
          <w:p w14:paraId="5329215B"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eastAsia="ko-KR"/>
              </w:rPr>
              <w:t xml:space="preserve">Total factor productivity </w:t>
            </w:r>
          </w:p>
        </w:tc>
      </w:tr>
      <w:tr w:rsidR="006A447A" w:rsidRPr="006A447A" w14:paraId="6505C60C" w14:textId="77777777" w:rsidTr="0075041F">
        <w:trPr>
          <w:trHeight w:val="301"/>
        </w:trPr>
        <w:tc>
          <w:tcPr>
            <w:tcW w:w="1289" w:type="dxa"/>
            <w:tcBorders>
              <w:top w:val="nil"/>
              <w:left w:val="nil"/>
              <w:bottom w:val="nil"/>
              <w:right w:val="nil"/>
            </w:tcBorders>
            <w:shd w:val="clear" w:color="auto" w:fill="auto"/>
            <w:noWrap/>
            <w:vAlign w:val="center"/>
            <w:hideMark/>
          </w:tcPr>
          <w:p w14:paraId="28996CD8"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TIPG</w:t>
            </w:r>
          </w:p>
        </w:tc>
        <w:tc>
          <w:tcPr>
            <w:tcW w:w="8243" w:type="dxa"/>
            <w:tcBorders>
              <w:top w:val="nil"/>
              <w:left w:val="nil"/>
              <w:bottom w:val="nil"/>
              <w:right w:val="nil"/>
            </w:tcBorders>
            <w:shd w:val="clear" w:color="auto" w:fill="auto"/>
            <w:noWrap/>
            <w:vAlign w:val="bottom"/>
            <w:hideMark/>
          </w:tcPr>
          <w:p w14:paraId="20F152E4"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Trade and Investments Promotion Group</w:t>
            </w:r>
          </w:p>
        </w:tc>
      </w:tr>
      <w:tr w:rsidR="006A447A" w:rsidRPr="006A447A" w14:paraId="3868D59F" w14:textId="77777777" w:rsidTr="0075041F">
        <w:trPr>
          <w:trHeight w:val="301"/>
        </w:trPr>
        <w:tc>
          <w:tcPr>
            <w:tcW w:w="1289" w:type="dxa"/>
            <w:tcBorders>
              <w:top w:val="nil"/>
              <w:left w:val="nil"/>
              <w:bottom w:val="nil"/>
              <w:right w:val="nil"/>
            </w:tcBorders>
            <w:shd w:val="clear" w:color="auto" w:fill="auto"/>
            <w:noWrap/>
            <w:vAlign w:val="center"/>
            <w:hideMark/>
          </w:tcPr>
          <w:p w14:paraId="298BB6AB"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TSGI</w:t>
            </w:r>
          </w:p>
        </w:tc>
        <w:tc>
          <w:tcPr>
            <w:tcW w:w="8243" w:type="dxa"/>
            <w:tcBorders>
              <w:top w:val="nil"/>
              <w:left w:val="nil"/>
              <w:bottom w:val="nil"/>
              <w:right w:val="nil"/>
            </w:tcBorders>
            <w:shd w:val="clear" w:color="auto" w:fill="auto"/>
            <w:noWrap/>
            <w:vAlign w:val="bottom"/>
            <w:hideMark/>
          </w:tcPr>
          <w:p w14:paraId="6FEB7EB5"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proofErr w:type="spellStart"/>
            <w:r w:rsidRPr="006A447A">
              <w:rPr>
                <w:rFonts w:ascii="Times Roman" w:eastAsia="Times New Roman" w:hAnsi="Times Roman" w:cs="Calibri"/>
                <w:color w:val="000000"/>
                <w:sz w:val="20"/>
                <w:szCs w:val="20"/>
                <w:lang w:eastAsia="ko-KR"/>
              </w:rPr>
              <w:t>Tholons</w:t>
            </w:r>
            <w:proofErr w:type="spellEnd"/>
            <w:r w:rsidRPr="006A447A">
              <w:rPr>
                <w:rFonts w:ascii="Times Roman" w:eastAsia="Times New Roman" w:hAnsi="Times Roman" w:cs="Calibri"/>
                <w:color w:val="000000"/>
                <w:sz w:val="20"/>
                <w:szCs w:val="20"/>
                <w:lang w:eastAsia="ko-KR"/>
              </w:rPr>
              <w:t xml:space="preserve"> Services Globalization Index</w:t>
            </w:r>
          </w:p>
        </w:tc>
      </w:tr>
      <w:tr w:rsidR="006A447A" w:rsidRPr="006A447A" w14:paraId="081A3F14" w14:textId="77777777" w:rsidTr="0075041F">
        <w:trPr>
          <w:trHeight w:val="301"/>
        </w:trPr>
        <w:tc>
          <w:tcPr>
            <w:tcW w:w="1289" w:type="dxa"/>
            <w:tcBorders>
              <w:top w:val="nil"/>
              <w:left w:val="nil"/>
              <w:bottom w:val="nil"/>
              <w:right w:val="nil"/>
            </w:tcBorders>
            <w:shd w:val="clear" w:color="auto" w:fill="auto"/>
            <w:noWrap/>
            <w:vAlign w:val="center"/>
            <w:hideMark/>
          </w:tcPr>
          <w:p w14:paraId="28D815F2"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TVET</w:t>
            </w:r>
          </w:p>
        </w:tc>
        <w:tc>
          <w:tcPr>
            <w:tcW w:w="8243" w:type="dxa"/>
            <w:tcBorders>
              <w:top w:val="nil"/>
              <w:left w:val="nil"/>
              <w:bottom w:val="nil"/>
              <w:right w:val="nil"/>
            </w:tcBorders>
            <w:shd w:val="clear" w:color="auto" w:fill="auto"/>
            <w:noWrap/>
            <w:vAlign w:val="bottom"/>
            <w:hideMark/>
          </w:tcPr>
          <w:p w14:paraId="04CEAEF2" w14:textId="77777777" w:rsidR="006A447A" w:rsidRPr="006A447A" w:rsidRDefault="006A447A" w:rsidP="006A447A">
            <w:pPr>
              <w:spacing w:after="0" w:line="240" w:lineRule="auto"/>
              <w:rPr>
                <w:rFonts w:ascii="Times Roman" w:eastAsia="Times New Roman" w:hAnsi="Times Roman" w:cs="Calibri"/>
                <w:color w:val="222222"/>
                <w:sz w:val="20"/>
                <w:szCs w:val="20"/>
                <w:lang w:val="en-PH" w:eastAsia="ko-KR"/>
              </w:rPr>
            </w:pPr>
            <w:r w:rsidRPr="006A447A">
              <w:rPr>
                <w:rFonts w:ascii="Times Roman" w:eastAsia="Times New Roman" w:hAnsi="Times Roman" w:cs="Calibri"/>
                <w:color w:val="222222"/>
                <w:sz w:val="20"/>
                <w:szCs w:val="20"/>
                <w:lang w:val="en-PH" w:eastAsia="ko-KR"/>
              </w:rPr>
              <w:t>Technical and Vocational Education and Training</w:t>
            </w:r>
          </w:p>
        </w:tc>
      </w:tr>
      <w:tr w:rsidR="006A447A" w:rsidRPr="006A447A" w14:paraId="15EC2E7C" w14:textId="77777777" w:rsidTr="0075041F">
        <w:trPr>
          <w:trHeight w:val="301"/>
        </w:trPr>
        <w:tc>
          <w:tcPr>
            <w:tcW w:w="1289" w:type="dxa"/>
            <w:tcBorders>
              <w:top w:val="nil"/>
              <w:left w:val="nil"/>
              <w:bottom w:val="nil"/>
              <w:right w:val="nil"/>
            </w:tcBorders>
            <w:shd w:val="clear" w:color="auto" w:fill="auto"/>
            <w:noWrap/>
            <w:vAlign w:val="center"/>
            <w:hideMark/>
          </w:tcPr>
          <w:p w14:paraId="71F2887A"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VCPE</w:t>
            </w:r>
          </w:p>
        </w:tc>
        <w:tc>
          <w:tcPr>
            <w:tcW w:w="8243" w:type="dxa"/>
            <w:tcBorders>
              <w:top w:val="nil"/>
              <w:left w:val="nil"/>
              <w:bottom w:val="nil"/>
              <w:right w:val="nil"/>
            </w:tcBorders>
            <w:shd w:val="clear" w:color="auto" w:fill="auto"/>
            <w:noWrap/>
            <w:vAlign w:val="bottom"/>
            <w:hideMark/>
          </w:tcPr>
          <w:p w14:paraId="006AA297"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eastAsia="ko-KR"/>
              </w:rPr>
              <w:t>Venture Capital and Private Equity</w:t>
            </w:r>
          </w:p>
        </w:tc>
      </w:tr>
      <w:tr w:rsidR="006A447A" w:rsidRPr="006A447A" w14:paraId="7C5D67D0" w14:textId="77777777" w:rsidTr="0075041F">
        <w:trPr>
          <w:trHeight w:val="301"/>
        </w:trPr>
        <w:tc>
          <w:tcPr>
            <w:tcW w:w="1289" w:type="dxa"/>
            <w:tcBorders>
              <w:top w:val="nil"/>
              <w:left w:val="nil"/>
              <w:bottom w:val="nil"/>
              <w:right w:val="nil"/>
            </w:tcBorders>
            <w:shd w:val="clear" w:color="auto" w:fill="auto"/>
            <w:noWrap/>
            <w:vAlign w:val="center"/>
            <w:hideMark/>
          </w:tcPr>
          <w:p w14:paraId="20C0044C"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VFP</w:t>
            </w:r>
          </w:p>
        </w:tc>
        <w:tc>
          <w:tcPr>
            <w:tcW w:w="8243" w:type="dxa"/>
            <w:tcBorders>
              <w:top w:val="nil"/>
              <w:left w:val="nil"/>
              <w:bottom w:val="nil"/>
              <w:right w:val="nil"/>
            </w:tcBorders>
            <w:shd w:val="clear" w:color="auto" w:fill="auto"/>
            <w:noWrap/>
            <w:vAlign w:val="bottom"/>
            <w:hideMark/>
          </w:tcPr>
          <w:p w14:paraId="01718DE6"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Venture Financing Program</w:t>
            </w:r>
          </w:p>
        </w:tc>
      </w:tr>
      <w:tr w:rsidR="006A447A" w:rsidRPr="006A447A" w14:paraId="75057E24" w14:textId="77777777" w:rsidTr="0075041F">
        <w:trPr>
          <w:trHeight w:val="301"/>
        </w:trPr>
        <w:tc>
          <w:tcPr>
            <w:tcW w:w="1289" w:type="dxa"/>
            <w:tcBorders>
              <w:top w:val="nil"/>
              <w:left w:val="nil"/>
              <w:bottom w:val="nil"/>
              <w:right w:val="nil"/>
            </w:tcBorders>
            <w:shd w:val="clear" w:color="auto" w:fill="auto"/>
            <w:noWrap/>
            <w:vAlign w:val="center"/>
            <w:hideMark/>
          </w:tcPr>
          <w:p w14:paraId="2664820D"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WDI</w:t>
            </w:r>
          </w:p>
        </w:tc>
        <w:tc>
          <w:tcPr>
            <w:tcW w:w="8243" w:type="dxa"/>
            <w:tcBorders>
              <w:top w:val="nil"/>
              <w:left w:val="nil"/>
              <w:bottom w:val="nil"/>
              <w:right w:val="nil"/>
            </w:tcBorders>
            <w:shd w:val="clear" w:color="auto" w:fill="auto"/>
            <w:noWrap/>
            <w:vAlign w:val="bottom"/>
            <w:hideMark/>
          </w:tcPr>
          <w:p w14:paraId="78DDEE22"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val="en-PH" w:eastAsia="ko-KR"/>
              </w:rPr>
              <w:t>World Development Indicators</w:t>
            </w:r>
          </w:p>
        </w:tc>
      </w:tr>
      <w:tr w:rsidR="006A447A" w:rsidRPr="006A447A" w14:paraId="4B6C37EA" w14:textId="77777777" w:rsidTr="0075041F">
        <w:trPr>
          <w:trHeight w:val="301"/>
        </w:trPr>
        <w:tc>
          <w:tcPr>
            <w:tcW w:w="1289" w:type="dxa"/>
            <w:tcBorders>
              <w:top w:val="nil"/>
              <w:left w:val="nil"/>
              <w:bottom w:val="single" w:sz="4" w:space="0" w:color="auto"/>
              <w:right w:val="nil"/>
            </w:tcBorders>
            <w:shd w:val="clear" w:color="auto" w:fill="auto"/>
            <w:noWrap/>
            <w:vAlign w:val="center"/>
            <w:hideMark/>
          </w:tcPr>
          <w:p w14:paraId="6EC52B94" w14:textId="77777777" w:rsidR="006A447A" w:rsidRPr="006A447A" w:rsidRDefault="006A447A" w:rsidP="006A447A">
            <w:pPr>
              <w:spacing w:after="0" w:line="240" w:lineRule="auto"/>
              <w:rPr>
                <w:rFonts w:ascii="Times Roman" w:eastAsia="Times New Roman" w:hAnsi="Times Roman" w:cs="Calibri"/>
                <w:color w:val="000000"/>
                <w:lang w:val="en-PH" w:eastAsia="ko-KR"/>
              </w:rPr>
            </w:pPr>
            <w:r w:rsidRPr="006A447A">
              <w:rPr>
                <w:rFonts w:ascii="Times Roman" w:eastAsia="Times New Roman" w:hAnsi="Times Roman" w:cs="Calibri"/>
                <w:color w:val="000000"/>
                <w:lang w:val="en-PH" w:eastAsia="ko-KR"/>
              </w:rPr>
              <w:t>WEF</w:t>
            </w:r>
          </w:p>
        </w:tc>
        <w:tc>
          <w:tcPr>
            <w:tcW w:w="8243" w:type="dxa"/>
            <w:tcBorders>
              <w:top w:val="nil"/>
              <w:left w:val="nil"/>
              <w:bottom w:val="single" w:sz="4" w:space="0" w:color="auto"/>
              <w:right w:val="nil"/>
            </w:tcBorders>
            <w:shd w:val="clear" w:color="auto" w:fill="auto"/>
            <w:noWrap/>
            <w:vAlign w:val="bottom"/>
            <w:hideMark/>
          </w:tcPr>
          <w:p w14:paraId="1D25BA63" w14:textId="77777777" w:rsidR="006A447A" w:rsidRPr="006A447A" w:rsidRDefault="006A447A" w:rsidP="006A447A">
            <w:pPr>
              <w:spacing w:after="0" w:line="240" w:lineRule="auto"/>
              <w:rPr>
                <w:rFonts w:ascii="Times Roman" w:eastAsia="Times New Roman" w:hAnsi="Times Roman" w:cs="Calibri"/>
                <w:color w:val="000000"/>
                <w:sz w:val="20"/>
                <w:szCs w:val="20"/>
                <w:lang w:val="en-PH" w:eastAsia="ko-KR"/>
              </w:rPr>
            </w:pPr>
            <w:r w:rsidRPr="006A447A">
              <w:rPr>
                <w:rFonts w:ascii="Times Roman" w:eastAsia="Times New Roman" w:hAnsi="Times Roman" w:cs="Calibri"/>
                <w:color w:val="000000"/>
                <w:sz w:val="20"/>
                <w:szCs w:val="20"/>
                <w:lang w:eastAsia="ko-KR"/>
              </w:rPr>
              <w:t xml:space="preserve">World Economic Forum </w:t>
            </w:r>
          </w:p>
        </w:tc>
      </w:tr>
    </w:tbl>
    <w:p w14:paraId="11A9DE95" w14:textId="77777777" w:rsidR="006A447A" w:rsidRPr="006A447A" w:rsidRDefault="006A447A" w:rsidP="006A447A">
      <w:pPr>
        <w:spacing w:after="0" w:line="240" w:lineRule="auto"/>
        <w:rPr>
          <w:rFonts w:ascii="Calibri" w:eastAsia="Malgun Gothic" w:hAnsi="Calibri" w:cs="Times New Roman"/>
          <w:sz w:val="24"/>
          <w:szCs w:val="24"/>
          <w:lang w:eastAsia="ko-KR"/>
        </w:rPr>
      </w:pPr>
    </w:p>
    <w:p w14:paraId="110DFC52" w14:textId="77777777" w:rsidR="00517B4C" w:rsidRPr="00517B4C" w:rsidRDefault="00517B4C" w:rsidP="00517B4C">
      <w:pPr>
        <w:keepNext/>
        <w:keepLines/>
        <w:spacing w:before="240" w:after="0"/>
        <w:outlineLvl w:val="0"/>
        <w:rPr>
          <w:rFonts w:asciiTheme="majorHAnsi" w:eastAsiaTheme="majorEastAsia" w:hAnsiTheme="majorHAnsi" w:cstheme="majorBidi"/>
          <w:color w:val="2F5496" w:themeColor="accent1" w:themeShade="BF"/>
          <w:sz w:val="32"/>
          <w:szCs w:val="32"/>
        </w:rPr>
      </w:pPr>
      <w:bookmarkStart w:id="6" w:name="_Toc12503508"/>
      <w:r w:rsidRPr="00517B4C">
        <w:rPr>
          <w:rFonts w:asciiTheme="majorHAnsi" w:eastAsiaTheme="majorEastAsia" w:hAnsiTheme="majorHAnsi" w:cstheme="majorBidi"/>
          <w:color w:val="2F5496" w:themeColor="accent1" w:themeShade="BF"/>
          <w:sz w:val="32"/>
          <w:szCs w:val="32"/>
        </w:rPr>
        <w:t>EXECUTIVE SUMMARY</w:t>
      </w:r>
      <w:bookmarkEnd w:id="6"/>
      <w:r w:rsidRPr="00517B4C">
        <w:rPr>
          <w:rFonts w:asciiTheme="majorHAnsi" w:eastAsiaTheme="majorEastAsia" w:hAnsiTheme="majorHAnsi" w:cstheme="majorBidi"/>
          <w:color w:val="2F5496" w:themeColor="accent1" w:themeShade="BF"/>
          <w:sz w:val="32"/>
          <w:szCs w:val="32"/>
        </w:rPr>
        <w:t xml:space="preserve"> </w:t>
      </w:r>
    </w:p>
    <w:p w14:paraId="6095A2AA" w14:textId="77777777" w:rsidR="00517B4C" w:rsidRPr="00517B4C" w:rsidRDefault="00517B4C" w:rsidP="00517B4C">
      <w:pPr>
        <w:jc w:val="both"/>
        <w:rPr>
          <w:rFonts w:cs="Times New Roman"/>
          <w:sz w:val="24"/>
          <w:szCs w:val="24"/>
        </w:rPr>
      </w:pPr>
    </w:p>
    <w:p w14:paraId="678E3B88" w14:textId="77777777" w:rsidR="00517B4C" w:rsidRPr="00517B4C" w:rsidRDefault="00517B4C" w:rsidP="00517B4C">
      <w:pPr>
        <w:numPr>
          <w:ilvl w:val="0"/>
          <w:numId w:val="56"/>
        </w:numPr>
        <w:contextualSpacing/>
        <w:jc w:val="both"/>
        <w:rPr>
          <w:rFonts w:cs="Times New Roman"/>
        </w:rPr>
      </w:pPr>
      <w:r w:rsidRPr="00814700">
        <w:rPr>
          <w:rFonts w:cs="Times New Roman"/>
        </w:rPr>
        <w:t>Micro, small and medium-sized enterprises (MSMEs) represent a key pillar of the Government of Philippine’s (</w:t>
      </w:r>
      <w:proofErr w:type="spellStart"/>
      <w:r w:rsidRPr="00814700">
        <w:rPr>
          <w:rFonts w:cs="Times New Roman"/>
        </w:rPr>
        <w:t>GoP</w:t>
      </w:r>
      <w:proofErr w:type="spellEnd"/>
      <w:r w:rsidRPr="00814700">
        <w:rPr>
          <w:rFonts w:cs="Times New Roman"/>
        </w:rPr>
        <w:t>) competitiveness and inclusive growth strategy.</w:t>
      </w:r>
      <w:r w:rsidRPr="00517B4C">
        <w:rPr>
          <w:rFonts w:cs="Times New Roman"/>
        </w:rPr>
        <w:t xml:space="preserve"> In pursuit of its ambition to become a prosperous middle-income and knowledge-based economy, the </w:t>
      </w:r>
      <w:r w:rsidRPr="00517B4C">
        <w:rPr>
          <w:rFonts w:cs="Times New Roman"/>
          <w:i/>
        </w:rPr>
        <w:t>MSME Development (MSMED) Plan 2017-2022</w:t>
      </w:r>
      <w:r w:rsidRPr="00517B4C">
        <w:rPr>
          <w:rFonts w:cs="Times New Roman"/>
        </w:rPr>
        <w:t xml:space="preserve"> (GOP, 2017) lays out a vision for developing more globally competitive MSMEs that are regionally integrated, productive and innovative. Promotion of entrepreneurship and enterprise development is identified as an important channel for MSMEs’ productivity and innovation. In line with its objectives, the Government has put in place policies and MSME program initiatives to strengthen productivity and entrepreneurship. With renewed support for MSMEs, it is an opportune time to learn lessons from the implementation and performance of existing policies and programs. This report responds to this objective by undertaking a review analysis of the existing MSME and entrepreneurship policy framework and the associated policy instruments programs</w:t>
      </w:r>
      <w:r w:rsidRPr="00517B4C">
        <w:rPr>
          <w:rFonts w:asciiTheme="minorHAnsi" w:hAnsiTheme="minorHAnsi"/>
        </w:rPr>
        <w:t xml:space="preserve"> </w:t>
      </w:r>
      <w:r w:rsidRPr="00517B4C">
        <w:rPr>
          <w:rFonts w:cs="Times New Roman"/>
        </w:rPr>
        <w:t>to help inform a more effective and results-focused approach.</w:t>
      </w:r>
    </w:p>
    <w:p w14:paraId="568EC033" w14:textId="77777777" w:rsidR="00517B4C" w:rsidRPr="00517B4C" w:rsidRDefault="00517B4C" w:rsidP="00517B4C">
      <w:pPr>
        <w:ind w:left="360"/>
        <w:contextualSpacing/>
        <w:jc w:val="both"/>
        <w:rPr>
          <w:rFonts w:cs="Times New Roman"/>
        </w:rPr>
      </w:pPr>
    </w:p>
    <w:p w14:paraId="3D703EAB" w14:textId="77777777" w:rsidR="00517B4C" w:rsidRPr="00517B4C" w:rsidRDefault="00517B4C" w:rsidP="00517B4C">
      <w:pPr>
        <w:numPr>
          <w:ilvl w:val="0"/>
          <w:numId w:val="56"/>
        </w:numPr>
        <w:contextualSpacing/>
        <w:jc w:val="both"/>
        <w:rPr>
          <w:rFonts w:cs="Times New Roman"/>
        </w:rPr>
      </w:pPr>
      <w:r w:rsidRPr="00814700">
        <w:rPr>
          <w:rFonts w:cs="Times New Roman"/>
        </w:rPr>
        <w:t>As the bedrock of the private sector and innovation in the Philippines, MSMEs are important contributor to economic development outcomes albeit the potential for significant improvement remains.</w:t>
      </w:r>
      <w:r w:rsidRPr="00517B4C">
        <w:rPr>
          <w:rFonts w:cs="Times New Roman"/>
          <w:b/>
        </w:rPr>
        <w:t xml:space="preserve">  </w:t>
      </w:r>
      <w:r w:rsidRPr="00517B4C">
        <w:rPr>
          <w:rFonts w:cs="Times New Roman"/>
        </w:rPr>
        <w:t>Comprising over 99 percent of all enterprises in the country, the MSME sector represents the private sector, and generates nearly two-thirds of the country’s total employment. The quality of jobs, nonetheless, remain a challenge as the bulk of the jobs are generated in the informal sector which tends to offer low paying</w:t>
      </w:r>
      <w:r w:rsidRPr="00517B4C">
        <w:rPr>
          <w:rFonts w:cs="Times New Roman"/>
          <w:vertAlign w:val="superscript"/>
        </w:rPr>
        <w:footnoteReference w:id="2"/>
      </w:r>
      <w:r w:rsidRPr="00517B4C">
        <w:rPr>
          <w:rFonts w:cs="Times New Roman"/>
        </w:rPr>
        <w:t xml:space="preserve"> and poor-quality jobs.</w:t>
      </w:r>
      <w:r w:rsidRPr="00517B4C">
        <w:rPr>
          <w:rFonts w:cs="Times New Roman"/>
          <w:vertAlign w:val="superscript"/>
        </w:rPr>
        <w:footnoteReference w:id="3"/>
      </w:r>
      <w:r w:rsidRPr="00517B4C">
        <w:rPr>
          <w:rFonts w:cs="Times New Roman"/>
        </w:rPr>
        <w:t xml:space="preserve"> Most MSMEs are small, not engaged in exports and have limited access to foreign capital – all which impact innovation and productivity performance. Despite promising entrepreneurial outlook - indicated by high rate of entry into entrepreneurial activity - the rate of failure rate is the highest in the ASEAN leading to very low established business rate.</w:t>
      </w:r>
      <w:r w:rsidRPr="00517B4C">
        <w:rPr>
          <w:rFonts w:cs="Times New Roman"/>
          <w:vertAlign w:val="superscript"/>
        </w:rPr>
        <w:footnoteReference w:id="4"/>
      </w:r>
      <w:r w:rsidRPr="00517B4C">
        <w:rPr>
          <w:rFonts w:cs="Times New Roman"/>
        </w:rPr>
        <w:t xml:space="preserve"> There is thus an opportunity for a more competitive and dynamic private sector that can create better quality employment. </w:t>
      </w:r>
    </w:p>
    <w:p w14:paraId="1620ED4E" w14:textId="77777777" w:rsidR="00517B4C" w:rsidRPr="00517B4C" w:rsidRDefault="00517B4C" w:rsidP="00517B4C">
      <w:pPr>
        <w:ind w:left="360"/>
        <w:contextualSpacing/>
        <w:jc w:val="both"/>
        <w:rPr>
          <w:rFonts w:cs="Times New Roman"/>
        </w:rPr>
      </w:pPr>
    </w:p>
    <w:p w14:paraId="083C923F" w14:textId="77777777" w:rsidR="00517B4C" w:rsidRPr="00517B4C" w:rsidRDefault="00517B4C" w:rsidP="00517B4C">
      <w:pPr>
        <w:numPr>
          <w:ilvl w:val="0"/>
          <w:numId w:val="56"/>
        </w:numPr>
        <w:contextualSpacing/>
        <w:jc w:val="both"/>
        <w:rPr>
          <w:rFonts w:cs="Times New Roman"/>
        </w:rPr>
      </w:pPr>
      <w:r w:rsidRPr="00A93CA7">
        <w:rPr>
          <w:rFonts w:cs="Times New Roman"/>
        </w:rPr>
        <w:t>Enhancing performance of MSMEs in the Philippines is fundamentally about improving productivity.</w:t>
      </w:r>
      <w:r w:rsidRPr="00517B4C">
        <w:rPr>
          <w:rFonts w:cs="Times New Roman"/>
          <w:b/>
        </w:rPr>
        <w:t xml:space="preserve"> </w:t>
      </w:r>
      <w:r w:rsidRPr="00517B4C">
        <w:rPr>
          <w:rFonts w:cs="Times New Roman"/>
        </w:rPr>
        <w:t xml:space="preserve">MSMEs are constrained to generate well-paying jobs due to low productivity growth. Increases in labor productivity typically lead to real wage increases and contributes to poverty reduction. The productivity of MSMEs in Philippine lags significantly behind large firms and neighboring countries. Understanding firm level constraints to improving productivity is a pre-requisite to designing and implementing appropriate policy interventions. These constraints can be a combination of market failures and institutional failures that the private sector face as well as ineffective public policies. </w:t>
      </w:r>
    </w:p>
    <w:p w14:paraId="16C32440" w14:textId="77777777" w:rsidR="00517B4C" w:rsidRPr="00A93CA7" w:rsidRDefault="00517B4C" w:rsidP="00517B4C">
      <w:pPr>
        <w:ind w:left="360"/>
        <w:contextualSpacing/>
        <w:jc w:val="both"/>
        <w:rPr>
          <w:rFonts w:cs="Times New Roman"/>
        </w:rPr>
      </w:pPr>
    </w:p>
    <w:p w14:paraId="575268EA" w14:textId="77777777" w:rsidR="00517B4C" w:rsidRPr="00517B4C" w:rsidRDefault="00517B4C" w:rsidP="00517B4C">
      <w:pPr>
        <w:numPr>
          <w:ilvl w:val="0"/>
          <w:numId w:val="56"/>
        </w:numPr>
        <w:contextualSpacing/>
        <w:jc w:val="both"/>
        <w:rPr>
          <w:rFonts w:cs="Times New Roman"/>
        </w:rPr>
      </w:pPr>
      <w:r w:rsidRPr="00A93CA7">
        <w:rPr>
          <w:rFonts w:cs="Times New Roman"/>
        </w:rPr>
        <w:t>Philippine, over the years, has put in place MSME policies to support productivity and entrepreneurship.</w:t>
      </w:r>
      <w:r w:rsidRPr="00517B4C">
        <w:rPr>
          <w:rFonts w:cs="Times New Roman"/>
        </w:rPr>
        <w:t xml:space="preserve"> </w:t>
      </w:r>
      <w:proofErr w:type="gramStart"/>
      <w:r w:rsidRPr="00517B4C">
        <w:rPr>
          <w:rFonts w:cs="Times New Roman"/>
        </w:rPr>
        <w:t>Similar to</w:t>
      </w:r>
      <w:proofErr w:type="gramEnd"/>
      <w:r w:rsidRPr="00517B4C">
        <w:rPr>
          <w:rFonts w:cs="Times New Roman"/>
        </w:rPr>
        <w:t xml:space="preserve"> many countries, the </w:t>
      </w:r>
      <w:proofErr w:type="spellStart"/>
      <w:r w:rsidRPr="00517B4C">
        <w:rPr>
          <w:rFonts w:cs="Times New Roman"/>
        </w:rPr>
        <w:t>GoP</w:t>
      </w:r>
      <w:proofErr w:type="spellEnd"/>
      <w:r w:rsidRPr="00517B4C">
        <w:rPr>
          <w:rFonts w:cs="Times New Roman"/>
        </w:rPr>
        <w:t xml:space="preserve"> has established a plethora of policies and initiatives - across multiple agencies to support MSMEs.  Significant public resources are invested to design and deliver policy interventions across firm life cycle, as the early stage entrepreneurs may face very different needs than firms at a later stage of maturity. This in turn affects the specific policy instruments to support enterprises. </w:t>
      </w:r>
    </w:p>
    <w:p w14:paraId="0F8FC5A8" w14:textId="77777777" w:rsidR="00517B4C" w:rsidRPr="00517B4C" w:rsidRDefault="00517B4C" w:rsidP="00517B4C">
      <w:pPr>
        <w:ind w:left="720"/>
        <w:contextualSpacing/>
        <w:jc w:val="both"/>
        <w:rPr>
          <w:rFonts w:cs="Times New Roman"/>
        </w:rPr>
      </w:pPr>
    </w:p>
    <w:p w14:paraId="10C6AD93" w14:textId="14F462E7" w:rsidR="00693B17" w:rsidRDefault="00517B4C" w:rsidP="00693B17">
      <w:pPr>
        <w:numPr>
          <w:ilvl w:val="0"/>
          <w:numId w:val="56"/>
        </w:numPr>
        <w:contextualSpacing/>
        <w:jc w:val="both"/>
        <w:rPr>
          <w:rFonts w:cs="Times New Roman"/>
        </w:rPr>
      </w:pPr>
      <w:r w:rsidRPr="00517B4C">
        <w:rPr>
          <w:rFonts w:cs="Times New Roman"/>
          <w:b/>
        </w:rPr>
        <w:t xml:space="preserve">A key and recurring concern for policymakers is to ensure that the MSME policy initiatives are responding to the changing MSMEs’ needs as well as remain aligned to </w:t>
      </w:r>
      <w:proofErr w:type="spellStart"/>
      <w:r w:rsidRPr="00517B4C">
        <w:rPr>
          <w:rFonts w:cs="Times New Roman"/>
          <w:b/>
        </w:rPr>
        <w:t>GoP’s</w:t>
      </w:r>
      <w:proofErr w:type="spellEnd"/>
      <w:r w:rsidRPr="00517B4C">
        <w:rPr>
          <w:rFonts w:cs="Times New Roman"/>
          <w:b/>
        </w:rPr>
        <w:t xml:space="preserve"> strategic priorities.</w:t>
      </w:r>
      <w:r w:rsidRPr="00517B4C">
        <w:rPr>
          <w:rFonts w:cs="Times New Roman"/>
        </w:rPr>
        <w:t xml:space="preserve"> The report, in addressing this concern, focused on the following set of questions. Is the overall MSME policy framework anchored in government priorities, as articulated in the overall development strategies? What are the demand side constraints and market failures that contribute to low productivity in MSMEs as well as constrain firm entry in the Philippines? Are there any weaknesses or gaps in the ecosystem for entrepreneurship? Are the current set of policy instruments aligned to the needs of MSMEs? Are there any challenges in the design and implementation of policies?</w:t>
      </w:r>
    </w:p>
    <w:p w14:paraId="7E83077D" w14:textId="77777777" w:rsidR="00693B17" w:rsidRPr="00693B17" w:rsidRDefault="00693B17" w:rsidP="00693B17">
      <w:pPr>
        <w:ind w:left="360"/>
        <w:contextualSpacing/>
        <w:jc w:val="both"/>
        <w:rPr>
          <w:rFonts w:cs="Times New Roman"/>
        </w:rPr>
      </w:pPr>
    </w:p>
    <w:p w14:paraId="44EDCA8D" w14:textId="7948FC84" w:rsidR="00517B4C" w:rsidRPr="006762B8" w:rsidRDefault="00517B4C" w:rsidP="006762B8">
      <w:pPr>
        <w:pStyle w:val="ListParagraph"/>
        <w:numPr>
          <w:ilvl w:val="0"/>
          <w:numId w:val="56"/>
        </w:numPr>
        <w:jc w:val="both"/>
        <w:rPr>
          <w:rFonts w:cs="Times New Roman"/>
        </w:rPr>
      </w:pPr>
      <w:r w:rsidRPr="006762B8">
        <w:rPr>
          <w:rFonts w:cs="Times New Roman"/>
          <w:b/>
        </w:rPr>
        <w:t xml:space="preserve">In undertaking the analysis, the report adopts an integrated demand and supply approach. </w:t>
      </w:r>
      <w:r w:rsidRPr="006762B8">
        <w:rPr>
          <w:rFonts w:cs="Times New Roman"/>
        </w:rPr>
        <w:t xml:space="preserve">On the demand side, the analytical framework first examines the drivers behind firm productivity to shed light on the factors that constrain MSMEs and new entrants in the Philippines. </w:t>
      </w:r>
      <w:r w:rsidR="006762B8" w:rsidRPr="006762B8">
        <w:rPr>
          <w:rFonts w:cs="Times New Roman"/>
        </w:rPr>
        <w:t xml:space="preserve">To assess the supply of policies and how they align with the needs of the MSMEs, the report deploys the Policy effectiveness review (PER) methodology developed by the World Bank. After presenting the overarching policy framework for MSMEs and entrepreneurship and the priorities set by the </w:t>
      </w:r>
      <w:proofErr w:type="spellStart"/>
      <w:r w:rsidR="006762B8" w:rsidRPr="006762B8">
        <w:rPr>
          <w:rFonts w:cs="Times New Roman"/>
        </w:rPr>
        <w:t>GoP</w:t>
      </w:r>
      <w:proofErr w:type="spellEnd"/>
      <w:r w:rsidR="006762B8" w:rsidRPr="006762B8">
        <w:rPr>
          <w:rFonts w:cs="Times New Roman"/>
        </w:rPr>
        <w:t xml:space="preserve">, the PER focuses on the MSME programs currently in place under the preview of the Department of Trade and Industry (DTI), and the Department of Science and Technology (DOST).  The first component of the PER undertakes a policy mix analysis to assess if the current policy framework for entrepreneurship and MSMEs is in line with government priorities as well as the needs of the MSMEs. The focus is on the alignment between programs and outcomes. Thereafter, the functional review undertakes a detailed analysis of the design and implementation of selected programs under DTI and DOST. Based on the above analysis, key findings are presented along with a menu of policy options for strengthening the effectiveness of MSMEs and entrepreneurship policies. </w:t>
      </w:r>
    </w:p>
    <w:p w14:paraId="21D456EC" w14:textId="77777777" w:rsidR="009967FD" w:rsidRPr="009967FD" w:rsidRDefault="009967FD" w:rsidP="006762B8">
      <w:pPr>
        <w:ind w:left="360"/>
        <w:contextualSpacing/>
        <w:jc w:val="both"/>
        <w:rPr>
          <w:rFonts w:cs="Times New Roman"/>
        </w:rPr>
      </w:pPr>
    </w:p>
    <w:p w14:paraId="4215AC2F" w14:textId="2D6BB9BF" w:rsidR="00517B4C" w:rsidRPr="00517B4C" w:rsidRDefault="00544EE7" w:rsidP="00517B4C">
      <w:pPr>
        <w:ind w:left="360"/>
        <w:contextualSpacing/>
        <w:jc w:val="both"/>
        <w:rPr>
          <w:rFonts w:cs="Times New Roman"/>
          <w:b/>
          <w:color w:val="002060"/>
          <w:sz w:val="24"/>
          <w:szCs w:val="24"/>
        </w:rPr>
      </w:pPr>
      <w:r w:rsidRPr="00517B4C">
        <w:rPr>
          <w:rFonts w:cs="Times New Roman"/>
          <w:b/>
          <w:color w:val="002060"/>
          <w:sz w:val="24"/>
          <w:szCs w:val="24"/>
        </w:rPr>
        <w:t>SUMMARY FINDINGS</w:t>
      </w:r>
    </w:p>
    <w:p w14:paraId="547B5D64" w14:textId="77777777" w:rsidR="00517B4C" w:rsidRPr="00517B4C" w:rsidRDefault="00517B4C" w:rsidP="00517B4C">
      <w:pPr>
        <w:ind w:left="360"/>
        <w:contextualSpacing/>
        <w:jc w:val="both"/>
        <w:rPr>
          <w:rFonts w:cs="Times New Roman"/>
          <w:b/>
          <w:color w:val="0070C0"/>
        </w:rPr>
      </w:pPr>
    </w:p>
    <w:p w14:paraId="3B8CD0B9" w14:textId="536182F2" w:rsidR="0066354A" w:rsidRPr="00814700" w:rsidRDefault="00DD5F7D" w:rsidP="00517B4C">
      <w:pPr>
        <w:ind w:left="360"/>
        <w:contextualSpacing/>
        <w:jc w:val="both"/>
        <w:rPr>
          <w:rFonts w:cs="Times New Roman"/>
          <w:i/>
          <w:color w:val="002060"/>
        </w:rPr>
      </w:pPr>
      <w:r w:rsidRPr="006762B8">
        <w:rPr>
          <w:rFonts w:cs="Times New Roman"/>
          <w:i/>
          <w:color w:val="002060"/>
        </w:rPr>
        <w:t>Demand analysis</w:t>
      </w:r>
    </w:p>
    <w:p w14:paraId="73EFDBAA" w14:textId="418EF209" w:rsidR="0066354A" w:rsidRPr="00814700" w:rsidRDefault="0066354A" w:rsidP="0066354A">
      <w:pPr>
        <w:pStyle w:val="ListParagraph"/>
        <w:numPr>
          <w:ilvl w:val="0"/>
          <w:numId w:val="48"/>
        </w:numPr>
        <w:jc w:val="both"/>
        <w:rPr>
          <w:rFonts w:cs="Times New Roman"/>
        </w:rPr>
      </w:pPr>
      <w:r w:rsidRPr="00814700">
        <w:rPr>
          <w:rFonts w:cs="Times New Roman"/>
        </w:rPr>
        <w:t>The demand side analysis focuses on two channels of productivity growth i.e. upgrading of existing MSMEs and entry of new firms. In doing so, it analyzes the external environment and internal firm level constraints that MSMEs face. The external factors that are outside the control of individual firms pertain to government policies that affect the operating environment of the firms (i.e. resolving market failures, removing distortions, and opening to trade) as well as other market conditions that affect complementary factors (i.e. access to finance, skills and infrastructure etc.). Internal firm level factors relate to entrepreneurial and managerial capabilities and technology adoption/innovation which are considered central for raising productivity.</w:t>
      </w:r>
    </w:p>
    <w:p w14:paraId="4ABD0E9E" w14:textId="51E69106" w:rsidR="003D44FF" w:rsidRDefault="00517B4C" w:rsidP="00041EC5">
      <w:pPr>
        <w:numPr>
          <w:ilvl w:val="0"/>
          <w:numId w:val="48"/>
        </w:numPr>
        <w:contextualSpacing/>
        <w:jc w:val="both"/>
        <w:rPr>
          <w:rFonts w:cs="Times New Roman"/>
        </w:rPr>
      </w:pPr>
      <w:r w:rsidRPr="00814700">
        <w:rPr>
          <w:rFonts w:cs="Times New Roman"/>
        </w:rPr>
        <w:t xml:space="preserve">There are multiple constraints that hinder productivity of MSMEs and entrepreneurship in the Philippines. </w:t>
      </w:r>
      <w:r w:rsidR="001475B6" w:rsidRPr="00814700">
        <w:rPr>
          <w:rFonts w:cs="Times New Roman"/>
        </w:rPr>
        <w:t>Building</w:t>
      </w:r>
      <w:r w:rsidR="001475B6" w:rsidRPr="001F79AB">
        <w:rPr>
          <w:rFonts w:cs="Times New Roman"/>
        </w:rPr>
        <w:t xml:space="preserve"> on recent </w:t>
      </w:r>
      <w:r w:rsidRPr="001F79AB">
        <w:rPr>
          <w:rFonts w:cs="Times New Roman"/>
        </w:rPr>
        <w:t xml:space="preserve">work on productivity in the Philippines </w:t>
      </w:r>
      <w:r w:rsidR="00041EC5">
        <w:rPr>
          <w:rFonts w:cs="Times New Roman"/>
        </w:rPr>
        <w:t>we find that the e</w:t>
      </w:r>
      <w:r w:rsidR="00D245FC" w:rsidRPr="00041EC5">
        <w:rPr>
          <w:rFonts w:cs="Times New Roman"/>
        </w:rPr>
        <w:t xml:space="preserve">xternal </w:t>
      </w:r>
      <w:r w:rsidR="007D43B4" w:rsidRPr="00041EC5">
        <w:rPr>
          <w:rFonts w:cs="Times New Roman"/>
        </w:rPr>
        <w:t xml:space="preserve">constraints that influence productivity and entrepreneurship include </w:t>
      </w:r>
      <w:r w:rsidR="00255F54" w:rsidRPr="00041EC5">
        <w:rPr>
          <w:rFonts w:cs="Times New Roman"/>
        </w:rPr>
        <w:t>high costs of doing business as well as establishing a new business; regula</w:t>
      </w:r>
      <w:r w:rsidR="00E075B8">
        <w:rPr>
          <w:rFonts w:cs="Times New Roman"/>
        </w:rPr>
        <w:t>tory</w:t>
      </w:r>
      <w:r w:rsidR="00255F54" w:rsidRPr="00041EC5">
        <w:rPr>
          <w:rFonts w:cs="Times New Roman"/>
        </w:rPr>
        <w:t xml:space="preserve"> barrier</w:t>
      </w:r>
      <w:r w:rsidR="00E075B8">
        <w:rPr>
          <w:rFonts w:cs="Times New Roman"/>
        </w:rPr>
        <w:t xml:space="preserve">s that </w:t>
      </w:r>
      <w:r w:rsidR="00255F54" w:rsidRPr="00041EC5">
        <w:rPr>
          <w:rFonts w:cs="Times New Roman"/>
        </w:rPr>
        <w:t>dampen market conditions; high trade costs which reduce</w:t>
      </w:r>
      <w:r w:rsidR="003D44FF">
        <w:rPr>
          <w:rFonts w:cs="Times New Roman"/>
        </w:rPr>
        <w:t>s</w:t>
      </w:r>
      <w:r w:rsidR="00255F54" w:rsidRPr="00041EC5">
        <w:rPr>
          <w:rFonts w:cs="Times New Roman"/>
        </w:rPr>
        <w:t xml:space="preserve"> opportunities for MSMEs to access larger markets environment</w:t>
      </w:r>
      <w:r w:rsidR="00E075B8">
        <w:rPr>
          <w:rFonts w:cs="Times New Roman"/>
        </w:rPr>
        <w:t xml:space="preserve">, along </w:t>
      </w:r>
      <w:proofErr w:type="gramStart"/>
      <w:r w:rsidR="00E075B8">
        <w:rPr>
          <w:rFonts w:cs="Times New Roman"/>
        </w:rPr>
        <w:t xml:space="preserve">with </w:t>
      </w:r>
      <w:r w:rsidR="00255F54" w:rsidRPr="00041EC5">
        <w:rPr>
          <w:rFonts w:cs="Times New Roman"/>
        </w:rPr>
        <w:t xml:space="preserve"> other</w:t>
      </w:r>
      <w:proofErr w:type="gramEnd"/>
      <w:r w:rsidR="00255F54" w:rsidRPr="00041EC5">
        <w:rPr>
          <w:rFonts w:cs="Times New Roman"/>
        </w:rPr>
        <w:t xml:space="preserve"> regulatory distortions in labor regulations and taxation. There are also missing or weak complementarities </w:t>
      </w:r>
      <w:proofErr w:type="gramStart"/>
      <w:r w:rsidR="00255F54" w:rsidRPr="00041EC5">
        <w:rPr>
          <w:rFonts w:cs="Times New Roman"/>
        </w:rPr>
        <w:t>in the area of</w:t>
      </w:r>
      <w:proofErr w:type="gramEnd"/>
      <w:r w:rsidR="00255F54" w:rsidRPr="00041EC5">
        <w:rPr>
          <w:rFonts w:cs="Times New Roman"/>
        </w:rPr>
        <w:t xml:space="preserve"> finance and skills. Lastly, internal </w:t>
      </w:r>
      <w:r w:rsidR="00904EFC">
        <w:rPr>
          <w:rFonts w:cs="Times New Roman"/>
        </w:rPr>
        <w:t xml:space="preserve">firm </w:t>
      </w:r>
      <w:r w:rsidR="00255F54" w:rsidRPr="00041EC5">
        <w:rPr>
          <w:rFonts w:cs="Times New Roman"/>
        </w:rPr>
        <w:t>factors –</w:t>
      </w:r>
      <w:r w:rsidR="00904EFC">
        <w:rPr>
          <w:rFonts w:cs="Times New Roman"/>
        </w:rPr>
        <w:t xml:space="preserve">that include </w:t>
      </w:r>
      <w:r w:rsidR="00255F54" w:rsidRPr="00041EC5">
        <w:rPr>
          <w:rFonts w:cs="Times New Roman"/>
        </w:rPr>
        <w:t xml:space="preserve">weak internal capabilities, </w:t>
      </w:r>
      <w:r w:rsidR="00904EFC">
        <w:rPr>
          <w:rFonts w:cs="Times New Roman"/>
        </w:rPr>
        <w:t xml:space="preserve">dearth of right mix of </w:t>
      </w:r>
      <w:r w:rsidR="00255F54" w:rsidRPr="00041EC5">
        <w:rPr>
          <w:rFonts w:cs="Times New Roman"/>
        </w:rPr>
        <w:t xml:space="preserve">human capital and skills </w:t>
      </w:r>
      <w:r w:rsidR="009626A2">
        <w:rPr>
          <w:rFonts w:cs="Times New Roman"/>
        </w:rPr>
        <w:t xml:space="preserve">discourage </w:t>
      </w:r>
      <w:r w:rsidR="00223CA4">
        <w:rPr>
          <w:rFonts w:cs="Times New Roman"/>
        </w:rPr>
        <w:t xml:space="preserve">innovation and </w:t>
      </w:r>
      <w:r w:rsidR="00255F54" w:rsidRPr="00041EC5">
        <w:rPr>
          <w:rFonts w:cs="Times New Roman"/>
        </w:rPr>
        <w:t>technology</w:t>
      </w:r>
      <w:r w:rsidR="00223CA4">
        <w:rPr>
          <w:rFonts w:cs="Times New Roman"/>
        </w:rPr>
        <w:t xml:space="preserve"> adoption </w:t>
      </w:r>
      <w:r w:rsidR="00255F54" w:rsidRPr="00041EC5">
        <w:rPr>
          <w:rFonts w:cs="Times New Roman"/>
        </w:rPr>
        <w:t xml:space="preserve">prospects </w:t>
      </w:r>
      <w:r w:rsidR="009626A2">
        <w:rPr>
          <w:rFonts w:cs="Times New Roman"/>
        </w:rPr>
        <w:t xml:space="preserve">for growth </w:t>
      </w:r>
      <w:r w:rsidR="00255F54" w:rsidRPr="00041EC5">
        <w:rPr>
          <w:rFonts w:cs="Times New Roman"/>
        </w:rPr>
        <w:t xml:space="preserve">of productivity. </w:t>
      </w:r>
    </w:p>
    <w:p w14:paraId="155673EA" w14:textId="77777777" w:rsidR="003D44FF" w:rsidRDefault="003D44FF" w:rsidP="003D44FF">
      <w:pPr>
        <w:ind w:left="360"/>
        <w:contextualSpacing/>
        <w:jc w:val="both"/>
        <w:rPr>
          <w:rFonts w:cs="Times New Roman"/>
        </w:rPr>
      </w:pPr>
    </w:p>
    <w:p w14:paraId="410A6B0F" w14:textId="3E407B0A" w:rsidR="00255F54" w:rsidRPr="00041EC5" w:rsidRDefault="00255F54" w:rsidP="00041EC5">
      <w:pPr>
        <w:numPr>
          <w:ilvl w:val="0"/>
          <w:numId w:val="48"/>
        </w:numPr>
        <w:contextualSpacing/>
        <w:jc w:val="both"/>
        <w:rPr>
          <w:rFonts w:cs="Times New Roman"/>
        </w:rPr>
      </w:pPr>
      <w:r w:rsidRPr="00041EC5">
        <w:rPr>
          <w:rFonts w:cs="Times New Roman"/>
        </w:rPr>
        <w:t xml:space="preserve">Remedial measures call for a combination of policy reforms and strengthening of programs for private sector to improve the operating environment of the firms (i.e. by resolving market failures, removing distortions) and within-firm performance (i.e. by building skills and managerial capabilities, technology adoption), as well as entry of new firms. </w:t>
      </w:r>
    </w:p>
    <w:p w14:paraId="3CEB5D8F" w14:textId="77777777" w:rsidR="00517B4C" w:rsidRPr="00517B4C" w:rsidRDefault="00517B4C" w:rsidP="00517B4C">
      <w:pPr>
        <w:ind w:left="360"/>
        <w:contextualSpacing/>
        <w:jc w:val="both"/>
        <w:rPr>
          <w:rFonts w:cs="Times New Roman"/>
        </w:rPr>
      </w:pPr>
    </w:p>
    <w:p w14:paraId="6CD93C02" w14:textId="45E1CD4F" w:rsidR="0097128E" w:rsidRDefault="00517B4C" w:rsidP="0097128E">
      <w:pPr>
        <w:numPr>
          <w:ilvl w:val="0"/>
          <w:numId w:val="48"/>
        </w:numPr>
        <w:contextualSpacing/>
        <w:jc w:val="both"/>
        <w:rPr>
          <w:rFonts w:cs="Times New Roman"/>
        </w:rPr>
      </w:pPr>
      <w:r w:rsidRPr="00814700">
        <w:rPr>
          <w:rFonts w:cs="Times New Roman"/>
          <w:bCs/>
        </w:rPr>
        <w:t>Improving competition to allow MSMEs to enter the market will be key to improving quality of jobs.</w:t>
      </w:r>
      <w:r w:rsidRPr="00517B4C">
        <w:rPr>
          <w:rFonts w:cs="Times New Roman"/>
          <w:bCs/>
        </w:rPr>
        <w:t xml:space="preserve"> New MSMEs are critical in creating new jobs as most net job creation comes from new firms. However, firm birth rates are low in the Philippines as </w:t>
      </w:r>
      <w:r w:rsidRPr="00517B4C">
        <w:rPr>
          <w:rFonts w:cs="Times New Roman"/>
        </w:rPr>
        <w:t>entrepreneurs are discouraged by complex regulations, including those that protect incumbents. In this context, the implementation of the recently enacted Ease of Doing Business Act could improve competition by streamlining and automating all government permit processes and extending their validity beyond one year. This would reduce the cost of doing business, such as non-tariff measures, which will make it cheaper to trade. Increasing competition will also require the Philippine Competition Commission to complete enforcement rulings on companies engaged in anti-competitive behavior to increase market competition.</w:t>
      </w:r>
      <w:r w:rsidR="000D38A9">
        <w:rPr>
          <w:rFonts w:cs="Times New Roman"/>
        </w:rPr>
        <w:t xml:space="preserve"> </w:t>
      </w:r>
      <w:r w:rsidRPr="000D38A9">
        <w:rPr>
          <w:rFonts w:cs="Times New Roman"/>
        </w:rPr>
        <w:t>Also, investing in human capital will encourage</w:t>
      </w:r>
      <w:r w:rsidR="0097128E">
        <w:rPr>
          <w:rFonts w:cs="Times New Roman"/>
        </w:rPr>
        <w:t xml:space="preserve"> productivity.</w:t>
      </w:r>
    </w:p>
    <w:p w14:paraId="028E1A7B" w14:textId="77777777" w:rsidR="006E6807" w:rsidRPr="006E6807" w:rsidRDefault="006E6807" w:rsidP="006E6807">
      <w:pPr>
        <w:ind w:left="360"/>
        <w:contextualSpacing/>
        <w:jc w:val="both"/>
        <w:rPr>
          <w:rFonts w:cs="Times New Roman"/>
        </w:rPr>
      </w:pPr>
    </w:p>
    <w:p w14:paraId="076B7BB6" w14:textId="13885A4B" w:rsidR="00517B4C" w:rsidRPr="00517B4C" w:rsidRDefault="00517B4C" w:rsidP="00517B4C">
      <w:pPr>
        <w:numPr>
          <w:ilvl w:val="0"/>
          <w:numId w:val="48"/>
        </w:numPr>
        <w:contextualSpacing/>
        <w:jc w:val="both"/>
        <w:rPr>
          <w:rFonts w:cs="Times New Roman"/>
          <w:b/>
        </w:rPr>
      </w:pPr>
      <w:r w:rsidRPr="00517B4C">
        <w:rPr>
          <w:rFonts w:cs="Times New Roman"/>
        </w:rPr>
        <w:t xml:space="preserve">Human capital is the major constraint faced in the digital economy, forcing many digital entrepreneurs to import talent. The government needs to improve curriculum, forge ties with industry to improve the relevance, quality, and attractiveness of STEM and TVET, and carefully monitor progress in its bold reform plans. The government can improve access to finance, especially at the growth stage, by making the country regulatory environment friendlier to investment and encouraging venture capital firms to reside and specialize in the country. The government can solve problems </w:t>
      </w:r>
      <w:proofErr w:type="gramStart"/>
      <w:r w:rsidRPr="00517B4C">
        <w:rPr>
          <w:rFonts w:cs="Times New Roman"/>
        </w:rPr>
        <w:t>particular to</w:t>
      </w:r>
      <w:proofErr w:type="gramEnd"/>
      <w:r w:rsidRPr="00517B4C">
        <w:rPr>
          <w:rFonts w:cs="Times New Roman"/>
        </w:rPr>
        <w:t xml:space="preserve"> digital entrepreneurship by providing incentives for digital payments and promoting transparency and open data through a right to information law. Some of these issues should be addressed immediately; others may take many years to get right. Ultimately, more space needs to be made for the private sector to thrive if digital entrepreneurship is going to meet its promise of driving Philippine’s growth to high-income status. </w:t>
      </w:r>
    </w:p>
    <w:p w14:paraId="41759E41" w14:textId="77777777" w:rsidR="00517B4C" w:rsidRPr="00517B4C" w:rsidRDefault="00517B4C" w:rsidP="00517B4C">
      <w:pPr>
        <w:ind w:left="360"/>
        <w:contextualSpacing/>
        <w:jc w:val="both"/>
        <w:rPr>
          <w:rFonts w:cs="Times New Roman"/>
        </w:rPr>
      </w:pPr>
    </w:p>
    <w:p w14:paraId="5844F2BD" w14:textId="311D223A" w:rsidR="00517B4C" w:rsidRPr="00517B4C" w:rsidRDefault="00517B4C" w:rsidP="00517B4C">
      <w:pPr>
        <w:ind w:left="360"/>
        <w:contextualSpacing/>
        <w:jc w:val="both"/>
        <w:rPr>
          <w:rFonts w:cs="Times New Roman"/>
          <w:i/>
          <w:color w:val="0070C0"/>
        </w:rPr>
      </w:pPr>
      <w:r w:rsidRPr="00517B4C">
        <w:rPr>
          <w:rFonts w:cs="Times New Roman"/>
          <w:i/>
          <w:color w:val="0070C0"/>
        </w:rPr>
        <w:t xml:space="preserve">Supply side analysis </w:t>
      </w:r>
    </w:p>
    <w:p w14:paraId="57550A96" w14:textId="147C6FB3" w:rsidR="00517B4C" w:rsidRPr="00517B4C" w:rsidRDefault="00517B4C" w:rsidP="00517B4C">
      <w:pPr>
        <w:ind w:left="360"/>
        <w:contextualSpacing/>
        <w:jc w:val="both"/>
        <w:rPr>
          <w:rFonts w:ascii="Times" w:hAnsi="Times" w:cs="Times New Roman"/>
        </w:rPr>
      </w:pPr>
    </w:p>
    <w:p w14:paraId="46107721" w14:textId="115FD35E" w:rsidR="00FC037B" w:rsidRPr="00814700" w:rsidRDefault="00A50FA3" w:rsidP="00FC037B">
      <w:pPr>
        <w:pStyle w:val="ListParagraph"/>
        <w:numPr>
          <w:ilvl w:val="0"/>
          <w:numId w:val="48"/>
        </w:numPr>
        <w:jc w:val="both"/>
        <w:rPr>
          <w:rFonts w:ascii="Times" w:hAnsi="Times" w:cs="Times New Roman"/>
          <w:b/>
        </w:rPr>
      </w:pPr>
      <w:r w:rsidRPr="00814700">
        <w:rPr>
          <w:rFonts w:ascii="Times" w:hAnsi="Times" w:cs="Times New Roman"/>
        </w:rPr>
        <w:t>The success of government in addressing productivity constraints depend on how policies and program level interventions are designed and implemented.</w:t>
      </w:r>
      <w:r w:rsidRPr="00A50FA3">
        <w:rPr>
          <w:rFonts w:ascii="Times" w:hAnsi="Times" w:cs="Times New Roman"/>
          <w:b/>
        </w:rPr>
        <w:t xml:space="preserve"> </w:t>
      </w:r>
      <w:r w:rsidR="00517B4C" w:rsidRPr="00A50FA3">
        <w:rPr>
          <w:rFonts w:ascii="Times" w:hAnsi="Times" w:cs="Times New Roman"/>
        </w:rPr>
        <w:t xml:space="preserve">The PER analysis suggests that there is room for improvement in the policy mix to strengthen their coherence with the objective of </w:t>
      </w:r>
      <w:r w:rsidR="00743CF2">
        <w:rPr>
          <w:rFonts w:ascii="Times" w:hAnsi="Times" w:cs="Times New Roman"/>
        </w:rPr>
        <w:t>M</w:t>
      </w:r>
      <w:r w:rsidR="00517B4C" w:rsidRPr="00A50FA3">
        <w:rPr>
          <w:rFonts w:ascii="Times" w:hAnsi="Times" w:cs="Times New Roman"/>
        </w:rPr>
        <w:t xml:space="preserve">SME productivity growth.  The </w:t>
      </w:r>
      <w:r w:rsidR="00743CF2">
        <w:rPr>
          <w:rFonts w:ascii="Times" w:hAnsi="Times" w:cs="Times New Roman"/>
        </w:rPr>
        <w:t>M</w:t>
      </w:r>
      <w:r w:rsidR="00517B4C" w:rsidRPr="00A50FA3">
        <w:rPr>
          <w:rFonts w:ascii="Times" w:hAnsi="Times" w:cs="Times New Roman"/>
        </w:rPr>
        <w:t xml:space="preserve">SME support programs are the vehicle to deliver on the aspirations articulated in the latest MSME Development Plan. The analysis provides some recommendations to improve the quality of the innovation and SME policy mix and improve its efficiency and effectiveness. </w:t>
      </w:r>
    </w:p>
    <w:p w14:paraId="243C665C" w14:textId="77777777" w:rsidR="00814700" w:rsidRPr="00743CF2" w:rsidRDefault="00814700" w:rsidP="00814700">
      <w:pPr>
        <w:pStyle w:val="ListParagraph"/>
        <w:ind w:left="360"/>
        <w:jc w:val="both"/>
        <w:rPr>
          <w:rFonts w:ascii="Times" w:hAnsi="Times" w:cs="Times New Roman"/>
          <w:b/>
        </w:rPr>
      </w:pPr>
    </w:p>
    <w:p w14:paraId="6EAECC44" w14:textId="42DF3AEC" w:rsidR="00771CAC" w:rsidRPr="00771CAC" w:rsidRDefault="00517B4C" w:rsidP="00771CAC">
      <w:pPr>
        <w:pStyle w:val="ListParagraph"/>
        <w:numPr>
          <w:ilvl w:val="0"/>
          <w:numId w:val="48"/>
        </w:numPr>
        <w:jc w:val="both"/>
        <w:rPr>
          <w:rFonts w:ascii="Times" w:hAnsi="Times" w:cs="Times New Roman"/>
        </w:rPr>
      </w:pPr>
      <w:r w:rsidRPr="00771CAC">
        <w:rPr>
          <w:rFonts w:ascii="Times" w:hAnsi="Times" w:cs="Times New Roman"/>
        </w:rPr>
        <w:t>MSMED Plan 2017-2022 lays out 4 clear priorities for the MSMEs</w:t>
      </w:r>
      <w:r w:rsidRPr="00771CAC">
        <w:rPr>
          <w:rFonts w:asciiTheme="minorHAnsi" w:hAnsiTheme="minorHAnsi"/>
        </w:rPr>
        <w:t xml:space="preserve"> </w:t>
      </w:r>
      <w:r w:rsidRPr="00771CAC">
        <w:rPr>
          <w:rFonts w:ascii="Times" w:hAnsi="Times" w:cs="Times New Roman"/>
        </w:rPr>
        <w:t>entry and formalization; export and innovation, firm upgrading and technology adoption.</w:t>
      </w:r>
      <w:r w:rsidR="00771CAC" w:rsidRPr="00771CAC">
        <w:t xml:space="preserve"> </w:t>
      </w:r>
      <w:r w:rsidR="00771CAC" w:rsidRPr="00771CAC">
        <w:rPr>
          <w:rFonts w:ascii="Times" w:hAnsi="Times" w:cs="Times New Roman"/>
        </w:rPr>
        <w:t>The analysis confirmed the presence of programs that respond to the key priorities stated in the most current MSME Development Plan. However, the relative allocation of funding to specific goals, target beneficiaries and instruments do not fully match the key challenges with full equivalence. We found that while the MSME Development Plan placed increased importance of market access and innovation financing, resources allocated in achieving these goals seem insufficient. Furthermore, the targeting of collaborative groups of firms and other organizations was practically non-existent, representing less than 1 percent of the value share of the portfolio. All these outcomes were relatively underrepresented in the policy portfolio.</w:t>
      </w:r>
    </w:p>
    <w:p w14:paraId="420E2BEB" w14:textId="198F4E8B" w:rsidR="00517B4C" w:rsidRPr="00517B4C" w:rsidRDefault="00443F59" w:rsidP="00517B4C">
      <w:pPr>
        <w:numPr>
          <w:ilvl w:val="0"/>
          <w:numId w:val="48"/>
        </w:numPr>
        <w:contextualSpacing/>
        <w:jc w:val="both"/>
        <w:rPr>
          <w:rFonts w:ascii="Times" w:hAnsi="Times" w:cs="Times New Roman"/>
        </w:rPr>
      </w:pPr>
      <w:r>
        <w:rPr>
          <w:rFonts w:ascii="Times" w:hAnsi="Times" w:cs="Times New Roman"/>
        </w:rPr>
        <w:t>The</w:t>
      </w:r>
      <w:r w:rsidR="00517B4C" w:rsidRPr="00517B4C">
        <w:rPr>
          <w:rFonts w:ascii="Times" w:hAnsi="Times" w:cs="Times New Roman"/>
        </w:rPr>
        <w:t xml:space="preserve"> overall level of expenditure seems insufficient to meet the ambitious strategic goals and impact, but before increasing expenditure, </w:t>
      </w:r>
      <w:proofErr w:type="spellStart"/>
      <w:r w:rsidR="00517B4C" w:rsidRPr="00517B4C">
        <w:rPr>
          <w:rFonts w:ascii="Times" w:hAnsi="Times" w:cs="Times New Roman"/>
        </w:rPr>
        <w:t>GoP</w:t>
      </w:r>
      <w:proofErr w:type="spellEnd"/>
      <w:r w:rsidR="00517B4C" w:rsidRPr="00517B4C">
        <w:rPr>
          <w:rFonts w:ascii="Times" w:hAnsi="Times" w:cs="Times New Roman"/>
        </w:rPr>
        <w:t xml:space="preserve"> must change the focus towards addressing productivity and market failures, rather than on the size of beneficiaries.  It is important to recognize that the enterprise development track (EDT), under the </w:t>
      </w:r>
      <w:bookmarkStart w:id="7" w:name="_Hlk12421028"/>
      <w:r w:rsidR="00517B4C" w:rsidRPr="00517B4C">
        <w:rPr>
          <w:rFonts w:ascii="Times" w:hAnsi="Times" w:cs="Times New Roman"/>
        </w:rPr>
        <w:t>MSMED Plan 2017-2022</w:t>
      </w:r>
      <w:bookmarkEnd w:id="7"/>
      <w:r w:rsidR="00517B4C" w:rsidRPr="00517B4C">
        <w:rPr>
          <w:rFonts w:ascii="Times" w:hAnsi="Times" w:cs="Times New Roman"/>
        </w:rPr>
        <w:t>, present useful frameworks to organize the myriad of DTI interventions supporting SMEs along their business cycle. While in theory the EDT promises to serve as a useful device to monitor the evolution of SMEs under support and along its sequential development stages, it is more likely to serve as a construct to balance the targeting efforts of beneficiaries from several programs and differentiate the supporting interventions. For example, the specification of the characteristics of beneficiaries at the different levels has contributed to the definition of clear eligibility criteria for participants. A simple plot of programs along the different stages suggest that the DTI policy portfolio for 2017 contain interventions that are relatively balanced along the EDT spectrum. Another conceptual construct that has assisted Filipino policy practitioners to balance interventions is the DTI’s 7Ms Way of Uplifting MSMEs. The framework provides a useful list of mutually exclusive elements that are likely to enable MSME development growth.</w:t>
      </w:r>
    </w:p>
    <w:p w14:paraId="34B7AD4A" w14:textId="77777777" w:rsidR="00517B4C" w:rsidRPr="00517B4C" w:rsidRDefault="00517B4C" w:rsidP="00517B4C">
      <w:pPr>
        <w:ind w:left="360"/>
        <w:contextualSpacing/>
        <w:jc w:val="both"/>
        <w:rPr>
          <w:rFonts w:ascii="Times" w:hAnsi="Times" w:cs="Times New Roman"/>
        </w:rPr>
      </w:pPr>
    </w:p>
    <w:p w14:paraId="057FBE56" w14:textId="77777777" w:rsidR="00517B4C" w:rsidRPr="00B14CAB" w:rsidRDefault="00517B4C" w:rsidP="00517B4C">
      <w:pPr>
        <w:numPr>
          <w:ilvl w:val="0"/>
          <w:numId w:val="48"/>
        </w:numPr>
        <w:contextualSpacing/>
        <w:jc w:val="both"/>
        <w:rPr>
          <w:rFonts w:ascii="Times" w:hAnsi="Times" w:cs="Times New Roman"/>
        </w:rPr>
      </w:pPr>
      <w:r w:rsidRPr="00517B4C">
        <w:rPr>
          <w:rFonts w:ascii="Times" w:hAnsi="Times" w:cs="Times New Roman"/>
        </w:rPr>
        <w:t xml:space="preserve">But focusing on some of these stages of firm growth, and more specifically on the size of firms, is too A narrow focus, and requires a renewed effort to focus on addressing market failures along clear objectives – e.g. entry and formalization; export and innovation, firm upgrading and technology adoption. This approach proved to be relatively underrepresented in the portfolio but feature prominently in the strategy and in our conclusions of technical demands for innovation policy support. </w:t>
      </w:r>
      <w:proofErr w:type="spellStart"/>
      <w:r w:rsidRPr="00B14CAB">
        <w:rPr>
          <w:rFonts w:ascii="Times" w:hAnsi="Times" w:cs="Times New Roman"/>
        </w:rPr>
        <w:t>GoP</w:t>
      </w:r>
      <w:proofErr w:type="spellEnd"/>
      <w:r w:rsidRPr="00B14CAB">
        <w:rPr>
          <w:rFonts w:ascii="Times" w:hAnsi="Times" w:cs="Times New Roman"/>
        </w:rPr>
        <w:t xml:space="preserve"> should reduce incoherencies in resource allocation e.g. business innovation, export promotion, and fully expand the use of early-stage instruments, programs that promote access to finance for innovation and collaborative instruments.  </w:t>
      </w:r>
    </w:p>
    <w:p w14:paraId="41701565" w14:textId="77777777" w:rsidR="00517B4C" w:rsidRPr="00517B4C" w:rsidRDefault="00517B4C" w:rsidP="00517B4C">
      <w:pPr>
        <w:ind w:left="360"/>
        <w:contextualSpacing/>
        <w:jc w:val="both"/>
        <w:rPr>
          <w:rFonts w:ascii="Times" w:hAnsi="Times" w:cs="Times New Roman"/>
        </w:rPr>
      </w:pPr>
    </w:p>
    <w:p w14:paraId="03F18DA6" w14:textId="77777777" w:rsidR="00517B4C" w:rsidRPr="00517B4C" w:rsidRDefault="00517B4C" w:rsidP="00517B4C">
      <w:pPr>
        <w:numPr>
          <w:ilvl w:val="0"/>
          <w:numId w:val="48"/>
        </w:numPr>
        <w:contextualSpacing/>
        <w:jc w:val="both"/>
        <w:rPr>
          <w:rFonts w:ascii="Times" w:hAnsi="Times" w:cs="Times New Roman"/>
        </w:rPr>
      </w:pPr>
      <w:r w:rsidRPr="00517B4C">
        <w:rPr>
          <w:rFonts w:ascii="Times" w:hAnsi="Times" w:cs="Times New Roman"/>
        </w:rPr>
        <w:t xml:space="preserve">Furthermore, </w:t>
      </w:r>
      <w:proofErr w:type="spellStart"/>
      <w:r w:rsidRPr="00517B4C">
        <w:rPr>
          <w:rFonts w:ascii="Times" w:hAnsi="Times" w:cs="Times New Roman"/>
        </w:rPr>
        <w:t>GoP</w:t>
      </w:r>
      <w:proofErr w:type="spellEnd"/>
      <w:r w:rsidRPr="00517B4C">
        <w:rPr>
          <w:rFonts w:ascii="Times" w:hAnsi="Times" w:cs="Times New Roman"/>
        </w:rPr>
        <w:t xml:space="preserve"> should investigate expanding policy instruments that can further increase the innovation rates among SMEs. The use of business advisory and technology extension are consistent with the need to address the lack of capabilities in SMEs to conduct innovation, which is one of the key priorities in the current MSME Development Plan. However, to promote knowledge spillovers, and addressing coordination failures between knowledge providers and firms, </w:t>
      </w:r>
      <w:proofErr w:type="spellStart"/>
      <w:r w:rsidRPr="00517B4C">
        <w:rPr>
          <w:rFonts w:ascii="Times" w:hAnsi="Times" w:cs="Times New Roman"/>
        </w:rPr>
        <w:t>GoP</w:t>
      </w:r>
      <w:proofErr w:type="spellEnd"/>
      <w:r w:rsidRPr="00517B4C">
        <w:rPr>
          <w:rFonts w:ascii="Times" w:hAnsi="Times" w:cs="Times New Roman"/>
        </w:rPr>
        <w:t xml:space="preserve"> could explore the use of vouchers for innovation and collaborative grants, which could complement the current focus on SME financing to address specific risk issues related to investing in innovation.</w:t>
      </w:r>
    </w:p>
    <w:p w14:paraId="64D3D77E" w14:textId="77777777" w:rsidR="00517B4C" w:rsidRPr="00517B4C" w:rsidRDefault="00517B4C" w:rsidP="00517B4C">
      <w:pPr>
        <w:ind w:left="360"/>
        <w:contextualSpacing/>
        <w:jc w:val="both"/>
        <w:rPr>
          <w:rFonts w:ascii="Times" w:hAnsi="Times" w:cs="Times New Roman"/>
        </w:rPr>
      </w:pPr>
    </w:p>
    <w:p w14:paraId="2DFEF3D6" w14:textId="77777777" w:rsidR="00517B4C" w:rsidRPr="00517B4C" w:rsidRDefault="00517B4C" w:rsidP="00517B4C">
      <w:pPr>
        <w:numPr>
          <w:ilvl w:val="0"/>
          <w:numId w:val="48"/>
        </w:numPr>
        <w:contextualSpacing/>
        <w:jc w:val="both"/>
        <w:rPr>
          <w:rFonts w:ascii="Times" w:hAnsi="Times" w:cs="Times New Roman"/>
        </w:rPr>
      </w:pPr>
      <w:r w:rsidRPr="00517B4C">
        <w:rPr>
          <w:rFonts w:ascii="Times" w:hAnsi="Times" w:cs="Times New Roman"/>
        </w:rPr>
        <w:t xml:space="preserve">The policy mix provides a limited set of programs that address improved market access despite the importance placed on this goal in the MSME Development Plan. Considering the international trade partnerships such as the ASEAN Common Market and the APEC partnership, the plan also makes references to SME specific ASEAN and APEC related </w:t>
      </w:r>
      <w:proofErr w:type="gramStart"/>
      <w:r w:rsidRPr="00517B4C">
        <w:rPr>
          <w:rFonts w:ascii="Times" w:hAnsi="Times" w:cs="Times New Roman"/>
        </w:rPr>
        <w:t>strategies .</w:t>
      </w:r>
      <w:proofErr w:type="gramEnd"/>
      <w:r w:rsidRPr="00517B4C">
        <w:rPr>
          <w:rFonts w:ascii="Times" w:hAnsi="Times" w:cs="Times New Roman"/>
        </w:rPr>
        <w:t xml:space="preserve"> Notably, the </w:t>
      </w:r>
      <w:proofErr w:type="spellStart"/>
      <w:r w:rsidRPr="00517B4C">
        <w:rPr>
          <w:rFonts w:ascii="Times" w:hAnsi="Times" w:cs="Times New Roman"/>
        </w:rPr>
        <w:t>Kapatid</w:t>
      </w:r>
      <w:proofErr w:type="spellEnd"/>
      <w:r w:rsidRPr="00517B4C">
        <w:rPr>
          <w:rFonts w:ascii="Times" w:hAnsi="Times" w:cs="Times New Roman"/>
        </w:rPr>
        <w:t xml:space="preserve">: </w:t>
      </w:r>
      <w:proofErr w:type="spellStart"/>
      <w:r w:rsidRPr="00517B4C">
        <w:rPr>
          <w:rFonts w:ascii="Times" w:hAnsi="Times" w:cs="Times New Roman"/>
        </w:rPr>
        <w:t>Angat</w:t>
      </w:r>
      <w:proofErr w:type="spellEnd"/>
      <w:r w:rsidRPr="00517B4C">
        <w:rPr>
          <w:rFonts w:ascii="Times" w:hAnsi="Times" w:cs="Times New Roman"/>
        </w:rPr>
        <w:t xml:space="preserve"> Lahat program, which has been profiled in this mapping, stands as one of Philippine’s most prominent initiatives to link SMEs with larger firms as suppliers, enabling market-oriented quality upgrading and innovation. The Go </w:t>
      </w:r>
      <w:proofErr w:type="spellStart"/>
      <w:r w:rsidRPr="00517B4C">
        <w:rPr>
          <w:rFonts w:ascii="Times" w:hAnsi="Times" w:cs="Times New Roman"/>
        </w:rPr>
        <w:t>Lokal</w:t>
      </w:r>
      <w:proofErr w:type="spellEnd"/>
      <w:r w:rsidRPr="00517B4C">
        <w:rPr>
          <w:rFonts w:ascii="Times" w:hAnsi="Times" w:cs="Times New Roman"/>
        </w:rPr>
        <w:t xml:space="preserve">, OTOP and </w:t>
      </w:r>
      <w:proofErr w:type="spellStart"/>
      <w:r w:rsidRPr="00517B4C">
        <w:rPr>
          <w:rFonts w:ascii="Times" w:hAnsi="Times" w:cs="Times New Roman"/>
        </w:rPr>
        <w:t>Sikat</w:t>
      </w:r>
      <w:proofErr w:type="spellEnd"/>
      <w:r w:rsidRPr="00517B4C">
        <w:rPr>
          <w:rFonts w:ascii="Times" w:hAnsi="Times" w:cs="Times New Roman"/>
        </w:rPr>
        <w:t xml:space="preserve"> </w:t>
      </w:r>
      <w:proofErr w:type="spellStart"/>
      <w:r w:rsidRPr="00517B4C">
        <w:rPr>
          <w:rFonts w:ascii="Times" w:hAnsi="Times" w:cs="Times New Roman"/>
        </w:rPr>
        <w:t>Pinoy</w:t>
      </w:r>
      <w:proofErr w:type="spellEnd"/>
      <w:r w:rsidRPr="00517B4C">
        <w:rPr>
          <w:rFonts w:ascii="Times" w:hAnsi="Times" w:cs="Times New Roman"/>
        </w:rPr>
        <w:t xml:space="preserve"> programs featured in our mapping are meant to assist SMEs in the development of high-quality products and marketing services to promote their products. However, we found that the funding to promote market access for firms was low, representing between 5 and 7% of expenditures in 2017. The WBG enterprise survey indicated that firms remain in relative isolation from foreign markets, and the percent of Filipino firms exporting directly (at least 10% of sales) stood at just 7.1%, a rate much lower than that of its regional and structural peers (see annex). Furthermore, whereas 24% of large firms exported in 2015, only 9% of 4% of medium and small firms did in the same year.</w:t>
      </w:r>
    </w:p>
    <w:p w14:paraId="28DD2446" w14:textId="77777777" w:rsidR="00517B4C" w:rsidRPr="00517B4C" w:rsidRDefault="00517B4C" w:rsidP="00517B4C">
      <w:pPr>
        <w:ind w:left="360"/>
        <w:contextualSpacing/>
        <w:jc w:val="both"/>
        <w:rPr>
          <w:rFonts w:ascii="Times" w:hAnsi="Times" w:cs="Times New Roman"/>
        </w:rPr>
      </w:pPr>
    </w:p>
    <w:p w14:paraId="46C54880" w14:textId="77777777" w:rsidR="00517B4C" w:rsidRPr="00517B4C" w:rsidRDefault="00517B4C" w:rsidP="00517B4C">
      <w:pPr>
        <w:numPr>
          <w:ilvl w:val="0"/>
          <w:numId w:val="48"/>
        </w:numPr>
        <w:contextualSpacing/>
        <w:jc w:val="both"/>
        <w:rPr>
          <w:rFonts w:ascii="Times" w:hAnsi="Times" w:cs="Times New Roman"/>
        </w:rPr>
      </w:pPr>
      <w:r w:rsidRPr="00517B4C">
        <w:rPr>
          <w:rFonts w:ascii="Times" w:hAnsi="Times" w:cs="Times New Roman"/>
        </w:rPr>
        <w:t xml:space="preserve">SMEs seeking to innovate may require other forms of financing which is not meaningfully addressed by the current policies.  Given information asymmetries between innovators and financiers, lack of SME capacity to conduct innovation activity, and inability of lenders to bear risk of uncertain outcomes from innovative activities, other forms of finance may be a better match for SMEs who seek to innovate. Matching grants for innovation have been extensively used for inducing innovation investments among SMEs (Cirera, X.; J. Frias; J. Hill and Y. Li; forthcoming) when capabilities are </w:t>
      </w:r>
      <w:proofErr w:type="gramStart"/>
      <w:r w:rsidRPr="00517B4C">
        <w:rPr>
          <w:rFonts w:ascii="Times" w:hAnsi="Times" w:cs="Times New Roman"/>
        </w:rPr>
        <w:t>low</w:t>
      </w:r>
      <w:proofErr w:type="gramEnd"/>
      <w:r w:rsidRPr="00517B4C">
        <w:rPr>
          <w:rFonts w:ascii="Times" w:hAnsi="Times" w:cs="Times New Roman"/>
        </w:rPr>
        <w:t xml:space="preserve"> and they come with technical assistance or when potential externalities are high. Credit guarantees can help addressing risk issues in financial markets. Also, instruments such as venture capital availability and local equity financing were found to be weaker in the Philippines’ ecosystem relative to its regional peers, particularly Malaysia and China IN 2017 (WEF, WDI and GCI, 2018). As of 2017, a few tech startups have attracted modest regional investment from deals such as those involving </w:t>
      </w:r>
      <w:proofErr w:type="spellStart"/>
      <w:r w:rsidRPr="00517B4C">
        <w:rPr>
          <w:rFonts w:ascii="Times" w:hAnsi="Times" w:cs="Times New Roman"/>
        </w:rPr>
        <w:t>PawnHero</w:t>
      </w:r>
      <w:proofErr w:type="spellEnd"/>
      <w:r w:rsidRPr="00517B4C">
        <w:rPr>
          <w:rFonts w:ascii="Times" w:hAnsi="Times" w:cs="Times New Roman"/>
        </w:rPr>
        <w:t>, and coins.ph (CB Insights, 2017).</w:t>
      </w:r>
    </w:p>
    <w:p w14:paraId="197B43C0" w14:textId="77777777" w:rsidR="00517B4C" w:rsidRPr="00517B4C" w:rsidRDefault="00517B4C" w:rsidP="00517B4C">
      <w:pPr>
        <w:ind w:left="360"/>
        <w:contextualSpacing/>
        <w:jc w:val="both"/>
        <w:rPr>
          <w:rFonts w:ascii="Times" w:hAnsi="Times" w:cs="Times New Roman"/>
        </w:rPr>
      </w:pPr>
    </w:p>
    <w:p w14:paraId="28E2C9C9" w14:textId="77777777" w:rsidR="00517B4C" w:rsidRPr="00517B4C" w:rsidRDefault="00517B4C" w:rsidP="00517B4C">
      <w:pPr>
        <w:numPr>
          <w:ilvl w:val="0"/>
          <w:numId w:val="48"/>
        </w:numPr>
        <w:contextualSpacing/>
        <w:jc w:val="both"/>
        <w:rPr>
          <w:rFonts w:ascii="Times" w:hAnsi="Times" w:cs="Times New Roman"/>
        </w:rPr>
      </w:pPr>
      <w:r w:rsidRPr="00517B4C">
        <w:rPr>
          <w:rFonts w:ascii="Times" w:hAnsi="Times" w:cs="Times New Roman"/>
        </w:rPr>
        <w:t xml:space="preserve">There is a large bias in innovation towards S&amp;T, suggesting that a rebalancing of the policy mix is needed towards business innovation. Funds for scholarships and targeted to universities consume a significant portion of the resources in the policy mix.  The features of MSME Development Plan places priority on increasing business capacity of SMEs, particularly through its Enhanced Management and Labor Capacities and its Improved Access to Technology and Innovation components. However, most of the resources remain skewed towards scholarships, channeled through universities to benefit individuals. There is also a tendency (see next chapter) to frame technology transfer in terms of facilitating transfer from won PROs and not necessarily from cheaper and more efficient technology in the market.  </w:t>
      </w:r>
    </w:p>
    <w:p w14:paraId="1F63DDDE" w14:textId="77777777" w:rsidR="00517B4C" w:rsidRPr="00517B4C" w:rsidRDefault="00517B4C" w:rsidP="00517B4C">
      <w:pPr>
        <w:ind w:left="360"/>
        <w:contextualSpacing/>
        <w:jc w:val="both"/>
        <w:rPr>
          <w:rFonts w:ascii="Times" w:hAnsi="Times" w:cs="Times New Roman"/>
        </w:rPr>
      </w:pPr>
    </w:p>
    <w:p w14:paraId="554349D1" w14:textId="77777777" w:rsidR="00517B4C" w:rsidRPr="00517B4C" w:rsidRDefault="00517B4C" w:rsidP="00517B4C">
      <w:pPr>
        <w:numPr>
          <w:ilvl w:val="0"/>
          <w:numId w:val="48"/>
        </w:numPr>
        <w:contextualSpacing/>
        <w:jc w:val="both"/>
        <w:rPr>
          <w:rFonts w:ascii="Times" w:hAnsi="Times" w:cs="Times New Roman"/>
        </w:rPr>
      </w:pPr>
      <w:r w:rsidRPr="00517B4C">
        <w:rPr>
          <w:rFonts w:ascii="Times" w:hAnsi="Times" w:cs="Times New Roman"/>
        </w:rPr>
        <w:t xml:space="preserve">While a significant portion of beneficiaries were young firms, the amount of funding allocated to entrepreneurship seems limited. This mixed result should be further scrutinized considering the importance placed on new business formation in the MSME Development Plan. According to GEDI, Philippines’ start-up skills are stronger than its peers, and GEM in 2015 rated Filipino entrepreneurial traits as above average for world standards. However, new business formation has been stagnant over time, and is way lower than the rate in Malaysia (top performer), according to the GEM - Global Entrepreneurship Monitor. The WDI of the World Bank, revealed that in 2018, the Filipino ecosystem suffered low rate of firm births (WDI, 2018). Furthermore, the reduced number of new business density during the period extending from 2006 to 2016 was the lowest among comparative economies, such as Vietnam and Indonesia (World Bank Doing Business Entrepreneurship Database). Our analysis of the policy mix to support SMEs identified and profiled several programs that support startups, including Go </w:t>
      </w:r>
      <w:proofErr w:type="spellStart"/>
      <w:r w:rsidRPr="00517B4C">
        <w:rPr>
          <w:rFonts w:ascii="Times" w:hAnsi="Times" w:cs="Times New Roman"/>
        </w:rPr>
        <w:t>Negosyo</w:t>
      </w:r>
      <w:proofErr w:type="spellEnd"/>
      <w:r w:rsidRPr="00517B4C">
        <w:rPr>
          <w:rFonts w:ascii="Times" w:hAnsi="Times" w:cs="Times New Roman"/>
        </w:rPr>
        <w:t xml:space="preserve"> (i.e. its start-up fund), TBI, TECHNICOM and SET-UP. TBI for example, works for establishing supporting infrastructure in </w:t>
      </w:r>
      <w:proofErr w:type="spellStart"/>
      <w:r w:rsidRPr="00517B4C">
        <w:rPr>
          <w:rFonts w:ascii="Times" w:hAnsi="Times" w:cs="Times New Roman"/>
        </w:rPr>
        <w:t>HigheEd</w:t>
      </w:r>
      <w:proofErr w:type="spellEnd"/>
      <w:r w:rsidRPr="00517B4C">
        <w:rPr>
          <w:rFonts w:ascii="Times" w:hAnsi="Times" w:cs="Times New Roman"/>
        </w:rPr>
        <w:t xml:space="preserve"> institutes and State Colleges that can assists entrepreneurs to get off the ground. However, our analysis also revealed that by value of objectives, about 4.9% of the value of the portfolio was devoted to entrepreneurship in 2017. Increasing the quantity and quality of entrepreneurs would require investing more aggressively in programs that support entrepreneurship culture </w:t>
      </w:r>
      <w:proofErr w:type="gramStart"/>
      <w:r w:rsidRPr="00517B4C">
        <w:rPr>
          <w:rFonts w:ascii="Times" w:hAnsi="Times" w:cs="Times New Roman"/>
        </w:rPr>
        <w:t>and also</w:t>
      </w:r>
      <w:proofErr w:type="gramEnd"/>
      <w:r w:rsidRPr="00517B4C">
        <w:rPr>
          <w:rFonts w:ascii="Times" w:hAnsi="Times" w:cs="Times New Roman"/>
        </w:rPr>
        <w:t xml:space="preserve"> ventures in the early stages of their life-cycle.</w:t>
      </w:r>
    </w:p>
    <w:p w14:paraId="1173AB4C" w14:textId="77777777" w:rsidR="00517B4C" w:rsidRPr="00517B4C" w:rsidRDefault="00517B4C" w:rsidP="00517B4C">
      <w:pPr>
        <w:ind w:left="360"/>
        <w:contextualSpacing/>
        <w:jc w:val="both"/>
        <w:rPr>
          <w:rFonts w:ascii="Times" w:hAnsi="Times" w:cs="Times New Roman"/>
        </w:rPr>
      </w:pPr>
    </w:p>
    <w:p w14:paraId="1D7F4A51" w14:textId="77777777" w:rsidR="00517B4C" w:rsidRPr="00517B4C" w:rsidRDefault="00517B4C" w:rsidP="00517B4C">
      <w:pPr>
        <w:numPr>
          <w:ilvl w:val="0"/>
          <w:numId w:val="48"/>
        </w:numPr>
        <w:contextualSpacing/>
        <w:jc w:val="both"/>
        <w:rPr>
          <w:rFonts w:ascii="Times" w:hAnsi="Times" w:cs="Times New Roman"/>
        </w:rPr>
      </w:pPr>
      <w:r w:rsidRPr="00517B4C">
        <w:rPr>
          <w:rFonts w:ascii="Times" w:hAnsi="Times" w:cs="Times New Roman"/>
        </w:rPr>
        <w:t xml:space="preserve">At the ecosystem level, Philippines revealed a weak performance in university-industry R&amp;D collaboration, also part of the ST bias in STI. According to the world economic forum, the level of University-Industry Collaboration ranked low, which could be limiting the speed at which technologies diffuse in the local economy. Consequently, Philippine firms showed less propensity to adopt existing technologies than firms in peer countries, as in 2015, only 11.2% percent of firms used technology licensed from foreign companies, much lower than comparable peers (Enterprise Survey, World Bank`). Our analysis included TBI which by its own nature, supports startups in academic institutions. Moreover, we profiled TECHNICOM, a program that accelerate the commercialization of locally developed innovations. These are great examples of prominent programs working in this space. However, they are often based on the premise that the technology to be transferred is the one developed by their own PROs, and not the most cost efficient in the market. Also, and while technology transfer and extension were represented in the portfolio, the relative share of the portfolio devoted to targeted collaboration, in the form of supporting consortia of firms and academia, stood at less than 1% of the total value. Moreover, the value for the use of collaborative grants between firms and academia seemed insignificant.  </w:t>
      </w:r>
    </w:p>
    <w:p w14:paraId="3752D8BF" w14:textId="77777777" w:rsidR="00517B4C" w:rsidRPr="00517B4C" w:rsidRDefault="00517B4C" w:rsidP="00517B4C">
      <w:pPr>
        <w:ind w:left="360"/>
        <w:contextualSpacing/>
        <w:jc w:val="both"/>
        <w:rPr>
          <w:rFonts w:ascii="Times" w:hAnsi="Times" w:cs="Times New Roman"/>
        </w:rPr>
      </w:pPr>
    </w:p>
    <w:p w14:paraId="0051F0A1" w14:textId="77777777" w:rsidR="00517B4C" w:rsidRPr="00517B4C" w:rsidRDefault="00517B4C" w:rsidP="00517B4C">
      <w:pPr>
        <w:numPr>
          <w:ilvl w:val="0"/>
          <w:numId w:val="48"/>
        </w:numPr>
        <w:contextualSpacing/>
        <w:jc w:val="both"/>
        <w:rPr>
          <w:rFonts w:ascii="Times" w:hAnsi="Times" w:cs="Times New Roman"/>
        </w:rPr>
      </w:pPr>
      <w:r w:rsidRPr="00517B4C">
        <w:rPr>
          <w:rFonts w:ascii="Times" w:hAnsi="Times" w:cs="Times New Roman"/>
        </w:rPr>
        <w:t xml:space="preserve">The policy mix needs to include policies that make a greater use of market-creating instruments, e.g. credit guarantees for innovation or supplier development programs – to maximize additionality. If the case for government is justified to redress a failure, e.g. in promoting firm upgrading, employing market-oriented incentives is likely to lead to resource efficiency. If user fees can cover the variable costs of training or extension policies, and these are feasible, then these should apply. Interventions that use loan and grant schemes should take into consideration existing financing schemes available to firms and avoid crowding out the private sector by introducing unfair competition to potential lenders. The proposed intervention should include deliberate strategies to catalyze underdeveloped markets, adding dynamism to the local economy and steering fair competition, when possible.  </w:t>
      </w:r>
    </w:p>
    <w:p w14:paraId="628910C6" w14:textId="77777777" w:rsidR="00517B4C" w:rsidRPr="00517B4C" w:rsidRDefault="00517B4C" w:rsidP="00517B4C">
      <w:pPr>
        <w:ind w:left="360"/>
        <w:contextualSpacing/>
        <w:jc w:val="both"/>
        <w:rPr>
          <w:rFonts w:ascii="Times" w:hAnsi="Times" w:cs="Times New Roman"/>
        </w:rPr>
      </w:pPr>
    </w:p>
    <w:p w14:paraId="3F55764A" w14:textId="77777777" w:rsidR="00517B4C" w:rsidRPr="00517B4C" w:rsidRDefault="00517B4C" w:rsidP="00517B4C">
      <w:pPr>
        <w:numPr>
          <w:ilvl w:val="0"/>
          <w:numId w:val="48"/>
        </w:numPr>
        <w:contextualSpacing/>
        <w:jc w:val="both"/>
        <w:rPr>
          <w:rFonts w:ascii="Times" w:hAnsi="Times" w:cs="Times New Roman"/>
        </w:rPr>
      </w:pPr>
      <w:r w:rsidRPr="00517B4C">
        <w:rPr>
          <w:rFonts w:ascii="Times" w:hAnsi="Times" w:cs="Times New Roman"/>
        </w:rPr>
        <w:t xml:space="preserve">There is a need for improving knowledge management and information sharing across departments to improving policy making. The </w:t>
      </w:r>
      <w:proofErr w:type="spellStart"/>
      <w:r w:rsidRPr="00517B4C">
        <w:rPr>
          <w:rFonts w:ascii="Times" w:hAnsi="Times" w:cs="Times New Roman"/>
        </w:rPr>
        <w:t>GoP</w:t>
      </w:r>
      <w:proofErr w:type="spellEnd"/>
      <w:r w:rsidRPr="00517B4C">
        <w:rPr>
          <w:rFonts w:ascii="Times" w:hAnsi="Times" w:cs="Times New Roman"/>
        </w:rPr>
        <w:t xml:space="preserve"> should improve access to program data, particularly financial data related to allocation of financial resources. The experience of collecting the relevant information for this study proved to be challenging, particularly for financial data related to budget allocation and disbursements. The reasons given to us were that data could not be produced either because the information was not available under the proper classification and not disaggregated at the required level, or because some of the officers who were meant to provide the information under our agreement with </w:t>
      </w:r>
      <w:proofErr w:type="spellStart"/>
      <w:r w:rsidRPr="00517B4C">
        <w:rPr>
          <w:rFonts w:ascii="Times" w:hAnsi="Times" w:cs="Times New Roman"/>
        </w:rPr>
        <w:t>DoST</w:t>
      </w:r>
      <w:proofErr w:type="spellEnd"/>
      <w:r w:rsidRPr="00517B4C">
        <w:rPr>
          <w:rFonts w:ascii="Times" w:hAnsi="Times" w:cs="Times New Roman"/>
        </w:rPr>
        <w:t xml:space="preserve"> and DTI proved to be relatively disengaged. Our experience conducting this analysis in other countries suggests that this level of difficulty is exceptional, and that it represents a gap that should be bridged. Having readily available information of policy programs is an important way to help </w:t>
      </w:r>
      <w:proofErr w:type="spellStart"/>
      <w:r w:rsidRPr="00517B4C">
        <w:rPr>
          <w:rFonts w:ascii="Times" w:hAnsi="Times" w:cs="Times New Roman"/>
        </w:rPr>
        <w:t>GoP</w:t>
      </w:r>
      <w:proofErr w:type="spellEnd"/>
      <w:r w:rsidRPr="00517B4C">
        <w:rPr>
          <w:rFonts w:ascii="Times" w:hAnsi="Times" w:cs="Times New Roman"/>
        </w:rPr>
        <w:t xml:space="preserve"> make informed policy decisions.  </w:t>
      </w:r>
    </w:p>
    <w:p w14:paraId="4CA7CE7F" w14:textId="77777777" w:rsidR="00517B4C" w:rsidRPr="00517B4C" w:rsidRDefault="00517B4C" w:rsidP="00517B4C">
      <w:pPr>
        <w:ind w:left="360"/>
        <w:contextualSpacing/>
        <w:jc w:val="both"/>
        <w:rPr>
          <w:rFonts w:ascii="Times" w:hAnsi="Times" w:cs="Times New Roman"/>
        </w:rPr>
      </w:pPr>
    </w:p>
    <w:p w14:paraId="5CA9C144" w14:textId="77777777" w:rsidR="00517B4C" w:rsidRPr="00517B4C" w:rsidRDefault="00517B4C" w:rsidP="00517B4C">
      <w:pPr>
        <w:numPr>
          <w:ilvl w:val="0"/>
          <w:numId w:val="48"/>
        </w:numPr>
        <w:contextualSpacing/>
        <w:jc w:val="both"/>
        <w:rPr>
          <w:rFonts w:ascii="Times" w:hAnsi="Times" w:cs="Times New Roman"/>
        </w:rPr>
      </w:pPr>
      <w:r w:rsidRPr="00B14CAB">
        <w:rPr>
          <w:rFonts w:ascii="Times" w:hAnsi="Times" w:cs="Times New Roman"/>
        </w:rPr>
        <w:t>The functional review finds that there is significant room for improving the quality of design, implementation of governance processes to make public support to MSMEs more impactful. Design</w:t>
      </w:r>
      <w:r w:rsidRPr="00517B4C">
        <w:rPr>
          <w:rFonts w:ascii="Times" w:hAnsi="Times" w:cs="Times New Roman"/>
        </w:rPr>
        <w:t xml:space="preserve"> practices present the widest room for improvement and most of the problems are systemic and, hence, require a government-wide solution. In addition to better beneficiary selection (first point of the policy mix), there are three additional areas that deserve further attention going forward to improve the quality of MSME policymaking in the Philippines: (a) focus on achieving additionality rather than just meeting beneficiary targets, (b) tap the sub-national implementation expertise when designing new programs, and (c) increase coordination between agencies.</w:t>
      </w:r>
    </w:p>
    <w:p w14:paraId="77683374" w14:textId="77777777" w:rsidR="00517B4C" w:rsidRPr="00517B4C" w:rsidRDefault="00517B4C" w:rsidP="00517B4C">
      <w:pPr>
        <w:ind w:left="360"/>
        <w:contextualSpacing/>
        <w:jc w:val="both"/>
        <w:rPr>
          <w:rFonts w:ascii="Times" w:hAnsi="Times" w:cs="Times New Roman"/>
        </w:rPr>
      </w:pPr>
    </w:p>
    <w:p w14:paraId="738ADC9A" w14:textId="77777777" w:rsidR="00517B4C" w:rsidRPr="00517B4C" w:rsidRDefault="00517B4C" w:rsidP="00517B4C">
      <w:pPr>
        <w:numPr>
          <w:ilvl w:val="0"/>
          <w:numId w:val="48"/>
        </w:numPr>
        <w:contextualSpacing/>
        <w:jc w:val="both"/>
        <w:rPr>
          <w:rFonts w:ascii="Times" w:hAnsi="Times" w:cs="Times New Roman"/>
        </w:rPr>
      </w:pPr>
      <w:r w:rsidRPr="00B14CAB">
        <w:rPr>
          <w:rFonts w:ascii="Times" w:hAnsi="Times" w:cs="Times New Roman"/>
        </w:rPr>
        <w:t>Addressing some of these issues is critical to enhance the returns to public support and achieve incremental growth and employment.</w:t>
      </w:r>
      <w:r w:rsidRPr="00517B4C">
        <w:rPr>
          <w:rFonts w:ascii="Times" w:hAnsi="Times" w:cs="Times New Roman"/>
        </w:rPr>
        <w:t xml:space="preserve"> A first step to adapt these practices is to learn from best performing programs. This can be done easily with internal workshops. The second step is to implement and invest in systemic processes, such as templates, procedures and information systems. This requires some investment from the agencies, and it should be done jointly to avoid further fragmentation of processes within government.  </w:t>
      </w:r>
    </w:p>
    <w:p w14:paraId="313DFCB4" w14:textId="77777777" w:rsidR="00517B4C" w:rsidRPr="00517B4C" w:rsidRDefault="00517B4C" w:rsidP="00517B4C">
      <w:pPr>
        <w:ind w:left="360"/>
        <w:contextualSpacing/>
        <w:jc w:val="both"/>
        <w:rPr>
          <w:rFonts w:ascii="Times" w:hAnsi="Times" w:cs="Times New Roman"/>
        </w:rPr>
      </w:pPr>
    </w:p>
    <w:p w14:paraId="32144980" w14:textId="77777777" w:rsidR="00517B4C" w:rsidRPr="00517B4C" w:rsidRDefault="00517B4C" w:rsidP="00517B4C">
      <w:pPr>
        <w:numPr>
          <w:ilvl w:val="0"/>
          <w:numId w:val="48"/>
        </w:numPr>
        <w:contextualSpacing/>
        <w:jc w:val="both"/>
        <w:rPr>
          <w:rFonts w:ascii="Times" w:hAnsi="Times" w:cs="Times New Roman"/>
        </w:rPr>
      </w:pPr>
      <w:r w:rsidRPr="00B14CAB">
        <w:rPr>
          <w:rFonts w:ascii="Times" w:hAnsi="Times" w:cs="Times New Roman"/>
        </w:rPr>
        <w:t>There are lessons from other governments which have worked with the World Bank to improve the effectiveness of their MSME programs.</w:t>
      </w:r>
      <w:r w:rsidRPr="00517B4C">
        <w:rPr>
          <w:rFonts w:ascii="Times" w:hAnsi="Times" w:cs="Times New Roman"/>
        </w:rPr>
        <w:t xml:space="preserve"> While the first two part of the PER were used in the Philippines, there are opportunities to carry out impact evaluations and assessing the efficiency of government expenditures (see Annex 3). Below are some examples of specific actions that similar countries have taken </w:t>
      </w:r>
      <w:proofErr w:type="gramStart"/>
      <w:r w:rsidRPr="00517B4C">
        <w:rPr>
          <w:rFonts w:ascii="Times" w:hAnsi="Times" w:cs="Times New Roman"/>
        </w:rPr>
        <w:t>in order to</w:t>
      </w:r>
      <w:proofErr w:type="gramEnd"/>
      <w:r w:rsidRPr="00517B4C">
        <w:rPr>
          <w:rFonts w:ascii="Times" w:hAnsi="Times" w:cs="Times New Roman"/>
        </w:rPr>
        <w:t xml:space="preserve"> improve the quality of policy making.</w:t>
      </w:r>
    </w:p>
    <w:p w14:paraId="4F54919C" w14:textId="77777777" w:rsidR="00517B4C" w:rsidRPr="00517B4C" w:rsidRDefault="00517B4C" w:rsidP="00517B4C">
      <w:pPr>
        <w:numPr>
          <w:ilvl w:val="0"/>
          <w:numId w:val="26"/>
        </w:numPr>
        <w:spacing w:after="0"/>
        <w:contextualSpacing/>
        <w:jc w:val="both"/>
        <w:rPr>
          <w:rFonts w:ascii="Times" w:hAnsi="Times" w:cs="Times New Roman"/>
        </w:rPr>
      </w:pPr>
      <w:r w:rsidRPr="00517B4C">
        <w:rPr>
          <w:rFonts w:ascii="Times" w:hAnsi="Times" w:cs="Times New Roman"/>
        </w:rPr>
        <w:t>Design</w:t>
      </w:r>
    </w:p>
    <w:p w14:paraId="7A62ECE7" w14:textId="77777777" w:rsidR="00517B4C" w:rsidRPr="00517B4C" w:rsidRDefault="00517B4C" w:rsidP="00517B4C">
      <w:pPr>
        <w:numPr>
          <w:ilvl w:val="0"/>
          <w:numId w:val="22"/>
        </w:numPr>
        <w:spacing w:after="0"/>
        <w:jc w:val="both"/>
        <w:rPr>
          <w:rFonts w:ascii="Times" w:hAnsi="Times" w:cs="Times New Roman"/>
        </w:rPr>
      </w:pPr>
      <w:r w:rsidRPr="00B14CAB">
        <w:rPr>
          <w:rFonts w:ascii="Times" w:hAnsi="Times" w:cs="Times New Roman"/>
        </w:rPr>
        <w:t>Create a common template</w:t>
      </w:r>
      <w:r w:rsidRPr="00517B4C">
        <w:rPr>
          <w:rFonts w:ascii="Times" w:hAnsi="Times" w:cs="Times New Roman"/>
        </w:rPr>
        <w:t xml:space="preserve"> that all SME supporting agencies use to introduce new programs (i.e. instruments), that enable originators to make a strong case for budget allocation, with a clear justification for the program that includes a diagnostic, a clear identification of market failure and consideration of alternative options to address the problem.</w:t>
      </w:r>
    </w:p>
    <w:p w14:paraId="402754F3" w14:textId="77777777" w:rsidR="00517B4C" w:rsidRPr="00517B4C" w:rsidRDefault="00517B4C" w:rsidP="00517B4C">
      <w:pPr>
        <w:numPr>
          <w:ilvl w:val="0"/>
          <w:numId w:val="22"/>
        </w:numPr>
        <w:spacing w:after="0"/>
        <w:jc w:val="both"/>
        <w:rPr>
          <w:rFonts w:ascii="Times" w:hAnsi="Times" w:cs="Times New Roman"/>
        </w:rPr>
      </w:pPr>
      <w:r w:rsidRPr="00B14CAB">
        <w:rPr>
          <w:rFonts w:ascii="Times" w:hAnsi="Times" w:cs="Times New Roman"/>
        </w:rPr>
        <w:t>Improve targeting and selection of program participants</w:t>
      </w:r>
      <w:r w:rsidRPr="00517B4C">
        <w:rPr>
          <w:rFonts w:ascii="Times" w:hAnsi="Times" w:cs="Times New Roman"/>
          <w:b/>
        </w:rPr>
        <w:t xml:space="preserve"> </w:t>
      </w:r>
      <w:r w:rsidRPr="00517B4C">
        <w:rPr>
          <w:rFonts w:ascii="Times" w:hAnsi="Times" w:cs="Times New Roman"/>
        </w:rPr>
        <w:t>(e.g. Mexico, Sri Lanka), developing selection criteria that help managers to identify entrepreneurs that are likely to grow their business. One solution is to have assessments of business plans that are shared across agencies and that can provide critical information during the application process to screen out those participants without good ideas, which can be referred to programs that support basic entrepreneurship skills.</w:t>
      </w:r>
    </w:p>
    <w:p w14:paraId="3FF2D202" w14:textId="77777777" w:rsidR="00517B4C" w:rsidRPr="00517B4C" w:rsidRDefault="00517B4C" w:rsidP="00517B4C">
      <w:pPr>
        <w:spacing w:after="0"/>
        <w:jc w:val="both"/>
        <w:rPr>
          <w:rFonts w:ascii="Times" w:hAnsi="Times" w:cs="Times New Roman"/>
        </w:rPr>
      </w:pPr>
    </w:p>
    <w:p w14:paraId="616F677F" w14:textId="77777777" w:rsidR="00517B4C" w:rsidRPr="00517B4C" w:rsidRDefault="00517B4C" w:rsidP="00517B4C">
      <w:pPr>
        <w:spacing w:after="0"/>
        <w:jc w:val="both"/>
        <w:rPr>
          <w:rFonts w:ascii="Times" w:hAnsi="Times" w:cs="Times New Roman"/>
        </w:rPr>
      </w:pPr>
    </w:p>
    <w:p w14:paraId="09E26C00" w14:textId="77777777" w:rsidR="00517B4C" w:rsidRPr="00517B4C" w:rsidRDefault="00517B4C" w:rsidP="00517B4C">
      <w:pPr>
        <w:spacing w:after="0"/>
        <w:jc w:val="both"/>
        <w:rPr>
          <w:rFonts w:ascii="Times" w:hAnsi="Times" w:cs="Times New Roman"/>
        </w:rPr>
      </w:pPr>
    </w:p>
    <w:p w14:paraId="4E55EEF3" w14:textId="77777777" w:rsidR="00517B4C" w:rsidRPr="00517B4C" w:rsidRDefault="00517B4C" w:rsidP="00517B4C">
      <w:pPr>
        <w:numPr>
          <w:ilvl w:val="0"/>
          <w:numId w:val="26"/>
        </w:numPr>
        <w:spacing w:after="0"/>
        <w:contextualSpacing/>
        <w:jc w:val="both"/>
        <w:rPr>
          <w:rFonts w:ascii="Times" w:hAnsi="Times" w:cs="Times New Roman"/>
          <w:color w:val="0070C0"/>
        </w:rPr>
      </w:pPr>
      <w:r w:rsidRPr="00517B4C">
        <w:rPr>
          <w:rFonts w:ascii="Times" w:hAnsi="Times" w:cs="Times New Roman"/>
          <w:color w:val="0070C0"/>
        </w:rPr>
        <w:t xml:space="preserve">Implementation </w:t>
      </w:r>
    </w:p>
    <w:p w14:paraId="51BCCDE6" w14:textId="77777777" w:rsidR="00517B4C" w:rsidRPr="00A93CA7" w:rsidRDefault="00517B4C" w:rsidP="00517B4C">
      <w:pPr>
        <w:numPr>
          <w:ilvl w:val="0"/>
          <w:numId w:val="24"/>
        </w:numPr>
        <w:spacing w:after="0"/>
        <w:jc w:val="both"/>
        <w:rPr>
          <w:rFonts w:ascii="Times" w:hAnsi="Times" w:cs="Times New Roman"/>
        </w:rPr>
      </w:pPr>
      <w:r w:rsidRPr="00A93CA7">
        <w:rPr>
          <w:rFonts w:ascii="Times" w:hAnsi="Times" w:cs="Times New Roman"/>
        </w:rPr>
        <w:t>Integrate an evaluation office in the agencies to support the implementation of good practices in M&amp;E (e.g. Mexico) - creation of a logical framework, use of harmonized indicators for M&amp;E, collecting data, considering alternative instruments, and training.</w:t>
      </w:r>
    </w:p>
    <w:p w14:paraId="5333C06D" w14:textId="77777777" w:rsidR="00517B4C" w:rsidRPr="00A93CA7" w:rsidRDefault="00517B4C" w:rsidP="00517B4C">
      <w:pPr>
        <w:numPr>
          <w:ilvl w:val="0"/>
          <w:numId w:val="24"/>
        </w:numPr>
        <w:spacing w:after="0"/>
        <w:jc w:val="both"/>
        <w:rPr>
          <w:rFonts w:ascii="Times" w:hAnsi="Times" w:cs="Times New Roman"/>
        </w:rPr>
      </w:pPr>
      <w:r w:rsidRPr="00A93CA7">
        <w:rPr>
          <w:rFonts w:ascii="Times" w:hAnsi="Times" w:cs="Times New Roman"/>
        </w:rPr>
        <w:t>Introduce mid-term reviews with panels of participants (e.g. Colombia) from different agencies and establish formal processes of learning from implementation. These tasks should be supported by the evaluation office.</w:t>
      </w:r>
    </w:p>
    <w:p w14:paraId="036A0791" w14:textId="77777777" w:rsidR="00517B4C" w:rsidRPr="00A93CA7" w:rsidRDefault="00517B4C" w:rsidP="00517B4C">
      <w:pPr>
        <w:numPr>
          <w:ilvl w:val="0"/>
          <w:numId w:val="24"/>
        </w:numPr>
        <w:spacing w:after="0"/>
        <w:jc w:val="both"/>
        <w:rPr>
          <w:rFonts w:ascii="Times" w:hAnsi="Times" w:cs="Times New Roman"/>
        </w:rPr>
      </w:pPr>
      <w:r w:rsidRPr="00A93CA7">
        <w:rPr>
          <w:rFonts w:ascii="Times" w:hAnsi="Times" w:cs="Times New Roman"/>
        </w:rPr>
        <w:t>Strengthen information systems and build data management infrastructure:</w:t>
      </w:r>
    </w:p>
    <w:p w14:paraId="15B103B8" w14:textId="77777777" w:rsidR="00517B4C" w:rsidRPr="00517B4C" w:rsidRDefault="00517B4C" w:rsidP="00517B4C">
      <w:pPr>
        <w:numPr>
          <w:ilvl w:val="1"/>
          <w:numId w:val="24"/>
        </w:numPr>
        <w:spacing w:after="0"/>
        <w:jc w:val="both"/>
        <w:rPr>
          <w:rFonts w:ascii="Times" w:hAnsi="Times" w:cs="Times New Roman"/>
        </w:rPr>
      </w:pPr>
      <w:r w:rsidRPr="00517B4C">
        <w:rPr>
          <w:rFonts w:ascii="Times" w:hAnsi="Times" w:cs="Times New Roman"/>
        </w:rPr>
        <w:t>Develop a selection manual, that describes who should evaluate proposals, who should be part of the panel, how to evaluate proposals and define the appealing mechanisms</w:t>
      </w:r>
    </w:p>
    <w:p w14:paraId="42E86C9B" w14:textId="77777777" w:rsidR="00517B4C" w:rsidRPr="00517B4C" w:rsidRDefault="00517B4C" w:rsidP="00517B4C">
      <w:pPr>
        <w:numPr>
          <w:ilvl w:val="1"/>
          <w:numId w:val="24"/>
        </w:numPr>
        <w:spacing w:after="0"/>
        <w:jc w:val="both"/>
        <w:rPr>
          <w:rFonts w:ascii="Times" w:hAnsi="Times" w:cs="Times New Roman"/>
        </w:rPr>
      </w:pPr>
      <w:r w:rsidRPr="00517B4C">
        <w:rPr>
          <w:rFonts w:ascii="Times" w:hAnsi="Times" w:cs="Times New Roman"/>
        </w:rPr>
        <w:t>Develop mandatory program manuals</w:t>
      </w:r>
    </w:p>
    <w:p w14:paraId="699B4A14" w14:textId="366DCCFC" w:rsidR="00517B4C" w:rsidRDefault="00517B4C" w:rsidP="00517B4C">
      <w:pPr>
        <w:numPr>
          <w:ilvl w:val="1"/>
          <w:numId w:val="24"/>
        </w:numPr>
        <w:spacing w:after="0"/>
        <w:jc w:val="both"/>
        <w:rPr>
          <w:rFonts w:ascii="Times" w:hAnsi="Times" w:cs="Times New Roman"/>
        </w:rPr>
      </w:pPr>
      <w:r w:rsidRPr="00517B4C">
        <w:rPr>
          <w:rFonts w:ascii="Times" w:hAnsi="Times" w:cs="Times New Roman"/>
        </w:rPr>
        <w:t>Design an integrated IT system for project application, monitoring and follow up; ideally for all agencies using same system. This will allow real time monitoring and integrating of processes, as well as making sure information of applicants is shared.</w:t>
      </w:r>
    </w:p>
    <w:p w14:paraId="2D5DA90E" w14:textId="7D2B38D4" w:rsidR="00B14CAB" w:rsidRDefault="00B14CAB" w:rsidP="00B14CAB">
      <w:pPr>
        <w:spacing w:after="0"/>
        <w:ind w:left="1080"/>
        <w:jc w:val="both"/>
        <w:rPr>
          <w:rFonts w:ascii="Times" w:hAnsi="Times" w:cs="Times New Roman"/>
        </w:rPr>
      </w:pPr>
    </w:p>
    <w:p w14:paraId="7E300670" w14:textId="7511850B" w:rsidR="00B14CAB" w:rsidRPr="00517B4C" w:rsidRDefault="00B14CAB" w:rsidP="00B14CAB">
      <w:pPr>
        <w:spacing w:after="0"/>
        <w:ind w:left="1080"/>
        <w:jc w:val="both"/>
        <w:rPr>
          <w:rFonts w:ascii="Times" w:hAnsi="Times" w:cs="Times New Roman"/>
        </w:rPr>
      </w:pPr>
      <w:r>
        <w:rPr>
          <w:rFonts w:ascii="Times" w:hAnsi="Times" w:cs="Times New Roman"/>
        </w:rPr>
        <w:t>Following is the synopsis of the proposed recommendations in tabular form.</w:t>
      </w:r>
    </w:p>
    <w:p w14:paraId="0575BDF5" w14:textId="3C29E79D" w:rsidR="00B14CAB" w:rsidRDefault="00B14CAB">
      <w:pPr>
        <w:rPr>
          <w:rFonts w:ascii="Times" w:hAnsi="Times" w:cs="Times New Roman"/>
        </w:rPr>
      </w:pPr>
      <w:r>
        <w:rPr>
          <w:rFonts w:ascii="Times" w:hAnsi="Times" w:cs="Times New Roman"/>
        </w:rPr>
        <w:br w:type="page"/>
      </w:r>
    </w:p>
    <w:p w14:paraId="2EA74C2D" w14:textId="77777777" w:rsidR="00517B4C" w:rsidRPr="00517B4C" w:rsidRDefault="00517B4C" w:rsidP="00517B4C">
      <w:pPr>
        <w:jc w:val="both"/>
        <w:rPr>
          <w:rFonts w:ascii="Times" w:hAnsi="Times" w:cs="Times New Roman"/>
        </w:rPr>
      </w:pPr>
    </w:p>
    <w:p w14:paraId="09001BEC" w14:textId="5FD7B9C5" w:rsidR="00517B4C" w:rsidRPr="00450958" w:rsidRDefault="00B14CAB" w:rsidP="00450958">
      <w:pPr>
        <w:jc w:val="both"/>
        <w:rPr>
          <w:rFonts w:ascii="Times" w:hAnsi="Times" w:cs="Times New Roman"/>
          <w:b/>
          <w:color w:val="0070C0"/>
        </w:rPr>
      </w:pPr>
      <w:r>
        <w:rPr>
          <w:rFonts w:ascii="Times" w:hAnsi="Times" w:cs="Times New Roman"/>
          <w:b/>
          <w:color w:val="0070C0"/>
        </w:rPr>
        <w:t xml:space="preserve">SUMMARY OF </w:t>
      </w:r>
      <w:r w:rsidR="00517B4C" w:rsidRPr="00517B4C">
        <w:rPr>
          <w:rFonts w:ascii="Times" w:hAnsi="Times" w:cs="Times New Roman"/>
          <w:b/>
          <w:color w:val="0070C0"/>
        </w:rPr>
        <w:t>RECOMMENDATIONS</w:t>
      </w:r>
    </w:p>
    <w:tbl>
      <w:tblPr>
        <w:tblStyle w:val="TableGrid"/>
        <w:tblW w:w="0" w:type="auto"/>
        <w:tblLook w:val="04A0" w:firstRow="1" w:lastRow="0" w:firstColumn="1" w:lastColumn="0" w:noHBand="0" w:noVBand="1"/>
      </w:tblPr>
      <w:tblGrid>
        <w:gridCol w:w="1345"/>
        <w:gridCol w:w="8005"/>
      </w:tblGrid>
      <w:tr w:rsidR="00517B4C" w:rsidRPr="00517B4C" w14:paraId="2749EF73" w14:textId="77777777" w:rsidTr="000D1EBD">
        <w:trPr>
          <w:trHeight w:val="350"/>
        </w:trPr>
        <w:tc>
          <w:tcPr>
            <w:tcW w:w="1345" w:type="dxa"/>
            <w:shd w:val="clear" w:color="auto" w:fill="AEAAAA" w:themeFill="background2" w:themeFillShade="BF"/>
          </w:tcPr>
          <w:p w14:paraId="643BE2D5" w14:textId="77777777" w:rsidR="00517B4C" w:rsidRPr="00450958" w:rsidRDefault="00517B4C" w:rsidP="00517B4C">
            <w:pPr>
              <w:spacing w:after="240"/>
              <w:rPr>
                <w:rFonts w:cs="Times New Roman"/>
                <w:sz w:val="20"/>
                <w:szCs w:val="20"/>
              </w:rPr>
            </w:pPr>
            <w:r w:rsidRPr="00450958">
              <w:rPr>
                <w:rFonts w:cs="Times New Roman"/>
                <w:sz w:val="20"/>
                <w:szCs w:val="20"/>
              </w:rPr>
              <w:t>Area</w:t>
            </w:r>
          </w:p>
        </w:tc>
        <w:tc>
          <w:tcPr>
            <w:tcW w:w="8005" w:type="dxa"/>
            <w:shd w:val="clear" w:color="auto" w:fill="AEAAAA" w:themeFill="background2" w:themeFillShade="BF"/>
          </w:tcPr>
          <w:p w14:paraId="6879E4C3" w14:textId="77777777" w:rsidR="00517B4C" w:rsidRPr="00450958" w:rsidRDefault="00517B4C" w:rsidP="00517B4C">
            <w:pPr>
              <w:spacing w:after="240"/>
              <w:rPr>
                <w:rFonts w:cs="Times New Roman"/>
                <w:sz w:val="20"/>
                <w:szCs w:val="20"/>
              </w:rPr>
            </w:pPr>
            <w:r w:rsidRPr="00450958">
              <w:rPr>
                <w:rFonts w:cs="Times New Roman"/>
                <w:sz w:val="20"/>
                <w:szCs w:val="20"/>
              </w:rPr>
              <w:t>Proposed action</w:t>
            </w:r>
          </w:p>
        </w:tc>
      </w:tr>
      <w:tr w:rsidR="00517B4C" w:rsidRPr="00517B4C" w14:paraId="112EE026" w14:textId="77777777" w:rsidTr="000D1EBD">
        <w:tc>
          <w:tcPr>
            <w:tcW w:w="1345" w:type="dxa"/>
          </w:tcPr>
          <w:p w14:paraId="5A73C3C0" w14:textId="77777777" w:rsidR="00517B4C" w:rsidRPr="00450958" w:rsidRDefault="00517B4C" w:rsidP="00517B4C">
            <w:pPr>
              <w:spacing w:after="240"/>
              <w:jc w:val="right"/>
              <w:rPr>
                <w:rFonts w:cs="Times New Roman"/>
                <w:sz w:val="20"/>
                <w:szCs w:val="20"/>
              </w:rPr>
            </w:pPr>
            <w:r w:rsidRPr="00450958">
              <w:rPr>
                <w:rFonts w:cs="Times New Roman"/>
                <w:sz w:val="20"/>
                <w:szCs w:val="20"/>
              </w:rPr>
              <w:t>Rebalancing the focus of the policy mix</w:t>
            </w:r>
          </w:p>
        </w:tc>
        <w:tc>
          <w:tcPr>
            <w:tcW w:w="8005" w:type="dxa"/>
          </w:tcPr>
          <w:p w14:paraId="262986B3" w14:textId="4742B273" w:rsidR="00517B4C" w:rsidRPr="00450958" w:rsidRDefault="00517B4C" w:rsidP="00450958">
            <w:pPr>
              <w:numPr>
                <w:ilvl w:val="0"/>
                <w:numId w:val="52"/>
              </w:numPr>
              <w:spacing w:after="240"/>
              <w:contextualSpacing/>
              <w:jc w:val="both"/>
              <w:rPr>
                <w:rFonts w:cs="Times New Roman"/>
                <w:sz w:val="20"/>
                <w:szCs w:val="20"/>
              </w:rPr>
            </w:pPr>
            <w:r w:rsidRPr="00450958">
              <w:rPr>
                <w:rFonts w:cs="Times New Roman"/>
                <w:sz w:val="20"/>
                <w:szCs w:val="20"/>
              </w:rPr>
              <w:t xml:space="preserve">Increase support on to innovation programs, particularly in areas of firm-level innovation, most importantly non-R&amp;D innovation internationalization of firms, and marketing, and entrepreneurship.  </w:t>
            </w:r>
          </w:p>
          <w:p w14:paraId="222154B9" w14:textId="77777777" w:rsidR="00517B4C" w:rsidRPr="00450958" w:rsidRDefault="00517B4C" w:rsidP="00450958">
            <w:pPr>
              <w:numPr>
                <w:ilvl w:val="0"/>
                <w:numId w:val="52"/>
              </w:numPr>
              <w:spacing w:after="240"/>
              <w:contextualSpacing/>
              <w:jc w:val="both"/>
              <w:rPr>
                <w:rFonts w:cs="Times New Roman"/>
                <w:sz w:val="20"/>
                <w:szCs w:val="20"/>
              </w:rPr>
            </w:pPr>
            <w:r w:rsidRPr="00450958">
              <w:rPr>
                <w:rFonts w:cs="Times New Roman"/>
                <w:sz w:val="20"/>
                <w:szCs w:val="20"/>
              </w:rPr>
              <w:t xml:space="preserve">Consideration should be given to increase support to existing programs, like in the case of RIPPLES for promoting exports, as opposed to creating new programs in these areas. This would prevent proliferation of excessive programs, and the potential fragmentation of support to address a specific market failure. Integrated SME development strategies are rare, while fragmented and overlapping programs are common. Therefore, </w:t>
            </w:r>
            <w:proofErr w:type="spellStart"/>
            <w:r w:rsidRPr="00450958">
              <w:rPr>
                <w:rFonts w:cs="Times New Roman"/>
                <w:sz w:val="20"/>
                <w:szCs w:val="20"/>
              </w:rPr>
              <w:t>GoP</w:t>
            </w:r>
            <w:proofErr w:type="spellEnd"/>
            <w:r w:rsidRPr="00450958">
              <w:rPr>
                <w:rFonts w:cs="Times New Roman"/>
                <w:sz w:val="20"/>
                <w:szCs w:val="20"/>
              </w:rPr>
              <w:t xml:space="preserve"> should identify and address burdens on SMEs preemptively before new regulations are issued.</w:t>
            </w:r>
          </w:p>
          <w:p w14:paraId="73BC12EC" w14:textId="77777777" w:rsidR="00517B4C" w:rsidRPr="00450958" w:rsidRDefault="00517B4C" w:rsidP="00450958">
            <w:pPr>
              <w:numPr>
                <w:ilvl w:val="0"/>
                <w:numId w:val="52"/>
              </w:numPr>
              <w:spacing w:after="240"/>
              <w:contextualSpacing/>
              <w:jc w:val="both"/>
              <w:rPr>
                <w:rFonts w:cs="Times New Roman"/>
                <w:sz w:val="20"/>
                <w:szCs w:val="20"/>
              </w:rPr>
            </w:pPr>
            <w:r w:rsidRPr="00450958">
              <w:rPr>
                <w:rFonts w:cs="Times New Roman"/>
                <w:sz w:val="20"/>
                <w:szCs w:val="20"/>
              </w:rPr>
              <w:t xml:space="preserve">However, before deciding to increase financial support to any existing program, the </w:t>
            </w:r>
            <w:proofErr w:type="spellStart"/>
            <w:r w:rsidRPr="00450958">
              <w:rPr>
                <w:rFonts w:cs="Times New Roman"/>
                <w:sz w:val="20"/>
                <w:szCs w:val="20"/>
              </w:rPr>
              <w:t>GoP</w:t>
            </w:r>
            <w:proofErr w:type="spellEnd"/>
            <w:r w:rsidRPr="00450958">
              <w:rPr>
                <w:rFonts w:cs="Times New Roman"/>
                <w:sz w:val="20"/>
                <w:szCs w:val="20"/>
              </w:rPr>
              <w:t xml:space="preserve"> should verify that there is a demonstrated understanding of the market failure that justify the intervention that support firms, and that the government agency tasked to deliver the program has the competency to redress them successfully (Maloney and Nayyar, 2018).</w:t>
            </w:r>
          </w:p>
        </w:tc>
      </w:tr>
      <w:tr w:rsidR="00517B4C" w:rsidRPr="00517B4C" w14:paraId="6A52974A" w14:textId="77777777" w:rsidTr="000D1EBD">
        <w:tc>
          <w:tcPr>
            <w:tcW w:w="1345" w:type="dxa"/>
          </w:tcPr>
          <w:p w14:paraId="4E59C162" w14:textId="77777777" w:rsidR="00517B4C" w:rsidRPr="00450958" w:rsidRDefault="00517B4C" w:rsidP="00517B4C">
            <w:pPr>
              <w:spacing w:after="240"/>
              <w:jc w:val="right"/>
              <w:rPr>
                <w:rFonts w:cs="Times New Roman"/>
                <w:sz w:val="20"/>
                <w:szCs w:val="20"/>
              </w:rPr>
            </w:pPr>
            <w:r w:rsidRPr="00450958">
              <w:rPr>
                <w:rFonts w:cs="Times New Roman"/>
                <w:sz w:val="20"/>
                <w:szCs w:val="20"/>
              </w:rPr>
              <w:t>Eliminating potential redundancy in the policy mix</w:t>
            </w:r>
          </w:p>
        </w:tc>
        <w:tc>
          <w:tcPr>
            <w:tcW w:w="8005" w:type="dxa"/>
          </w:tcPr>
          <w:p w14:paraId="645CB38D" w14:textId="4DC4EE79" w:rsidR="00517B4C" w:rsidRPr="00450958" w:rsidRDefault="00517B4C" w:rsidP="00450958">
            <w:pPr>
              <w:numPr>
                <w:ilvl w:val="0"/>
                <w:numId w:val="53"/>
              </w:numPr>
              <w:spacing w:after="240"/>
              <w:contextualSpacing/>
              <w:jc w:val="both"/>
              <w:rPr>
                <w:rFonts w:cs="Times New Roman"/>
                <w:sz w:val="20"/>
                <w:szCs w:val="20"/>
              </w:rPr>
            </w:pPr>
            <w:r w:rsidRPr="00450958">
              <w:rPr>
                <w:rFonts w:cs="Times New Roman"/>
                <w:sz w:val="20"/>
                <w:szCs w:val="20"/>
              </w:rPr>
              <w:t xml:space="preserve">Policymakers need to further investigate the possible rationalization or programs that present a priori similar scope in terms of target group, objectives and mechanism for support. Our analysis has identified 3 tentative cases. These need to be looked carefully, as our analysis may have overseen nuanced features of these programs outside of the screening criteria that we used based on overlap of scope of target beneficiary, objective and instruments, for example, regional presence and outreach in the local community. </w:t>
            </w:r>
          </w:p>
          <w:p w14:paraId="53611817" w14:textId="77777777" w:rsidR="00517B4C" w:rsidRPr="00450958" w:rsidRDefault="00517B4C" w:rsidP="00450958">
            <w:pPr>
              <w:numPr>
                <w:ilvl w:val="0"/>
                <w:numId w:val="53"/>
              </w:numPr>
              <w:spacing w:after="240"/>
              <w:contextualSpacing/>
              <w:jc w:val="both"/>
              <w:rPr>
                <w:rFonts w:cs="Times New Roman"/>
                <w:sz w:val="20"/>
                <w:szCs w:val="20"/>
              </w:rPr>
            </w:pPr>
            <w:r w:rsidRPr="00450958">
              <w:rPr>
                <w:rFonts w:cs="Times New Roman"/>
                <w:sz w:val="20"/>
                <w:szCs w:val="20"/>
              </w:rPr>
              <w:t>If these candidates do not prove the case for rationalization, managers of each program should at least consider introducing systematic collaboration mechanisms among these programs, to learn from knowledge obtained from implementation, and prevent duplicity of beneficiaries (participants that apply and benefit from more than one program simultaneously)</w:t>
            </w:r>
          </w:p>
          <w:p w14:paraId="4EE60B76" w14:textId="61B2787C" w:rsidR="00517B4C" w:rsidRPr="00450958" w:rsidRDefault="00517B4C" w:rsidP="00450958">
            <w:pPr>
              <w:numPr>
                <w:ilvl w:val="0"/>
                <w:numId w:val="53"/>
              </w:numPr>
              <w:spacing w:after="240"/>
              <w:contextualSpacing/>
              <w:jc w:val="both"/>
              <w:rPr>
                <w:rFonts w:cs="Times New Roman"/>
                <w:sz w:val="20"/>
                <w:szCs w:val="20"/>
              </w:rPr>
            </w:pPr>
            <w:r w:rsidRPr="00450958">
              <w:rPr>
                <w:rFonts w:cs="Times New Roman"/>
                <w:sz w:val="20"/>
                <w:szCs w:val="20"/>
              </w:rPr>
              <w:t xml:space="preserve">Consider elimination of 9 programs from </w:t>
            </w:r>
            <w:proofErr w:type="spellStart"/>
            <w:r w:rsidRPr="00450958">
              <w:rPr>
                <w:rFonts w:cs="Times New Roman"/>
                <w:sz w:val="20"/>
                <w:szCs w:val="20"/>
              </w:rPr>
              <w:t>DoST</w:t>
            </w:r>
            <w:proofErr w:type="spellEnd"/>
            <w:r w:rsidRPr="00450958">
              <w:rPr>
                <w:rFonts w:cs="Times New Roman"/>
                <w:sz w:val="20"/>
                <w:szCs w:val="20"/>
              </w:rPr>
              <w:t xml:space="preserve"> and DTI that suggested insufficient scale (at the threshold of PHP 4 million in 2017), given the potential burden these impose of administration personnel and supervision.  However, final determination should be done considering the demands that the administration imposes on the program supervision – i.e. as some small programs are less resource intensive by their nature.</w:t>
            </w:r>
          </w:p>
        </w:tc>
      </w:tr>
      <w:tr w:rsidR="00517B4C" w:rsidRPr="00517B4C" w14:paraId="5ACF4A00" w14:textId="77777777" w:rsidTr="000D1EBD">
        <w:tc>
          <w:tcPr>
            <w:tcW w:w="1345" w:type="dxa"/>
          </w:tcPr>
          <w:p w14:paraId="7D82E186" w14:textId="77777777" w:rsidR="00517B4C" w:rsidRPr="00450958" w:rsidRDefault="00517B4C" w:rsidP="00517B4C">
            <w:pPr>
              <w:spacing w:after="240"/>
              <w:rPr>
                <w:rFonts w:cs="Times New Roman"/>
                <w:sz w:val="20"/>
                <w:szCs w:val="20"/>
              </w:rPr>
            </w:pPr>
            <w:r w:rsidRPr="00450958">
              <w:rPr>
                <w:rFonts w:cs="Times New Roman"/>
                <w:sz w:val="20"/>
                <w:szCs w:val="20"/>
              </w:rPr>
              <w:t>Recalibrating the strategic approach of specific program features</w:t>
            </w:r>
          </w:p>
        </w:tc>
        <w:tc>
          <w:tcPr>
            <w:tcW w:w="8005" w:type="dxa"/>
          </w:tcPr>
          <w:p w14:paraId="2112C43F" w14:textId="77777777" w:rsidR="00517B4C" w:rsidRPr="00450958" w:rsidRDefault="00517B4C" w:rsidP="00450958">
            <w:pPr>
              <w:numPr>
                <w:ilvl w:val="0"/>
                <w:numId w:val="54"/>
              </w:numPr>
              <w:spacing w:after="240"/>
              <w:contextualSpacing/>
              <w:jc w:val="both"/>
              <w:rPr>
                <w:rFonts w:cs="Times New Roman"/>
                <w:sz w:val="20"/>
                <w:szCs w:val="20"/>
              </w:rPr>
            </w:pPr>
            <w:r w:rsidRPr="00450958">
              <w:rPr>
                <w:rFonts w:cs="Times New Roman"/>
                <w:sz w:val="20"/>
                <w:szCs w:val="20"/>
              </w:rPr>
              <w:t>Rethink the approach to SME interventions away from size to focus on addressing market failures, increasing productivity and stimulating growth of firms. Policies targeting market failures, rather than those focused on size, have a positive impact on firm productivity and growth.</w:t>
            </w:r>
          </w:p>
          <w:p w14:paraId="67FF7462" w14:textId="3A7FA7EB" w:rsidR="00517B4C" w:rsidRPr="00450958" w:rsidRDefault="00517B4C" w:rsidP="00450958">
            <w:pPr>
              <w:numPr>
                <w:ilvl w:val="0"/>
                <w:numId w:val="54"/>
              </w:numPr>
              <w:spacing w:after="240"/>
              <w:contextualSpacing/>
              <w:jc w:val="both"/>
              <w:rPr>
                <w:rFonts w:cs="Times New Roman"/>
                <w:sz w:val="20"/>
                <w:szCs w:val="20"/>
              </w:rPr>
            </w:pPr>
            <w:r w:rsidRPr="00450958">
              <w:rPr>
                <w:rFonts w:cs="Times New Roman"/>
                <w:sz w:val="20"/>
                <w:szCs w:val="20"/>
              </w:rPr>
              <w:t xml:space="preserve">Prioritize the use of program features that catalyze markets, (market enhancing) and leverage financial resources from beneficiaries (i.e. crowd in the private sector), over interventionist features that may create dependence of beneficiaries, and carry additional burden for administration and supervision. When applicable, the use of these programs can be less distortive and result in efficiency. Use of indirect instruments and demand enhancing mechanisms, such as vouchers for innovation supplier </w:t>
            </w:r>
            <w:proofErr w:type="spellStart"/>
            <w:r w:rsidRPr="00450958">
              <w:rPr>
                <w:rFonts w:cs="Times New Roman"/>
                <w:sz w:val="20"/>
                <w:szCs w:val="20"/>
              </w:rPr>
              <w:t>linkagesand</w:t>
            </w:r>
            <w:proofErr w:type="spellEnd"/>
            <w:r w:rsidRPr="00450958">
              <w:rPr>
                <w:rFonts w:cs="Times New Roman"/>
                <w:sz w:val="20"/>
                <w:szCs w:val="20"/>
              </w:rPr>
              <w:t xml:space="preserve"> credit guarantees for innovation are good examples.</w:t>
            </w:r>
          </w:p>
          <w:p w14:paraId="4E20C917" w14:textId="5D3550AA" w:rsidR="00517B4C" w:rsidRPr="00450958" w:rsidRDefault="00517B4C" w:rsidP="00450958">
            <w:pPr>
              <w:numPr>
                <w:ilvl w:val="0"/>
                <w:numId w:val="54"/>
              </w:numPr>
              <w:spacing w:after="240"/>
              <w:contextualSpacing/>
              <w:jc w:val="both"/>
              <w:rPr>
                <w:rFonts w:cs="Times New Roman"/>
                <w:sz w:val="20"/>
                <w:szCs w:val="20"/>
              </w:rPr>
            </w:pPr>
            <w:r w:rsidRPr="00450958">
              <w:rPr>
                <w:rFonts w:cs="Times New Roman"/>
                <w:sz w:val="20"/>
                <w:szCs w:val="20"/>
              </w:rPr>
              <w:t>Introduce instruments that promote collaboration, particularly of these bring potential for long term behavior additionality. Collaboration support, including grants, address a coordination failure that leads to a lack of collaboration and thus less innovation</w:t>
            </w:r>
          </w:p>
        </w:tc>
      </w:tr>
    </w:tbl>
    <w:p w14:paraId="5D56C940" w14:textId="77777777" w:rsidR="00517B4C" w:rsidRPr="00517B4C" w:rsidRDefault="00517B4C" w:rsidP="00517B4C">
      <w:pPr>
        <w:jc w:val="both"/>
        <w:rPr>
          <w:rFonts w:ascii="Times" w:hAnsi="Times" w:cs="Times New Roman"/>
          <w:b/>
          <w:color w:val="0070C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0"/>
        <w:gridCol w:w="6500"/>
      </w:tblGrid>
      <w:tr w:rsidR="00517B4C" w:rsidRPr="00517B4C" w14:paraId="1B40CE1D" w14:textId="77777777" w:rsidTr="000D1EBD">
        <w:trPr>
          <w:trHeight w:val="560"/>
        </w:trPr>
        <w:tc>
          <w:tcPr>
            <w:tcW w:w="9360" w:type="dxa"/>
            <w:gridSpan w:val="2"/>
            <w:shd w:val="clear" w:color="auto" w:fill="auto"/>
            <w:noWrap/>
            <w:vAlign w:val="center"/>
          </w:tcPr>
          <w:p w14:paraId="657381A0" w14:textId="77777777" w:rsidR="00517B4C" w:rsidRPr="00517B4C" w:rsidRDefault="00517B4C" w:rsidP="00517B4C">
            <w:pPr>
              <w:spacing w:after="80" w:line="240" w:lineRule="auto"/>
              <w:jc w:val="both"/>
              <w:rPr>
                <w:rFonts w:eastAsia="Times New Roman" w:cs="Times New Roman"/>
                <w:b/>
                <w:bCs/>
                <w:color w:val="000000"/>
                <w:sz w:val="20"/>
                <w:szCs w:val="20"/>
              </w:rPr>
            </w:pPr>
            <w:r w:rsidRPr="00517B4C">
              <w:rPr>
                <w:rFonts w:eastAsia="Times New Roman" w:cs="Times New Roman"/>
                <w:b/>
                <w:bCs/>
                <w:color w:val="000000"/>
                <w:sz w:val="20"/>
                <w:szCs w:val="20"/>
              </w:rPr>
              <w:t>PER - List of actions for improving design</w:t>
            </w:r>
          </w:p>
        </w:tc>
      </w:tr>
      <w:tr w:rsidR="00517B4C" w:rsidRPr="00517B4C" w14:paraId="3C1F6BE4" w14:textId="77777777" w:rsidTr="000D1EBD">
        <w:trPr>
          <w:trHeight w:val="560"/>
        </w:trPr>
        <w:tc>
          <w:tcPr>
            <w:tcW w:w="2860" w:type="dxa"/>
            <w:shd w:val="clear" w:color="auto" w:fill="auto"/>
            <w:noWrap/>
            <w:vAlign w:val="center"/>
            <w:hideMark/>
          </w:tcPr>
          <w:p w14:paraId="202FF319"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Program Started</w:t>
            </w:r>
          </w:p>
        </w:tc>
        <w:tc>
          <w:tcPr>
            <w:tcW w:w="6500" w:type="dxa"/>
            <w:shd w:val="clear" w:color="auto" w:fill="auto"/>
            <w:noWrap/>
            <w:vAlign w:val="bottom"/>
            <w:hideMark/>
          </w:tcPr>
          <w:p w14:paraId="6A8DC146"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 xml:space="preserve">Avoid </w:t>
            </w:r>
            <w:r w:rsidRPr="00517B4C">
              <w:rPr>
                <w:rFonts w:eastAsia="Times New Roman" w:cs="Times New Roman"/>
                <w:bCs/>
                <w:i/>
                <w:color w:val="000000"/>
                <w:sz w:val="20"/>
                <w:szCs w:val="20"/>
              </w:rPr>
              <w:t>ad hoc</w:t>
            </w:r>
            <w:r w:rsidRPr="00517B4C">
              <w:rPr>
                <w:rFonts w:eastAsia="Times New Roman" w:cs="Times New Roman"/>
                <w:bCs/>
                <w:color w:val="000000"/>
                <w:sz w:val="20"/>
                <w:szCs w:val="20"/>
              </w:rPr>
              <w:t xml:space="preserve"> decisions to bring new programs. All new programs should be agreed with other agencies as part of an existing program and an alignment with other instruments. </w:t>
            </w:r>
          </w:p>
          <w:p w14:paraId="5B3C874D"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Design transfer workshops with regions need to be implemented for all new programs</w:t>
            </w:r>
          </w:p>
        </w:tc>
      </w:tr>
      <w:tr w:rsidR="00517B4C" w:rsidRPr="00517B4C" w14:paraId="262CADC2" w14:textId="77777777" w:rsidTr="000D1EBD">
        <w:trPr>
          <w:trHeight w:val="840"/>
        </w:trPr>
        <w:tc>
          <w:tcPr>
            <w:tcW w:w="2860" w:type="dxa"/>
            <w:shd w:val="clear" w:color="auto" w:fill="auto"/>
            <w:noWrap/>
            <w:vAlign w:val="center"/>
            <w:hideMark/>
          </w:tcPr>
          <w:p w14:paraId="1C7AD848"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 xml:space="preserve">Program Justification </w:t>
            </w:r>
          </w:p>
        </w:tc>
        <w:tc>
          <w:tcPr>
            <w:tcW w:w="6500" w:type="dxa"/>
            <w:shd w:val="clear" w:color="auto" w:fill="auto"/>
            <w:noWrap/>
            <w:vAlign w:val="bottom"/>
            <w:hideMark/>
          </w:tcPr>
          <w:p w14:paraId="2FC7FC74"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Develop a harmonized template to justify new programs based on a quantitative analysis of the problem and the identification of an existing market failure that justify the program. This should be the basis for discussing the merits of new programs. Bring when possible international experience</w:t>
            </w:r>
          </w:p>
        </w:tc>
      </w:tr>
      <w:tr w:rsidR="00517B4C" w:rsidRPr="00517B4C" w14:paraId="26D49489" w14:textId="77777777" w:rsidTr="000D1EBD">
        <w:trPr>
          <w:trHeight w:val="840"/>
        </w:trPr>
        <w:tc>
          <w:tcPr>
            <w:tcW w:w="2860" w:type="dxa"/>
            <w:shd w:val="clear" w:color="auto" w:fill="auto"/>
            <w:noWrap/>
            <w:vAlign w:val="center"/>
            <w:hideMark/>
          </w:tcPr>
          <w:p w14:paraId="1B12A71F"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Portfolio Relationship</w:t>
            </w:r>
          </w:p>
        </w:tc>
        <w:tc>
          <w:tcPr>
            <w:tcW w:w="6500" w:type="dxa"/>
            <w:shd w:val="clear" w:color="auto" w:fill="auto"/>
            <w:noWrap/>
            <w:vAlign w:val="bottom"/>
            <w:hideMark/>
          </w:tcPr>
          <w:p w14:paraId="35A21A38"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Demonstrate in the template not only the merit and the lack of duplication with other programs, but also the alignment and complementarities. That should be written and discussed with other government agencies.</w:t>
            </w:r>
          </w:p>
        </w:tc>
      </w:tr>
      <w:tr w:rsidR="00517B4C" w:rsidRPr="00517B4C" w14:paraId="6BB6C9B2" w14:textId="77777777" w:rsidTr="000D1EBD">
        <w:trPr>
          <w:trHeight w:val="840"/>
        </w:trPr>
        <w:tc>
          <w:tcPr>
            <w:tcW w:w="2860" w:type="dxa"/>
            <w:shd w:val="clear" w:color="auto" w:fill="auto"/>
            <w:noWrap/>
            <w:vAlign w:val="center"/>
            <w:hideMark/>
          </w:tcPr>
          <w:p w14:paraId="44531C78"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 xml:space="preserve">Program Objectives </w:t>
            </w:r>
          </w:p>
        </w:tc>
        <w:tc>
          <w:tcPr>
            <w:tcW w:w="6500" w:type="dxa"/>
            <w:shd w:val="clear" w:color="auto" w:fill="auto"/>
            <w:noWrap/>
            <w:vAlign w:val="bottom"/>
            <w:hideMark/>
          </w:tcPr>
          <w:p w14:paraId="4377F31F" w14:textId="77777777" w:rsidR="00517B4C" w:rsidRPr="00517B4C" w:rsidRDefault="00517B4C" w:rsidP="00517B4C">
            <w:pPr>
              <w:spacing w:after="80" w:line="240" w:lineRule="auto"/>
              <w:jc w:val="both"/>
              <w:rPr>
                <w:rFonts w:eastAsia="Times New Roman" w:cs="Times New Roman"/>
                <w:b/>
                <w:bCs/>
                <w:color w:val="000000"/>
                <w:sz w:val="20"/>
                <w:szCs w:val="20"/>
              </w:rPr>
            </w:pPr>
            <w:r w:rsidRPr="00517B4C">
              <w:rPr>
                <w:rFonts w:eastAsia="Times New Roman" w:cs="Times New Roman"/>
                <w:bCs/>
                <w:color w:val="000000"/>
                <w:sz w:val="20"/>
                <w:szCs w:val="20"/>
              </w:rPr>
              <w:t>Set in the template clear and measurable objectives. Develop realistic targets to be used in M&amp;E and develop them with the regions. Each region with realistic target of same indicators.</w:t>
            </w:r>
          </w:p>
        </w:tc>
      </w:tr>
      <w:tr w:rsidR="00517B4C" w:rsidRPr="00517B4C" w14:paraId="59463395" w14:textId="77777777" w:rsidTr="000D1EBD">
        <w:trPr>
          <w:trHeight w:val="458"/>
        </w:trPr>
        <w:tc>
          <w:tcPr>
            <w:tcW w:w="2860" w:type="dxa"/>
            <w:shd w:val="clear" w:color="auto" w:fill="auto"/>
            <w:noWrap/>
            <w:vAlign w:val="center"/>
            <w:hideMark/>
          </w:tcPr>
          <w:p w14:paraId="5E649EE8"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Logical Framework</w:t>
            </w:r>
          </w:p>
        </w:tc>
        <w:tc>
          <w:tcPr>
            <w:tcW w:w="6500" w:type="dxa"/>
            <w:shd w:val="clear" w:color="auto" w:fill="auto"/>
            <w:noWrap/>
            <w:vAlign w:val="bottom"/>
            <w:hideMark/>
          </w:tcPr>
          <w:p w14:paraId="55312430" w14:textId="77777777" w:rsidR="00517B4C" w:rsidRPr="00517B4C" w:rsidRDefault="00517B4C" w:rsidP="00517B4C">
            <w:pPr>
              <w:spacing w:after="80" w:line="240" w:lineRule="auto"/>
              <w:jc w:val="both"/>
              <w:rPr>
                <w:rFonts w:eastAsia="Times New Roman" w:cs="Times New Roman"/>
                <w:b/>
                <w:bCs/>
                <w:color w:val="000000"/>
                <w:sz w:val="20"/>
                <w:szCs w:val="20"/>
              </w:rPr>
            </w:pPr>
            <w:r w:rsidRPr="00517B4C">
              <w:rPr>
                <w:rFonts w:eastAsia="Times New Roman" w:cs="Times New Roman"/>
                <w:bCs/>
                <w:color w:val="000000"/>
                <w:sz w:val="20"/>
                <w:szCs w:val="20"/>
              </w:rPr>
              <w:t>Made it compulsory to have a logical framework. Train staff of developing logical frameworks</w:t>
            </w:r>
          </w:p>
        </w:tc>
      </w:tr>
      <w:tr w:rsidR="00517B4C" w:rsidRPr="00517B4C" w14:paraId="764936EF" w14:textId="77777777" w:rsidTr="000D1EBD">
        <w:trPr>
          <w:trHeight w:val="290"/>
        </w:trPr>
        <w:tc>
          <w:tcPr>
            <w:tcW w:w="2860" w:type="dxa"/>
            <w:shd w:val="clear" w:color="auto" w:fill="auto"/>
            <w:noWrap/>
            <w:vAlign w:val="center"/>
            <w:hideMark/>
          </w:tcPr>
          <w:p w14:paraId="7535B56A"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Inputs</w:t>
            </w:r>
          </w:p>
        </w:tc>
        <w:tc>
          <w:tcPr>
            <w:tcW w:w="6500" w:type="dxa"/>
            <w:shd w:val="clear" w:color="auto" w:fill="auto"/>
            <w:noWrap/>
            <w:vAlign w:val="bottom"/>
            <w:hideMark/>
          </w:tcPr>
          <w:p w14:paraId="287D9EFE"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Develop costings of all inputs</w:t>
            </w:r>
          </w:p>
        </w:tc>
      </w:tr>
      <w:tr w:rsidR="00517B4C" w:rsidRPr="00517B4C" w14:paraId="7BF5EFDA" w14:textId="77777777" w:rsidTr="000D1EBD">
        <w:trPr>
          <w:trHeight w:val="560"/>
        </w:trPr>
        <w:tc>
          <w:tcPr>
            <w:tcW w:w="2860" w:type="dxa"/>
            <w:shd w:val="clear" w:color="auto" w:fill="auto"/>
            <w:noWrap/>
            <w:vAlign w:val="center"/>
            <w:hideMark/>
          </w:tcPr>
          <w:p w14:paraId="71CD65A8"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Activities</w:t>
            </w:r>
          </w:p>
        </w:tc>
        <w:tc>
          <w:tcPr>
            <w:tcW w:w="6500" w:type="dxa"/>
            <w:shd w:val="clear" w:color="auto" w:fill="auto"/>
            <w:noWrap/>
            <w:vAlign w:val="bottom"/>
            <w:hideMark/>
          </w:tcPr>
          <w:p w14:paraId="6FC1E187"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 xml:space="preserve">Activities should be clear and complete, with costings per $ and per beneficiary </w:t>
            </w:r>
          </w:p>
        </w:tc>
      </w:tr>
      <w:tr w:rsidR="00517B4C" w:rsidRPr="00517B4C" w14:paraId="78BF7FE1" w14:textId="77777777" w:rsidTr="000D1EBD">
        <w:trPr>
          <w:trHeight w:val="290"/>
        </w:trPr>
        <w:tc>
          <w:tcPr>
            <w:tcW w:w="2860" w:type="dxa"/>
            <w:shd w:val="clear" w:color="auto" w:fill="auto"/>
            <w:noWrap/>
            <w:vAlign w:val="center"/>
            <w:hideMark/>
          </w:tcPr>
          <w:p w14:paraId="24FF691F"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Products</w:t>
            </w:r>
          </w:p>
        </w:tc>
        <w:tc>
          <w:tcPr>
            <w:tcW w:w="6500" w:type="dxa"/>
            <w:shd w:val="clear" w:color="auto" w:fill="auto"/>
            <w:noWrap/>
            <w:vAlign w:val="bottom"/>
            <w:hideMark/>
          </w:tcPr>
          <w:p w14:paraId="75708587"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Already measured and reported, make sure this continues to be implemented</w:t>
            </w:r>
          </w:p>
        </w:tc>
      </w:tr>
      <w:tr w:rsidR="00517B4C" w:rsidRPr="00517B4C" w14:paraId="1FC93307" w14:textId="77777777" w:rsidTr="000D1EBD">
        <w:trPr>
          <w:trHeight w:val="840"/>
        </w:trPr>
        <w:tc>
          <w:tcPr>
            <w:tcW w:w="2860" w:type="dxa"/>
            <w:shd w:val="clear" w:color="auto" w:fill="auto"/>
            <w:noWrap/>
            <w:vAlign w:val="center"/>
            <w:hideMark/>
          </w:tcPr>
          <w:p w14:paraId="6599D40C"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Main beneficiaries</w:t>
            </w:r>
          </w:p>
        </w:tc>
        <w:tc>
          <w:tcPr>
            <w:tcW w:w="6500" w:type="dxa"/>
            <w:shd w:val="clear" w:color="auto" w:fill="auto"/>
            <w:noWrap/>
            <w:vAlign w:val="bottom"/>
            <w:hideMark/>
          </w:tcPr>
          <w:p w14:paraId="5968AD32"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 xml:space="preserve">Force programs to develop a more nuanced view of who are the potential beneficiaries and whether the targeting is bringing the beneficiaries expected. </w:t>
            </w:r>
          </w:p>
        </w:tc>
      </w:tr>
      <w:tr w:rsidR="00517B4C" w:rsidRPr="00517B4C" w14:paraId="6C436E18" w14:textId="77777777" w:rsidTr="000D1EBD">
        <w:trPr>
          <w:trHeight w:val="560"/>
        </w:trPr>
        <w:tc>
          <w:tcPr>
            <w:tcW w:w="2860" w:type="dxa"/>
            <w:shd w:val="clear" w:color="auto" w:fill="auto"/>
            <w:noWrap/>
            <w:vAlign w:val="center"/>
            <w:hideMark/>
          </w:tcPr>
          <w:p w14:paraId="04B7618C"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Audiences</w:t>
            </w:r>
          </w:p>
        </w:tc>
        <w:tc>
          <w:tcPr>
            <w:tcW w:w="6500" w:type="dxa"/>
            <w:shd w:val="clear" w:color="auto" w:fill="auto"/>
            <w:noWrap/>
            <w:vAlign w:val="bottom"/>
            <w:hideMark/>
          </w:tcPr>
          <w:p w14:paraId="0A25EEB6"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Go beyond your beneficiaries when designing instruments. Consultations with private sector and academia need to be mandatory for the design of new programs</w:t>
            </w:r>
          </w:p>
        </w:tc>
      </w:tr>
      <w:tr w:rsidR="00517B4C" w:rsidRPr="00517B4C" w14:paraId="7B04A554" w14:textId="77777777" w:rsidTr="000D1EBD">
        <w:trPr>
          <w:trHeight w:val="1120"/>
        </w:trPr>
        <w:tc>
          <w:tcPr>
            <w:tcW w:w="2860" w:type="dxa"/>
            <w:shd w:val="clear" w:color="auto" w:fill="auto"/>
            <w:noWrap/>
            <w:vAlign w:val="center"/>
            <w:hideMark/>
          </w:tcPr>
          <w:p w14:paraId="71E36E79"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Alternative Instrument</w:t>
            </w:r>
          </w:p>
        </w:tc>
        <w:tc>
          <w:tcPr>
            <w:tcW w:w="6500" w:type="dxa"/>
            <w:shd w:val="clear" w:color="auto" w:fill="auto"/>
            <w:noWrap/>
            <w:vAlign w:val="bottom"/>
            <w:hideMark/>
          </w:tcPr>
          <w:p w14:paraId="3D121D8E"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Alternative instrument considerations should be integral part of the justification. Both DTI and DOST should consider creating a learning and evaluation unit that can support this and other elements of monitoring and evaluation.</w:t>
            </w:r>
          </w:p>
        </w:tc>
      </w:tr>
      <w:tr w:rsidR="00517B4C" w:rsidRPr="00517B4C" w14:paraId="160129C3" w14:textId="77777777" w:rsidTr="000D1EBD">
        <w:trPr>
          <w:trHeight w:val="422"/>
        </w:trPr>
        <w:tc>
          <w:tcPr>
            <w:tcW w:w="2860" w:type="dxa"/>
            <w:shd w:val="clear" w:color="auto" w:fill="auto"/>
            <w:noWrap/>
            <w:vAlign w:val="center"/>
            <w:hideMark/>
          </w:tcPr>
          <w:p w14:paraId="7C47720F"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Expected Outputs and Impact</w:t>
            </w:r>
          </w:p>
        </w:tc>
        <w:tc>
          <w:tcPr>
            <w:tcW w:w="6500" w:type="dxa"/>
            <w:shd w:val="clear" w:color="auto" w:fill="auto"/>
            <w:noWrap/>
            <w:vAlign w:val="bottom"/>
            <w:hideMark/>
          </w:tcPr>
          <w:p w14:paraId="5BEFB50A"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Ensure that these are clearly identified during the design stage</w:t>
            </w:r>
          </w:p>
        </w:tc>
      </w:tr>
      <w:tr w:rsidR="00517B4C" w:rsidRPr="00517B4C" w14:paraId="3F6C3154" w14:textId="77777777" w:rsidTr="000D1EBD">
        <w:trPr>
          <w:trHeight w:val="560"/>
        </w:trPr>
        <w:tc>
          <w:tcPr>
            <w:tcW w:w="2860" w:type="dxa"/>
            <w:shd w:val="clear" w:color="auto" w:fill="auto"/>
            <w:noWrap/>
            <w:vAlign w:val="center"/>
            <w:hideMark/>
          </w:tcPr>
          <w:p w14:paraId="45ABCB3F"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Selection criteria</w:t>
            </w:r>
          </w:p>
        </w:tc>
        <w:tc>
          <w:tcPr>
            <w:tcW w:w="6500" w:type="dxa"/>
            <w:shd w:val="clear" w:color="auto" w:fill="auto"/>
            <w:noWrap/>
            <w:vAlign w:val="bottom"/>
            <w:hideMark/>
          </w:tcPr>
          <w:p w14:paraId="6AA10C92"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 xml:space="preserve">Ensure that reflect the targeting needed and that is implemented consistently across all regions. </w:t>
            </w:r>
          </w:p>
        </w:tc>
      </w:tr>
      <w:tr w:rsidR="00517B4C" w:rsidRPr="00517B4C" w14:paraId="6D307CB8" w14:textId="77777777" w:rsidTr="000D1EBD">
        <w:trPr>
          <w:trHeight w:val="1120"/>
        </w:trPr>
        <w:tc>
          <w:tcPr>
            <w:tcW w:w="2860" w:type="dxa"/>
            <w:shd w:val="clear" w:color="auto" w:fill="auto"/>
            <w:noWrap/>
            <w:vAlign w:val="center"/>
            <w:hideMark/>
          </w:tcPr>
          <w:p w14:paraId="34AD39C2"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Monitoring and Evaluation</w:t>
            </w:r>
          </w:p>
        </w:tc>
        <w:tc>
          <w:tcPr>
            <w:tcW w:w="6500" w:type="dxa"/>
            <w:shd w:val="clear" w:color="auto" w:fill="auto"/>
            <w:noWrap/>
            <w:vAlign w:val="bottom"/>
            <w:hideMark/>
          </w:tcPr>
          <w:p w14:paraId="748DA3EF"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This needs to be mandatory. Develop a general framework with harmonized indicators and make sure that this is followed throughout in the reporting. Train staff accordingly on how to use it.</w:t>
            </w:r>
          </w:p>
          <w:p w14:paraId="78D70D91"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Develop a list of impact evaluations ex ante for a sample of programs, based on size and importance of the programs</w:t>
            </w:r>
          </w:p>
        </w:tc>
      </w:tr>
    </w:tbl>
    <w:p w14:paraId="782D8139" w14:textId="77777777" w:rsidR="00517B4C" w:rsidRPr="00517B4C" w:rsidRDefault="00517B4C" w:rsidP="00517B4C">
      <w:pPr>
        <w:rPr>
          <w:rFonts w:cs="Times New Roman"/>
          <w:b/>
          <w:sz w:val="20"/>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0"/>
        <w:gridCol w:w="6500"/>
      </w:tblGrid>
      <w:tr w:rsidR="00517B4C" w:rsidRPr="00517B4C" w14:paraId="549088C2" w14:textId="77777777" w:rsidTr="000D1EBD">
        <w:trPr>
          <w:trHeight w:val="560"/>
        </w:trPr>
        <w:tc>
          <w:tcPr>
            <w:tcW w:w="9360" w:type="dxa"/>
            <w:gridSpan w:val="2"/>
            <w:shd w:val="clear" w:color="auto" w:fill="auto"/>
            <w:noWrap/>
            <w:vAlign w:val="center"/>
          </w:tcPr>
          <w:p w14:paraId="04C35495"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cs="Times New Roman"/>
                <w:b/>
                <w:sz w:val="20"/>
                <w:szCs w:val="20"/>
              </w:rPr>
              <w:t>PER: List of actions for improving implementation</w:t>
            </w:r>
          </w:p>
        </w:tc>
      </w:tr>
      <w:tr w:rsidR="00517B4C" w:rsidRPr="00517B4C" w14:paraId="417E25EC" w14:textId="77777777" w:rsidTr="000D1EBD">
        <w:trPr>
          <w:trHeight w:val="560"/>
        </w:trPr>
        <w:tc>
          <w:tcPr>
            <w:tcW w:w="2860" w:type="dxa"/>
            <w:shd w:val="clear" w:color="auto" w:fill="auto"/>
            <w:noWrap/>
            <w:vAlign w:val="center"/>
            <w:hideMark/>
          </w:tcPr>
          <w:p w14:paraId="47DB4FE5"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cs="Times New Roman"/>
                <w:bCs/>
                <w:color w:val="000000"/>
                <w:sz w:val="20"/>
                <w:szCs w:val="20"/>
              </w:rPr>
              <w:t>Learning evidence during implementation</w:t>
            </w:r>
          </w:p>
        </w:tc>
        <w:tc>
          <w:tcPr>
            <w:tcW w:w="6500" w:type="dxa"/>
            <w:shd w:val="clear" w:color="auto" w:fill="auto"/>
            <w:noWrap/>
            <w:vAlign w:val="bottom"/>
            <w:hideMark/>
          </w:tcPr>
          <w:p w14:paraId="4394E0BA"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 xml:space="preserve">Introduce mid-term reviews of programs and formal processes for learning at the end of the year, all with formal documentation </w:t>
            </w:r>
          </w:p>
        </w:tc>
      </w:tr>
      <w:tr w:rsidR="00517B4C" w:rsidRPr="00517B4C" w14:paraId="610CCB0B" w14:textId="77777777" w:rsidTr="000D1EBD">
        <w:trPr>
          <w:trHeight w:val="840"/>
        </w:trPr>
        <w:tc>
          <w:tcPr>
            <w:tcW w:w="2860" w:type="dxa"/>
            <w:shd w:val="clear" w:color="auto" w:fill="auto"/>
            <w:noWrap/>
            <w:vAlign w:val="center"/>
            <w:hideMark/>
          </w:tcPr>
          <w:p w14:paraId="1F81AD39"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cs="Times New Roman"/>
                <w:bCs/>
                <w:color w:val="000000"/>
                <w:sz w:val="20"/>
                <w:szCs w:val="20"/>
              </w:rPr>
              <w:t>Eligibility and selection during the program</w:t>
            </w:r>
          </w:p>
        </w:tc>
        <w:tc>
          <w:tcPr>
            <w:tcW w:w="6500" w:type="dxa"/>
            <w:shd w:val="clear" w:color="auto" w:fill="auto"/>
            <w:noWrap/>
            <w:vAlign w:val="bottom"/>
            <w:hideMark/>
          </w:tcPr>
          <w:p w14:paraId="4CDF190E"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Develop a general manual for selection on MSME programs, with clear guidance and suggestions of good practices. Create a database of exports to evaluate proposals.</w:t>
            </w:r>
          </w:p>
          <w:p w14:paraId="25D11484"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An appealing mechanism needs to be implemented, common for all programs and used in practice</w:t>
            </w:r>
          </w:p>
        </w:tc>
      </w:tr>
      <w:tr w:rsidR="00517B4C" w:rsidRPr="00517B4C" w14:paraId="1FD9782E" w14:textId="77777777" w:rsidTr="000D1EBD">
        <w:trPr>
          <w:trHeight w:val="494"/>
        </w:trPr>
        <w:tc>
          <w:tcPr>
            <w:tcW w:w="2860" w:type="dxa"/>
            <w:shd w:val="clear" w:color="auto" w:fill="auto"/>
            <w:noWrap/>
            <w:vAlign w:val="center"/>
            <w:hideMark/>
          </w:tcPr>
          <w:p w14:paraId="42D63C96"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cs="Times New Roman"/>
                <w:bCs/>
                <w:color w:val="000000"/>
                <w:sz w:val="20"/>
                <w:szCs w:val="20"/>
              </w:rPr>
              <w:t>Time frame program application</w:t>
            </w:r>
          </w:p>
        </w:tc>
        <w:tc>
          <w:tcPr>
            <w:tcW w:w="6500" w:type="dxa"/>
            <w:shd w:val="clear" w:color="auto" w:fill="auto"/>
            <w:noWrap/>
            <w:vAlign w:val="bottom"/>
            <w:hideMark/>
          </w:tcPr>
          <w:p w14:paraId="2FDF2D4C" w14:textId="77777777" w:rsidR="00517B4C" w:rsidRPr="00517B4C" w:rsidRDefault="00517B4C" w:rsidP="00517B4C">
            <w:pPr>
              <w:spacing w:after="80" w:line="240" w:lineRule="auto"/>
              <w:jc w:val="both"/>
              <w:rPr>
                <w:rFonts w:eastAsia="Times New Roman" w:cs="Times New Roman"/>
                <w:b/>
                <w:bCs/>
                <w:color w:val="000000"/>
                <w:sz w:val="20"/>
                <w:szCs w:val="20"/>
              </w:rPr>
            </w:pPr>
            <w:r w:rsidRPr="00517B4C">
              <w:rPr>
                <w:rFonts w:eastAsia="Times New Roman" w:cs="Times New Roman"/>
                <w:bCs/>
                <w:color w:val="000000"/>
                <w:sz w:val="20"/>
                <w:szCs w:val="20"/>
              </w:rPr>
              <w:t>Consider providing application workshops – dissemination and support on how to fill applications – for all programs</w:t>
            </w:r>
          </w:p>
        </w:tc>
      </w:tr>
      <w:tr w:rsidR="00517B4C" w:rsidRPr="00517B4C" w14:paraId="23517201" w14:textId="77777777" w:rsidTr="000D1EBD">
        <w:trPr>
          <w:trHeight w:val="512"/>
        </w:trPr>
        <w:tc>
          <w:tcPr>
            <w:tcW w:w="2860" w:type="dxa"/>
            <w:shd w:val="clear" w:color="auto" w:fill="auto"/>
            <w:noWrap/>
            <w:vAlign w:val="center"/>
            <w:hideMark/>
          </w:tcPr>
          <w:p w14:paraId="74E43FB2"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cs="Times New Roman"/>
                <w:bCs/>
                <w:color w:val="000000"/>
                <w:sz w:val="20"/>
                <w:szCs w:val="20"/>
              </w:rPr>
              <w:t xml:space="preserve">Program database and information </w:t>
            </w:r>
          </w:p>
        </w:tc>
        <w:tc>
          <w:tcPr>
            <w:tcW w:w="6500" w:type="dxa"/>
            <w:shd w:val="clear" w:color="auto" w:fill="auto"/>
            <w:noWrap/>
            <w:vAlign w:val="bottom"/>
            <w:hideMark/>
          </w:tcPr>
          <w:p w14:paraId="736C7856" w14:textId="77777777" w:rsidR="00517B4C" w:rsidRPr="00517B4C" w:rsidRDefault="00517B4C" w:rsidP="00517B4C">
            <w:pPr>
              <w:spacing w:after="80" w:line="240" w:lineRule="auto"/>
              <w:jc w:val="both"/>
              <w:rPr>
                <w:rFonts w:eastAsia="Times New Roman" w:cs="Times New Roman"/>
                <w:b/>
                <w:bCs/>
                <w:color w:val="000000"/>
                <w:sz w:val="20"/>
                <w:szCs w:val="20"/>
              </w:rPr>
            </w:pPr>
            <w:r w:rsidRPr="00517B4C">
              <w:rPr>
                <w:rFonts w:eastAsia="Times New Roman" w:cs="Times New Roman"/>
                <w:bCs/>
                <w:color w:val="000000"/>
                <w:sz w:val="20"/>
                <w:szCs w:val="20"/>
              </w:rPr>
              <w:t>Develop and implement a new information system database. This is quite urgent</w:t>
            </w:r>
          </w:p>
        </w:tc>
      </w:tr>
      <w:tr w:rsidR="00517B4C" w:rsidRPr="00517B4C" w14:paraId="14E2A52C" w14:textId="77777777" w:rsidTr="000D1EBD">
        <w:trPr>
          <w:trHeight w:val="290"/>
        </w:trPr>
        <w:tc>
          <w:tcPr>
            <w:tcW w:w="2860" w:type="dxa"/>
            <w:shd w:val="clear" w:color="auto" w:fill="auto"/>
            <w:noWrap/>
            <w:vAlign w:val="center"/>
            <w:hideMark/>
          </w:tcPr>
          <w:p w14:paraId="068F6676"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cs="Times New Roman"/>
                <w:bCs/>
                <w:color w:val="000000"/>
                <w:sz w:val="20"/>
                <w:szCs w:val="20"/>
              </w:rPr>
              <w:t xml:space="preserve">Program closure </w:t>
            </w:r>
          </w:p>
        </w:tc>
        <w:tc>
          <w:tcPr>
            <w:tcW w:w="6500" w:type="dxa"/>
            <w:shd w:val="clear" w:color="auto" w:fill="auto"/>
            <w:noWrap/>
            <w:vAlign w:val="bottom"/>
            <w:hideMark/>
          </w:tcPr>
          <w:p w14:paraId="465A6507"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Implement mid-term reviews. Continue collection ex post information from beneficiaries</w:t>
            </w:r>
          </w:p>
        </w:tc>
      </w:tr>
      <w:tr w:rsidR="00517B4C" w:rsidRPr="00517B4C" w14:paraId="017E65D4" w14:textId="77777777" w:rsidTr="000D1EBD">
        <w:trPr>
          <w:trHeight w:val="560"/>
        </w:trPr>
        <w:tc>
          <w:tcPr>
            <w:tcW w:w="2860" w:type="dxa"/>
            <w:shd w:val="clear" w:color="auto" w:fill="auto"/>
            <w:noWrap/>
            <w:vAlign w:val="center"/>
            <w:hideMark/>
          </w:tcPr>
          <w:p w14:paraId="55E7447A"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cs="Times New Roman"/>
                <w:bCs/>
                <w:color w:val="000000"/>
                <w:sz w:val="20"/>
                <w:szCs w:val="20"/>
              </w:rPr>
              <w:t xml:space="preserve">Budget and financial resources </w:t>
            </w:r>
          </w:p>
        </w:tc>
        <w:tc>
          <w:tcPr>
            <w:tcW w:w="6500" w:type="dxa"/>
            <w:shd w:val="clear" w:color="auto" w:fill="auto"/>
            <w:noWrap/>
            <w:vAlign w:val="bottom"/>
            <w:hideMark/>
          </w:tcPr>
          <w:p w14:paraId="243ADEB4"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Produce costings by activities and develop and monitor key efficiency indicators</w:t>
            </w:r>
          </w:p>
        </w:tc>
      </w:tr>
      <w:tr w:rsidR="00517B4C" w:rsidRPr="00517B4C" w14:paraId="05C798B4" w14:textId="77777777" w:rsidTr="000D1EBD">
        <w:trPr>
          <w:trHeight w:val="840"/>
        </w:trPr>
        <w:tc>
          <w:tcPr>
            <w:tcW w:w="2860" w:type="dxa"/>
            <w:shd w:val="clear" w:color="auto" w:fill="auto"/>
            <w:noWrap/>
            <w:vAlign w:val="center"/>
            <w:hideMark/>
          </w:tcPr>
          <w:p w14:paraId="69151F99"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cs="Times New Roman"/>
                <w:bCs/>
                <w:color w:val="000000"/>
                <w:sz w:val="20"/>
                <w:szCs w:val="20"/>
              </w:rPr>
              <w:t xml:space="preserve">Roles and Autonomy </w:t>
            </w:r>
          </w:p>
        </w:tc>
        <w:tc>
          <w:tcPr>
            <w:tcW w:w="6500" w:type="dxa"/>
            <w:shd w:val="clear" w:color="auto" w:fill="auto"/>
            <w:noWrap/>
            <w:vAlign w:val="bottom"/>
            <w:hideMark/>
          </w:tcPr>
          <w:p w14:paraId="6A6A2984"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 xml:space="preserve">Force programs to develop a more nuanced view of who are the potential beneficiaries and whether the targeting is bringing the beneficiaries expected. </w:t>
            </w:r>
          </w:p>
        </w:tc>
      </w:tr>
      <w:tr w:rsidR="00517B4C" w:rsidRPr="00517B4C" w14:paraId="167E189F" w14:textId="77777777" w:rsidTr="000D1EBD">
        <w:trPr>
          <w:trHeight w:val="560"/>
        </w:trPr>
        <w:tc>
          <w:tcPr>
            <w:tcW w:w="2860" w:type="dxa"/>
            <w:shd w:val="clear" w:color="auto" w:fill="auto"/>
            <w:noWrap/>
            <w:vAlign w:val="center"/>
            <w:hideMark/>
          </w:tcPr>
          <w:p w14:paraId="5539EC82"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cs="Times New Roman"/>
                <w:bCs/>
                <w:color w:val="000000"/>
                <w:sz w:val="20"/>
                <w:szCs w:val="20"/>
              </w:rPr>
              <w:t>Staff, training and incentives</w:t>
            </w:r>
          </w:p>
        </w:tc>
        <w:tc>
          <w:tcPr>
            <w:tcW w:w="6500" w:type="dxa"/>
            <w:shd w:val="clear" w:color="auto" w:fill="auto"/>
            <w:noWrap/>
            <w:vAlign w:val="bottom"/>
            <w:hideMark/>
          </w:tcPr>
          <w:p w14:paraId="2A331D21"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More training is needed within institutions. Develop a calendar of specific training beyond normal management processes. Start with M&amp;E and logical frameworks but continue with more content based.</w:t>
            </w:r>
          </w:p>
          <w:p w14:paraId="05F15608"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Organize periodic webinars with regions</w:t>
            </w:r>
          </w:p>
        </w:tc>
      </w:tr>
      <w:tr w:rsidR="00517B4C" w:rsidRPr="00517B4C" w14:paraId="620951AE" w14:textId="77777777" w:rsidTr="000D1EBD">
        <w:trPr>
          <w:trHeight w:val="566"/>
        </w:trPr>
        <w:tc>
          <w:tcPr>
            <w:tcW w:w="2860" w:type="dxa"/>
            <w:shd w:val="clear" w:color="auto" w:fill="auto"/>
            <w:noWrap/>
            <w:vAlign w:val="center"/>
            <w:hideMark/>
          </w:tcPr>
          <w:p w14:paraId="7E834993"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cs="Times New Roman"/>
                <w:bCs/>
                <w:color w:val="000000"/>
                <w:sz w:val="20"/>
                <w:szCs w:val="20"/>
              </w:rPr>
              <w:t>Incentives</w:t>
            </w:r>
          </w:p>
        </w:tc>
        <w:tc>
          <w:tcPr>
            <w:tcW w:w="6500" w:type="dxa"/>
            <w:shd w:val="clear" w:color="auto" w:fill="auto"/>
            <w:noWrap/>
            <w:vAlign w:val="bottom"/>
            <w:hideMark/>
          </w:tcPr>
          <w:p w14:paraId="0DAA86FD"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Incentives need to be linked to the evaluation of individual performance associated with the program</w:t>
            </w:r>
          </w:p>
        </w:tc>
      </w:tr>
      <w:tr w:rsidR="00517B4C" w:rsidRPr="00517B4C" w14:paraId="5EE45D91" w14:textId="77777777" w:rsidTr="000D1EBD">
        <w:trPr>
          <w:trHeight w:val="530"/>
        </w:trPr>
        <w:tc>
          <w:tcPr>
            <w:tcW w:w="2860" w:type="dxa"/>
            <w:shd w:val="clear" w:color="auto" w:fill="auto"/>
            <w:noWrap/>
            <w:vAlign w:val="center"/>
            <w:hideMark/>
          </w:tcPr>
          <w:p w14:paraId="1A8F5BC7"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cs="Times New Roman"/>
                <w:bCs/>
                <w:color w:val="000000"/>
                <w:sz w:val="20"/>
                <w:szCs w:val="20"/>
              </w:rPr>
              <w:t xml:space="preserve">Process monitoring </w:t>
            </w:r>
          </w:p>
        </w:tc>
        <w:tc>
          <w:tcPr>
            <w:tcW w:w="6500" w:type="dxa"/>
            <w:shd w:val="clear" w:color="auto" w:fill="auto"/>
            <w:noWrap/>
            <w:vAlign w:val="bottom"/>
            <w:hideMark/>
          </w:tcPr>
          <w:p w14:paraId="08C0936C"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 xml:space="preserve">Consider whether the current frequency of reporting is too onerous, and it is required </w:t>
            </w:r>
          </w:p>
        </w:tc>
      </w:tr>
      <w:tr w:rsidR="00517B4C" w:rsidRPr="00517B4C" w14:paraId="70A166CE" w14:textId="77777777" w:rsidTr="000D1EBD">
        <w:trPr>
          <w:trHeight w:val="560"/>
        </w:trPr>
        <w:tc>
          <w:tcPr>
            <w:tcW w:w="2860" w:type="dxa"/>
            <w:shd w:val="clear" w:color="auto" w:fill="auto"/>
            <w:noWrap/>
            <w:vAlign w:val="center"/>
            <w:hideMark/>
          </w:tcPr>
          <w:p w14:paraId="79E65A84"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cs="Times New Roman"/>
                <w:bCs/>
                <w:color w:val="000000"/>
                <w:sz w:val="20"/>
                <w:szCs w:val="20"/>
              </w:rPr>
              <w:t>M&amp;E</w:t>
            </w:r>
          </w:p>
        </w:tc>
        <w:tc>
          <w:tcPr>
            <w:tcW w:w="6500" w:type="dxa"/>
            <w:shd w:val="clear" w:color="auto" w:fill="auto"/>
            <w:noWrap/>
            <w:vAlign w:val="bottom"/>
            <w:hideMark/>
          </w:tcPr>
          <w:p w14:paraId="152B67CD"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 xml:space="preserve">M&amp;E frameworks implemented an updated – mandatory. Develop a list of impact evaluations for sample of programs.  </w:t>
            </w:r>
          </w:p>
          <w:p w14:paraId="3D39E20A"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Consider the creation or expansion of the evaluation unit.</w:t>
            </w:r>
          </w:p>
        </w:tc>
      </w:tr>
    </w:tbl>
    <w:p w14:paraId="7AF1F07B" w14:textId="77777777" w:rsidR="00517B4C" w:rsidRPr="00517B4C" w:rsidRDefault="00517B4C" w:rsidP="00517B4C">
      <w:pPr>
        <w:jc w:val="both"/>
        <w:rPr>
          <w:rFonts w:cs="Times New Roman"/>
          <w:b/>
          <w:sz w:val="20"/>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0"/>
        <w:gridCol w:w="6500"/>
      </w:tblGrid>
      <w:tr w:rsidR="00517B4C" w:rsidRPr="00517B4C" w14:paraId="1B545FE3" w14:textId="77777777" w:rsidTr="000D1EBD">
        <w:trPr>
          <w:trHeight w:val="560"/>
        </w:trPr>
        <w:tc>
          <w:tcPr>
            <w:tcW w:w="9360" w:type="dxa"/>
            <w:gridSpan w:val="2"/>
            <w:shd w:val="clear" w:color="auto" w:fill="auto"/>
            <w:noWrap/>
            <w:vAlign w:val="bottom"/>
          </w:tcPr>
          <w:p w14:paraId="2EA3A46F" w14:textId="77777777" w:rsidR="00517B4C" w:rsidRPr="00517B4C" w:rsidRDefault="00517B4C" w:rsidP="00517B4C">
            <w:pPr>
              <w:jc w:val="both"/>
              <w:rPr>
                <w:rFonts w:cs="Times New Roman"/>
                <w:b/>
                <w:sz w:val="20"/>
                <w:szCs w:val="20"/>
              </w:rPr>
            </w:pPr>
            <w:r w:rsidRPr="00517B4C">
              <w:rPr>
                <w:rFonts w:cs="Times New Roman"/>
                <w:b/>
                <w:sz w:val="20"/>
                <w:szCs w:val="20"/>
              </w:rPr>
              <w:t>PER: List of actions for improving coordination</w:t>
            </w:r>
          </w:p>
          <w:p w14:paraId="56E7F2A4" w14:textId="77777777" w:rsidR="00517B4C" w:rsidRPr="00517B4C" w:rsidRDefault="00517B4C" w:rsidP="00517B4C">
            <w:pPr>
              <w:spacing w:after="80" w:line="240" w:lineRule="auto"/>
              <w:jc w:val="both"/>
              <w:rPr>
                <w:rFonts w:eastAsia="Times New Roman" w:cs="Times New Roman"/>
                <w:bCs/>
                <w:color w:val="000000"/>
                <w:sz w:val="20"/>
                <w:szCs w:val="20"/>
              </w:rPr>
            </w:pPr>
          </w:p>
        </w:tc>
      </w:tr>
      <w:tr w:rsidR="00517B4C" w:rsidRPr="00517B4C" w14:paraId="773ACABF" w14:textId="77777777" w:rsidTr="000D1EBD">
        <w:trPr>
          <w:trHeight w:val="560"/>
        </w:trPr>
        <w:tc>
          <w:tcPr>
            <w:tcW w:w="2860" w:type="dxa"/>
            <w:shd w:val="clear" w:color="auto" w:fill="auto"/>
            <w:noWrap/>
            <w:vAlign w:val="bottom"/>
            <w:hideMark/>
          </w:tcPr>
          <w:p w14:paraId="0EEF46EF"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Programs Relationship</w:t>
            </w:r>
          </w:p>
        </w:tc>
        <w:tc>
          <w:tcPr>
            <w:tcW w:w="6500" w:type="dxa"/>
            <w:shd w:val="clear" w:color="auto" w:fill="auto"/>
            <w:noWrap/>
            <w:vAlign w:val="bottom"/>
            <w:hideMark/>
          </w:tcPr>
          <w:p w14:paraId="0C80EC89"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 xml:space="preserve">Create internal dissemination events and sharing of good practices for those programs with good processes. </w:t>
            </w:r>
          </w:p>
          <w:p w14:paraId="48FEEF9A"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 xml:space="preserve">Organize periodic video-conferences with regions and once a year staff retreat. </w:t>
            </w:r>
          </w:p>
        </w:tc>
      </w:tr>
      <w:tr w:rsidR="00517B4C" w:rsidRPr="00517B4C" w14:paraId="1943925E" w14:textId="77777777" w:rsidTr="000D1EBD">
        <w:trPr>
          <w:trHeight w:val="368"/>
        </w:trPr>
        <w:tc>
          <w:tcPr>
            <w:tcW w:w="2860" w:type="dxa"/>
            <w:shd w:val="clear" w:color="auto" w:fill="auto"/>
            <w:noWrap/>
            <w:vAlign w:val="bottom"/>
            <w:hideMark/>
          </w:tcPr>
          <w:p w14:paraId="2580FF7E"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Institutions Relationship</w:t>
            </w:r>
          </w:p>
        </w:tc>
        <w:tc>
          <w:tcPr>
            <w:tcW w:w="6500" w:type="dxa"/>
            <w:shd w:val="clear" w:color="auto" w:fill="auto"/>
            <w:noWrap/>
            <w:vAlign w:val="bottom"/>
            <w:hideMark/>
          </w:tcPr>
          <w:p w14:paraId="60D65339" w14:textId="77777777" w:rsidR="00517B4C" w:rsidRPr="00517B4C" w:rsidRDefault="00517B4C" w:rsidP="00517B4C">
            <w:pPr>
              <w:spacing w:after="80" w:line="240" w:lineRule="auto"/>
              <w:jc w:val="both"/>
              <w:rPr>
                <w:rFonts w:eastAsia="Times New Roman" w:cs="Times New Roman"/>
                <w:bCs/>
                <w:color w:val="000000"/>
                <w:sz w:val="20"/>
                <w:szCs w:val="20"/>
              </w:rPr>
            </w:pPr>
            <w:r w:rsidRPr="00517B4C">
              <w:rPr>
                <w:rFonts w:eastAsia="Times New Roman" w:cs="Times New Roman"/>
                <w:bCs/>
                <w:color w:val="000000"/>
                <w:sz w:val="20"/>
                <w:szCs w:val="20"/>
              </w:rPr>
              <w:t>Create thematic working groups – that include all instruments across agencies – focusing on innovation, early stage, productivity, exports.</w:t>
            </w:r>
          </w:p>
        </w:tc>
      </w:tr>
    </w:tbl>
    <w:p w14:paraId="5052DFC3" w14:textId="77777777" w:rsidR="00517B4C" w:rsidRPr="00517B4C" w:rsidRDefault="00517B4C" w:rsidP="00517B4C">
      <w:pPr>
        <w:rPr>
          <w:rFonts w:eastAsiaTheme="majorEastAsia" w:cs="Times New Roman"/>
          <w:color w:val="2F5496" w:themeColor="accent1" w:themeShade="BF"/>
          <w:sz w:val="20"/>
          <w:szCs w:val="20"/>
        </w:rPr>
      </w:pPr>
    </w:p>
    <w:p w14:paraId="1C61BFBA" w14:textId="03C33975" w:rsidR="00A14DFF" w:rsidRPr="00A14DFF" w:rsidRDefault="00A14DFF" w:rsidP="00A14DFF">
      <w:pPr>
        <w:sectPr w:rsidR="00A14DFF" w:rsidRPr="00A14DFF" w:rsidSect="00227D9B">
          <w:footerReference w:type="default" r:id="rId13"/>
          <w:pgSz w:w="12240" w:h="15840"/>
          <w:pgMar w:top="1440" w:right="1440" w:bottom="1440" w:left="1440" w:header="720" w:footer="720" w:gutter="0"/>
          <w:pgNumType w:fmt="lowerRoman" w:start="1"/>
          <w:cols w:space="720"/>
          <w:titlePg/>
          <w:docGrid w:linePitch="360"/>
        </w:sectPr>
      </w:pPr>
    </w:p>
    <w:p w14:paraId="5DBD250F" w14:textId="77777777" w:rsidR="0028292A" w:rsidRDefault="0028292A" w:rsidP="005A6483">
      <w:pPr>
        <w:pStyle w:val="Title"/>
        <w:rPr>
          <w:sz w:val="46"/>
        </w:rPr>
      </w:pPr>
    </w:p>
    <w:p w14:paraId="0775FB0A" w14:textId="77777777" w:rsidR="0028292A" w:rsidRPr="0028292A" w:rsidRDefault="0028292A" w:rsidP="0028292A"/>
    <w:p w14:paraId="0B4D0559" w14:textId="77777777" w:rsidR="00064115" w:rsidRPr="00353E76" w:rsidRDefault="00064115" w:rsidP="00CF275A">
      <w:pPr>
        <w:pStyle w:val="Heading1"/>
        <w:numPr>
          <w:ilvl w:val="0"/>
          <w:numId w:val="6"/>
        </w:numPr>
        <w:rPr>
          <w:b/>
          <w:sz w:val="28"/>
          <w:szCs w:val="28"/>
        </w:rPr>
      </w:pPr>
      <w:bookmarkStart w:id="8" w:name="_Toc10740034"/>
      <w:bookmarkStart w:id="9" w:name="_Toc12503509"/>
      <w:r w:rsidRPr="00353E76">
        <w:rPr>
          <w:b/>
          <w:sz w:val="28"/>
          <w:szCs w:val="28"/>
        </w:rPr>
        <w:t>Introduction</w:t>
      </w:r>
      <w:bookmarkEnd w:id="8"/>
      <w:bookmarkEnd w:id="9"/>
    </w:p>
    <w:p w14:paraId="4DAA1447" w14:textId="77777777" w:rsidR="00F206BC" w:rsidRPr="009249D1" w:rsidRDefault="00F206BC" w:rsidP="009249D1">
      <w:pPr>
        <w:pStyle w:val="ListParagraph"/>
        <w:jc w:val="both"/>
        <w:rPr>
          <w:rFonts w:cs="Times New Roman"/>
        </w:rPr>
      </w:pPr>
      <w:bookmarkStart w:id="10" w:name="_Hlk8992417"/>
    </w:p>
    <w:p w14:paraId="58917F0A" w14:textId="093F6A82" w:rsidR="003A3D29" w:rsidRPr="00F206BC" w:rsidRDefault="0008695C" w:rsidP="009249D1">
      <w:pPr>
        <w:pStyle w:val="ListParagraph"/>
        <w:numPr>
          <w:ilvl w:val="0"/>
          <w:numId w:val="50"/>
        </w:numPr>
        <w:jc w:val="both"/>
        <w:rPr>
          <w:rFonts w:cs="Times New Roman"/>
        </w:rPr>
      </w:pPr>
      <w:r w:rsidRPr="00234215">
        <w:rPr>
          <w:rFonts w:cs="Times New Roman"/>
          <w:b/>
          <w:bCs/>
        </w:rPr>
        <w:t xml:space="preserve">The </w:t>
      </w:r>
      <w:r w:rsidR="00A22A8C" w:rsidRPr="00186758">
        <w:rPr>
          <w:rFonts w:cs="Times New Roman"/>
          <w:b/>
          <w:bCs/>
        </w:rPr>
        <w:t>Government of the Philippines (</w:t>
      </w:r>
      <w:proofErr w:type="spellStart"/>
      <w:r w:rsidR="00A22A8C" w:rsidRPr="00186758">
        <w:rPr>
          <w:rFonts w:cs="Times New Roman"/>
          <w:b/>
          <w:bCs/>
        </w:rPr>
        <w:t>GoP</w:t>
      </w:r>
      <w:proofErr w:type="spellEnd"/>
      <w:r w:rsidR="00A22A8C" w:rsidRPr="00234215">
        <w:rPr>
          <w:rFonts w:cs="Times New Roman"/>
          <w:b/>
          <w:bCs/>
        </w:rPr>
        <w:t>)</w:t>
      </w:r>
      <w:r w:rsidR="00523F17" w:rsidRPr="00234215">
        <w:rPr>
          <w:rFonts w:cs="Times New Roman"/>
          <w:b/>
          <w:bCs/>
        </w:rPr>
        <w:t xml:space="preserve"> </w:t>
      </w:r>
      <w:r w:rsidR="00D572B1" w:rsidRPr="00234215">
        <w:rPr>
          <w:rFonts w:cs="Times New Roman"/>
          <w:b/>
          <w:bCs/>
        </w:rPr>
        <w:t>has prioritized the</w:t>
      </w:r>
      <w:r w:rsidR="0054322A" w:rsidRPr="00234215">
        <w:rPr>
          <w:rFonts w:cs="Times New Roman"/>
          <w:b/>
          <w:bCs/>
        </w:rPr>
        <w:t xml:space="preserve"> development of the </w:t>
      </w:r>
      <w:r w:rsidR="008820C6" w:rsidRPr="00186758">
        <w:rPr>
          <w:rFonts w:cs="Times New Roman"/>
          <w:b/>
          <w:bCs/>
        </w:rPr>
        <w:t>micro, small, and medium enterprises (</w:t>
      </w:r>
      <w:r w:rsidRPr="00234215">
        <w:rPr>
          <w:rFonts w:cs="Times New Roman"/>
          <w:b/>
          <w:bCs/>
        </w:rPr>
        <w:t>MSMEs</w:t>
      </w:r>
      <w:r w:rsidR="008820C6" w:rsidRPr="00234215">
        <w:rPr>
          <w:rFonts w:cs="Times New Roman"/>
          <w:b/>
          <w:bCs/>
        </w:rPr>
        <w:t>)</w:t>
      </w:r>
      <w:r w:rsidRPr="00234215">
        <w:rPr>
          <w:rFonts w:cs="Times New Roman"/>
          <w:b/>
          <w:bCs/>
        </w:rPr>
        <w:t xml:space="preserve"> </w:t>
      </w:r>
      <w:r w:rsidR="00D572B1" w:rsidRPr="00234215">
        <w:rPr>
          <w:rFonts w:cs="Times New Roman"/>
          <w:b/>
          <w:bCs/>
        </w:rPr>
        <w:t xml:space="preserve">as a key pillar </w:t>
      </w:r>
      <w:r w:rsidR="0054322A" w:rsidRPr="00234215">
        <w:rPr>
          <w:rFonts w:cs="Times New Roman"/>
          <w:b/>
          <w:bCs/>
        </w:rPr>
        <w:t xml:space="preserve">for realizing its competitiveness and inclusive growth </w:t>
      </w:r>
      <w:r w:rsidR="00D572B1" w:rsidRPr="00234215">
        <w:rPr>
          <w:rFonts w:cs="Times New Roman"/>
          <w:b/>
          <w:bCs/>
        </w:rPr>
        <w:t>strategy.</w:t>
      </w:r>
      <w:r w:rsidR="005629E1">
        <w:rPr>
          <w:rStyle w:val="EndnoteReference"/>
          <w:rFonts w:cs="Times New Roman"/>
          <w:b/>
          <w:bCs/>
        </w:rPr>
        <w:endnoteReference w:id="2"/>
      </w:r>
      <w:r w:rsidR="00433DE3" w:rsidRPr="00433DE3">
        <w:rPr>
          <w:rFonts w:cs="Times New Roman"/>
        </w:rPr>
        <w:t xml:space="preserve"> </w:t>
      </w:r>
      <w:r w:rsidR="00931A41" w:rsidRPr="003B713C">
        <w:rPr>
          <w:rFonts w:cs="Times New Roman"/>
        </w:rPr>
        <w:t xml:space="preserve">The </w:t>
      </w:r>
      <w:r w:rsidR="00931A41" w:rsidRPr="004645BD">
        <w:rPr>
          <w:rFonts w:cs="Times New Roman"/>
          <w:i/>
        </w:rPr>
        <w:t>MSME Development Plan 2017-2022</w:t>
      </w:r>
      <w:r w:rsidR="00931A41" w:rsidRPr="003B713C">
        <w:rPr>
          <w:rFonts w:cs="Times New Roman"/>
        </w:rPr>
        <w:t xml:space="preserve"> lays out a vision for </w:t>
      </w:r>
      <w:r w:rsidR="008813A2" w:rsidRPr="008813A2">
        <w:rPr>
          <w:rFonts w:cs="Times New Roman"/>
        </w:rPr>
        <w:t>“</w:t>
      </w:r>
      <w:r w:rsidR="00931A41" w:rsidRPr="00DE4990">
        <w:rPr>
          <w:rFonts w:cs="Times New Roman"/>
        </w:rPr>
        <w:t>developing more globally competitive MSMEs that are regionally integrated, productive</w:t>
      </w:r>
      <w:r w:rsidR="005B0D1C">
        <w:rPr>
          <w:rFonts w:cs="Times New Roman"/>
        </w:rPr>
        <w:t xml:space="preserve"> and</w:t>
      </w:r>
      <w:r w:rsidR="003542F4" w:rsidRPr="00DE4990">
        <w:rPr>
          <w:rFonts w:cs="Times New Roman"/>
        </w:rPr>
        <w:t xml:space="preserve"> </w:t>
      </w:r>
      <w:r w:rsidR="00931A41" w:rsidRPr="00DE4990">
        <w:rPr>
          <w:rFonts w:cs="Times New Roman"/>
        </w:rPr>
        <w:t>innovative</w:t>
      </w:r>
      <w:r w:rsidR="00930FFE">
        <w:rPr>
          <w:rFonts w:cs="Times New Roman"/>
        </w:rPr>
        <w:t>”</w:t>
      </w:r>
      <w:r w:rsidR="0077211A">
        <w:rPr>
          <w:rFonts w:cs="Times New Roman"/>
        </w:rPr>
        <w:t>.</w:t>
      </w:r>
      <w:r w:rsidR="003A3D29">
        <w:rPr>
          <w:rFonts w:cs="Times New Roman"/>
        </w:rPr>
        <w:t xml:space="preserve"> </w:t>
      </w:r>
      <w:r w:rsidR="00E02D8B">
        <w:rPr>
          <w:rFonts w:cs="Times New Roman"/>
        </w:rPr>
        <w:t>Promoting e</w:t>
      </w:r>
      <w:r w:rsidR="0077211A" w:rsidRPr="005B0D1C">
        <w:rPr>
          <w:rFonts w:cs="Times New Roman"/>
        </w:rPr>
        <w:t>ntrepreneurship</w:t>
      </w:r>
      <w:r w:rsidR="00950FB1">
        <w:rPr>
          <w:rFonts w:cs="Times New Roman"/>
        </w:rPr>
        <w:t>,</w:t>
      </w:r>
      <w:r w:rsidR="0077211A" w:rsidRPr="005B0D1C">
        <w:rPr>
          <w:rFonts w:cs="Times New Roman"/>
        </w:rPr>
        <w:t xml:space="preserve"> </w:t>
      </w:r>
      <w:r w:rsidR="001C2B0E">
        <w:rPr>
          <w:rFonts w:cs="Times New Roman"/>
        </w:rPr>
        <w:t>including</w:t>
      </w:r>
      <w:r w:rsidR="00E02D8B">
        <w:rPr>
          <w:rFonts w:cs="Times New Roman"/>
        </w:rPr>
        <w:t xml:space="preserve"> </w:t>
      </w:r>
      <w:r w:rsidR="001C2B0E">
        <w:rPr>
          <w:rFonts w:cs="Times New Roman"/>
        </w:rPr>
        <w:t>start-ups</w:t>
      </w:r>
      <w:r w:rsidR="00950FB1">
        <w:rPr>
          <w:rFonts w:cs="Times New Roman"/>
        </w:rPr>
        <w:t>, is</w:t>
      </w:r>
      <w:r w:rsidR="008E652B">
        <w:rPr>
          <w:rFonts w:cs="Times New Roman"/>
        </w:rPr>
        <w:t xml:space="preserve"> </w:t>
      </w:r>
      <w:r w:rsidR="006A7AA9">
        <w:rPr>
          <w:rFonts w:cs="Times New Roman"/>
        </w:rPr>
        <w:t>emphasized</w:t>
      </w:r>
      <w:r w:rsidR="001C2B0E">
        <w:rPr>
          <w:rFonts w:cs="Times New Roman"/>
        </w:rPr>
        <w:t xml:space="preserve"> </w:t>
      </w:r>
      <w:r w:rsidR="0077211A" w:rsidRPr="005B0D1C">
        <w:rPr>
          <w:rFonts w:cs="Times New Roman"/>
        </w:rPr>
        <w:t>as a</w:t>
      </w:r>
      <w:r w:rsidR="003A1B78">
        <w:rPr>
          <w:rFonts w:cs="Times New Roman"/>
        </w:rPr>
        <w:t>n important</w:t>
      </w:r>
      <w:r w:rsidR="0077211A" w:rsidRPr="005B0D1C">
        <w:rPr>
          <w:rFonts w:cs="Times New Roman"/>
        </w:rPr>
        <w:t xml:space="preserve"> </w:t>
      </w:r>
      <w:r w:rsidR="008173F4">
        <w:rPr>
          <w:rFonts w:cs="Times New Roman"/>
        </w:rPr>
        <w:t>channel</w:t>
      </w:r>
      <w:r w:rsidR="0077211A" w:rsidRPr="005B0D1C">
        <w:rPr>
          <w:rFonts w:cs="Times New Roman"/>
        </w:rPr>
        <w:t xml:space="preserve"> </w:t>
      </w:r>
      <w:r w:rsidR="0032724C">
        <w:rPr>
          <w:rFonts w:cs="Times New Roman"/>
        </w:rPr>
        <w:t xml:space="preserve">for innovation and </w:t>
      </w:r>
      <w:r w:rsidR="00534D3B">
        <w:rPr>
          <w:rFonts w:cs="Times New Roman"/>
        </w:rPr>
        <w:t xml:space="preserve">competitiveness of the </w:t>
      </w:r>
      <w:r w:rsidR="0077211A" w:rsidRPr="005B0D1C">
        <w:rPr>
          <w:rFonts w:cs="Times New Roman"/>
        </w:rPr>
        <w:t>MSME sector.</w:t>
      </w:r>
      <w:r w:rsidR="00F206BC" w:rsidRPr="00F206BC">
        <w:rPr>
          <w:rStyle w:val="EndnoteReference"/>
          <w:rFonts w:cs="Times New Roman"/>
        </w:rPr>
        <w:t xml:space="preserve"> </w:t>
      </w:r>
      <w:r w:rsidR="00F206BC">
        <w:rPr>
          <w:rStyle w:val="EndnoteReference"/>
          <w:rFonts w:cs="Times New Roman"/>
        </w:rPr>
        <w:endnoteReference w:id="3"/>
      </w:r>
      <w:r w:rsidR="00F206BC" w:rsidRPr="00AC695F">
        <w:rPr>
          <w:rFonts w:cs="Times New Roman"/>
        </w:rPr>
        <w:t xml:space="preserve"> </w:t>
      </w:r>
      <w:r w:rsidR="00E866DB">
        <w:rPr>
          <w:rFonts w:cs="Times New Roman"/>
        </w:rPr>
        <w:t xml:space="preserve">As </w:t>
      </w:r>
      <w:r w:rsidR="0077211A" w:rsidRPr="0006683D">
        <w:rPr>
          <w:rFonts w:cs="Times New Roman"/>
        </w:rPr>
        <w:t>the Government envisions an expansion of support for MSMEs</w:t>
      </w:r>
      <w:r w:rsidR="006A7AA9">
        <w:rPr>
          <w:rFonts w:cs="Times New Roman"/>
        </w:rPr>
        <w:t xml:space="preserve"> and </w:t>
      </w:r>
      <w:r w:rsidR="006A7AA9" w:rsidRPr="006A7AA9">
        <w:rPr>
          <w:rFonts w:cs="Times New Roman"/>
        </w:rPr>
        <w:t>entrepreneurship</w:t>
      </w:r>
      <w:r w:rsidR="0077211A" w:rsidRPr="0006683D">
        <w:rPr>
          <w:rFonts w:cs="Times New Roman"/>
        </w:rPr>
        <w:t xml:space="preserve">, it is an opportune time to </w:t>
      </w:r>
      <w:r w:rsidR="00F206BC" w:rsidRPr="0006683D">
        <w:rPr>
          <w:rFonts w:cs="Times New Roman"/>
        </w:rPr>
        <w:t xml:space="preserve">take stock and </w:t>
      </w:r>
      <w:r w:rsidR="00C6433A">
        <w:rPr>
          <w:rFonts w:cs="Times New Roman"/>
        </w:rPr>
        <w:t>learn</w:t>
      </w:r>
      <w:r w:rsidR="00F206BC" w:rsidRPr="0006683D">
        <w:rPr>
          <w:rFonts w:cs="Times New Roman"/>
        </w:rPr>
        <w:t xml:space="preserve"> </w:t>
      </w:r>
      <w:r w:rsidR="0077211A" w:rsidRPr="00F206BC">
        <w:rPr>
          <w:rFonts w:cs="Times New Roman"/>
        </w:rPr>
        <w:t>lesso</w:t>
      </w:r>
      <w:r w:rsidR="00737387">
        <w:rPr>
          <w:rFonts w:cs="Times New Roman"/>
        </w:rPr>
        <w:t>ns as to what has worked and what needs improvement</w:t>
      </w:r>
      <w:r w:rsidR="0077211A" w:rsidRPr="00F206BC">
        <w:rPr>
          <w:rFonts w:cs="Times New Roman"/>
        </w:rPr>
        <w:t>. This report responds to this objective by undertaking an analysis of the existing MSME and entrepreneurship policy framework and support programs to help inform a more effective and results-focused approach.</w:t>
      </w:r>
    </w:p>
    <w:p w14:paraId="616C191D" w14:textId="77777777" w:rsidR="00931A41" w:rsidRDefault="00931A41" w:rsidP="004645BD">
      <w:pPr>
        <w:pStyle w:val="ListParagraph"/>
        <w:ind w:left="360"/>
        <w:jc w:val="both"/>
        <w:rPr>
          <w:rFonts w:cs="Times New Roman"/>
        </w:rPr>
      </w:pPr>
    </w:p>
    <w:p w14:paraId="1DDAC448" w14:textId="16213038" w:rsidR="00B025D9" w:rsidRPr="00AE7D88" w:rsidRDefault="00433DE3" w:rsidP="009249D1">
      <w:pPr>
        <w:pStyle w:val="ListParagraph"/>
        <w:numPr>
          <w:ilvl w:val="0"/>
          <w:numId w:val="50"/>
        </w:numPr>
        <w:jc w:val="both"/>
        <w:rPr>
          <w:rFonts w:cs="Times New Roman"/>
          <w:bCs/>
        </w:rPr>
      </w:pPr>
      <w:r w:rsidRPr="00276B91">
        <w:rPr>
          <w:rFonts w:cs="Times New Roman"/>
          <w:b/>
          <w:bCs/>
        </w:rPr>
        <w:t xml:space="preserve">MSMEs </w:t>
      </w:r>
      <w:r w:rsidR="00073E34" w:rsidRPr="00276B91">
        <w:rPr>
          <w:rFonts w:cs="Times New Roman"/>
          <w:b/>
          <w:bCs/>
        </w:rPr>
        <w:t>are</w:t>
      </w:r>
      <w:r w:rsidR="00F1223D" w:rsidRPr="00276B91">
        <w:rPr>
          <w:rFonts w:cs="Times New Roman"/>
          <w:b/>
          <w:bCs/>
        </w:rPr>
        <w:t xml:space="preserve"> the bedrock of private sector</w:t>
      </w:r>
      <w:r w:rsidR="00BD29CC" w:rsidRPr="00276B91">
        <w:rPr>
          <w:rFonts w:cs="Times New Roman"/>
          <w:b/>
          <w:bCs/>
        </w:rPr>
        <w:t xml:space="preserve"> and </w:t>
      </w:r>
      <w:r w:rsidR="00003E04">
        <w:rPr>
          <w:rFonts w:cs="Times New Roman"/>
          <w:b/>
          <w:bCs/>
        </w:rPr>
        <w:t>entrepreneurship</w:t>
      </w:r>
      <w:r w:rsidR="00EA1398" w:rsidRPr="00276B91">
        <w:rPr>
          <w:rFonts w:cs="Times New Roman"/>
          <w:b/>
          <w:bCs/>
        </w:rPr>
        <w:t xml:space="preserve"> </w:t>
      </w:r>
      <w:r w:rsidRPr="00711138">
        <w:rPr>
          <w:rFonts w:cs="Times New Roman"/>
          <w:b/>
          <w:bCs/>
        </w:rPr>
        <w:t>in the Philippines</w:t>
      </w:r>
      <w:r w:rsidR="00AD2BD2">
        <w:rPr>
          <w:rFonts w:cs="Times New Roman"/>
          <w:b/>
          <w:bCs/>
        </w:rPr>
        <w:t>.</w:t>
      </w:r>
      <w:r w:rsidR="009B578D">
        <w:rPr>
          <w:rFonts w:cs="Times New Roman"/>
          <w:b/>
          <w:bCs/>
        </w:rPr>
        <w:t xml:space="preserve"> </w:t>
      </w:r>
      <w:r w:rsidR="004A6591" w:rsidRPr="00276B91">
        <w:rPr>
          <w:rFonts w:cs="Times New Roman"/>
        </w:rPr>
        <w:t>The government’s focus on MSME</w:t>
      </w:r>
      <w:r w:rsidR="00711138">
        <w:rPr>
          <w:rFonts w:cs="Times New Roman"/>
        </w:rPr>
        <w:t xml:space="preserve"> </w:t>
      </w:r>
      <w:r w:rsidR="004A6591" w:rsidRPr="00276B91">
        <w:rPr>
          <w:rFonts w:cs="Times New Roman"/>
        </w:rPr>
        <w:t>s</w:t>
      </w:r>
      <w:r w:rsidR="00711138">
        <w:rPr>
          <w:rFonts w:cs="Times New Roman"/>
        </w:rPr>
        <w:t>ector</w:t>
      </w:r>
      <w:r w:rsidR="004A6591" w:rsidRPr="00276B91">
        <w:rPr>
          <w:rFonts w:cs="Times New Roman"/>
        </w:rPr>
        <w:t xml:space="preserve"> stem from </w:t>
      </w:r>
      <w:r w:rsidR="00711138">
        <w:rPr>
          <w:rFonts w:cs="Times New Roman"/>
        </w:rPr>
        <w:t xml:space="preserve">its important role </w:t>
      </w:r>
      <w:r w:rsidR="00F37E33">
        <w:rPr>
          <w:rFonts w:cs="Times New Roman"/>
        </w:rPr>
        <w:t xml:space="preserve">in </w:t>
      </w:r>
      <w:r w:rsidR="00E46A7D">
        <w:rPr>
          <w:rFonts w:cs="Times New Roman"/>
        </w:rPr>
        <w:t>the econom</w:t>
      </w:r>
      <w:r w:rsidR="005B225C">
        <w:rPr>
          <w:rFonts w:cs="Times New Roman"/>
        </w:rPr>
        <w:t>y</w:t>
      </w:r>
      <w:r w:rsidR="008924D3">
        <w:rPr>
          <w:rFonts w:cs="Times New Roman"/>
        </w:rPr>
        <w:t>.</w:t>
      </w:r>
      <w:r w:rsidR="008924D3" w:rsidRPr="008924D3">
        <w:t xml:space="preserve"> </w:t>
      </w:r>
      <w:r w:rsidR="008924D3" w:rsidRPr="008924D3">
        <w:rPr>
          <w:rFonts w:cs="Times New Roman"/>
        </w:rPr>
        <w:t xml:space="preserve">Comprising over 99 percent of all enterprises in the country, the MSME sector </w:t>
      </w:r>
      <w:r w:rsidR="00711138">
        <w:rPr>
          <w:rFonts w:cs="Times New Roman"/>
        </w:rPr>
        <w:t>represents the private sector</w:t>
      </w:r>
      <w:r w:rsidR="00F37E33">
        <w:rPr>
          <w:rFonts w:cs="Times New Roman"/>
        </w:rPr>
        <w:t>, and</w:t>
      </w:r>
      <w:r w:rsidR="00712279" w:rsidRPr="00711138">
        <w:rPr>
          <w:rFonts w:cs="Times New Roman"/>
        </w:rPr>
        <w:t xml:space="preserve"> generate</w:t>
      </w:r>
      <w:r w:rsidR="00F37E33">
        <w:rPr>
          <w:rFonts w:cs="Times New Roman"/>
        </w:rPr>
        <w:t xml:space="preserve">s nearly </w:t>
      </w:r>
      <w:r w:rsidR="00712279">
        <w:rPr>
          <w:rFonts w:cs="Times New Roman"/>
        </w:rPr>
        <w:t>two-thirds</w:t>
      </w:r>
      <w:r w:rsidR="00712279" w:rsidRPr="00711138">
        <w:rPr>
          <w:rFonts w:cs="Times New Roman"/>
        </w:rPr>
        <w:t xml:space="preserve"> of the country’s total employment</w:t>
      </w:r>
      <w:r w:rsidR="00712279" w:rsidRPr="00B2379D">
        <w:rPr>
          <w:rFonts w:cs="Times New Roman"/>
        </w:rPr>
        <w:t>.</w:t>
      </w:r>
      <w:r w:rsidR="00712279">
        <w:rPr>
          <w:rStyle w:val="EndnoteReference"/>
          <w:rFonts w:cs="Times New Roman"/>
        </w:rPr>
        <w:endnoteReference w:id="4"/>
      </w:r>
      <w:r w:rsidR="00712279" w:rsidRPr="00B2379D">
        <w:rPr>
          <w:rFonts w:cs="Times New Roman"/>
        </w:rPr>
        <w:t xml:space="preserve"> </w:t>
      </w:r>
      <w:r w:rsidR="00712279">
        <w:rPr>
          <w:rFonts w:cs="Times New Roman"/>
        </w:rPr>
        <w:t>Over 17 percent of the working population in the Philippines is involved in early-stage entrepreneurial activity</w:t>
      </w:r>
      <w:r w:rsidR="00F37E33">
        <w:rPr>
          <w:rFonts w:cs="Times New Roman"/>
        </w:rPr>
        <w:t xml:space="preserve"> with a potential to </w:t>
      </w:r>
      <w:r w:rsidR="00596D04">
        <w:rPr>
          <w:rFonts w:cs="Times New Roman"/>
        </w:rPr>
        <w:t xml:space="preserve">innovate and </w:t>
      </w:r>
      <w:r w:rsidR="00F37E33">
        <w:rPr>
          <w:rFonts w:cs="Times New Roman"/>
        </w:rPr>
        <w:t>generate jobs</w:t>
      </w:r>
      <w:r w:rsidR="002774EF">
        <w:rPr>
          <w:rFonts w:cs="Times New Roman"/>
        </w:rPr>
        <w:t>.</w:t>
      </w:r>
      <w:r w:rsidR="00A511A8">
        <w:rPr>
          <w:rStyle w:val="EndnoteReference"/>
          <w:rFonts w:cs="Times New Roman"/>
        </w:rPr>
        <w:endnoteReference w:id="5"/>
      </w:r>
      <w:r w:rsidR="002774EF">
        <w:rPr>
          <w:rFonts w:cs="Times New Roman"/>
        </w:rPr>
        <w:t xml:space="preserve"> </w:t>
      </w:r>
      <w:r w:rsidR="00F37E33">
        <w:rPr>
          <w:rFonts w:cs="Times New Roman"/>
        </w:rPr>
        <w:t xml:space="preserve">The rise of digital </w:t>
      </w:r>
      <w:r w:rsidR="00205089">
        <w:rPr>
          <w:rFonts w:cs="Times New Roman"/>
        </w:rPr>
        <w:t xml:space="preserve">technologies </w:t>
      </w:r>
      <w:r w:rsidR="00F02B6A">
        <w:rPr>
          <w:rFonts w:cs="Times New Roman"/>
        </w:rPr>
        <w:t xml:space="preserve">and </w:t>
      </w:r>
      <w:r w:rsidR="00F37E33">
        <w:rPr>
          <w:rFonts w:cs="Times New Roman"/>
        </w:rPr>
        <w:t xml:space="preserve">platform-based </w:t>
      </w:r>
      <w:r w:rsidR="00E866DB">
        <w:rPr>
          <w:rFonts w:cs="Times New Roman"/>
        </w:rPr>
        <w:t>start-ups</w:t>
      </w:r>
      <w:r w:rsidR="00F37E33">
        <w:rPr>
          <w:rFonts w:cs="Times New Roman"/>
        </w:rPr>
        <w:t xml:space="preserve"> are </w:t>
      </w:r>
      <w:r w:rsidR="00E866DB">
        <w:rPr>
          <w:rFonts w:cs="Times New Roman"/>
        </w:rPr>
        <w:t xml:space="preserve">encouraging </w:t>
      </w:r>
      <w:r w:rsidR="002065D8">
        <w:rPr>
          <w:rFonts w:cs="Times New Roman"/>
        </w:rPr>
        <w:t xml:space="preserve">existing </w:t>
      </w:r>
      <w:r w:rsidR="00F37E33">
        <w:rPr>
          <w:rFonts w:cs="Times New Roman"/>
        </w:rPr>
        <w:t xml:space="preserve">MSMEs </w:t>
      </w:r>
      <w:r w:rsidR="002D266E">
        <w:rPr>
          <w:rFonts w:cs="Times New Roman"/>
        </w:rPr>
        <w:t xml:space="preserve">to become more competitive </w:t>
      </w:r>
      <w:r w:rsidR="004770CD">
        <w:rPr>
          <w:rFonts w:cs="Times New Roman"/>
        </w:rPr>
        <w:t>a</w:t>
      </w:r>
      <w:r w:rsidR="008B12BA">
        <w:rPr>
          <w:rFonts w:cs="Times New Roman"/>
        </w:rPr>
        <w:t>s well as</w:t>
      </w:r>
      <w:r w:rsidR="004770CD">
        <w:rPr>
          <w:rFonts w:cs="Times New Roman"/>
        </w:rPr>
        <w:t xml:space="preserve"> creat</w:t>
      </w:r>
      <w:r w:rsidR="008B12BA">
        <w:rPr>
          <w:rFonts w:cs="Times New Roman"/>
        </w:rPr>
        <w:t xml:space="preserve">e </w:t>
      </w:r>
      <w:r w:rsidR="004770CD">
        <w:rPr>
          <w:rFonts w:cs="Times New Roman"/>
        </w:rPr>
        <w:t xml:space="preserve">entirely new </w:t>
      </w:r>
      <w:r w:rsidR="004348FC">
        <w:rPr>
          <w:rFonts w:cs="Times New Roman"/>
        </w:rPr>
        <w:t xml:space="preserve">and innovative </w:t>
      </w:r>
      <w:r w:rsidR="004770CD">
        <w:rPr>
          <w:rFonts w:cs="Times New Roman"/>
        </w:rPr>
        <w:t>forms of busin</w:t>
      </w:r>
      <w:r w:rsidR="008B12BA">
        <w:rPr>
          <w:rFonts w:cs="Times New Roman"/>
        </w:rPr>
        <w:t>e</w:t>
      </w:r>
      <w:r w:rsidR="004770CD">
        <w:rPr>
          <w:rFonts w:cs="Times New Roman"/>
        </w:rPr>
        <w:t xml:space="preserve">sses as seen by the </w:t>
      </w:r>
      <w:r w:rsidR="001032EE">
        <w:rPr>
          <w:rFonts w:cs="Times New Roman"/>
        </w:rPr>
        <w:t xml:space="preserve">recent spurt of start-ups </w:t>
      </w:r>
      <w:r w:rsidR="008B12BA">
        <w:rPr>
          <w:rFonts w:cs="Times New Roman"/>
        </w:rPr>
        <w:t xml:space="preserve">in the </w:t>
      </w:r>
      <w:r w:rsidR="004770CD" w:rsidRPr="004770CD">
        <w:rPr>
          <w:rFonts w:cs="Times New Roman"/>
        </w:rPr>
        <w:t>Philippines</w:t>
      </w:r>
      <w:r w:rsidR="008B12BA">
        <w:rPr>
          <w:rFonts w:cs="Times New Roman"/>
        </w:rPr>
        <w:t>. O</w:t>
      </w:r>
      <w:r w:rsidR="004348FC">
        <w:rPr>
          <w:rFonts w:cs="Times New Roman"/>
        </w:rPr>
        <w:t xml:space="preserve">f the </w:t>
      </w:r>
      <w:r w:rsidR="00712279">
        <w:rPr>
          <w:rFonts w:cs="Times New Roman"/>
        </w:rPr>
        <w:t xml:space="preserve">active </w:t>
      </w:r>
      <w:r w:rsidR="00802B46">
        <w:rPr>
          <w:rFonts w:cs="Times New Roman"/>
        </w:rPr>
        <w:t>450</w:t>
      </w:r>
      <w:r w:rsidR="00712279">
        <w:rPr>
          <w:rFonts w:cs="Times New Roman"/>
        </w:rPr>
        <w:t xml:space="preserve"> startups </w:t>
      </w:r>
      <w:r w:rsidR="004348FC">
        <w:rPr>
          <w:rFonts w:cs="Times New Roman"/>
        </w:rPr>
        <w:t>in the Philippines</w:t>
      </w:r>
      <w:r w:rsidR="00645B82">
        <w:rPr>
          <w:rFonts w:cs="Times New Roman"/>
        </w:rPr>
        <w:t>,</w:t>
      </w:r>
      <w:r w:rsidR="004348FC">
        <w:rPr>
          <w:rFonts w:cs="Times New Roman"/>
        </w:rPr>
        <w:t xml:space="preserve"> almost </w:t>
      </w:r>
      <w:r w:rsidR="00645B82">
        <w:rPr>
          <w:rFonts w:cs="Times New Roman"/>
        </w:rPr>
        <w:t xml:space="preserve">half </w:t>
      </w:r>
      <w:r w:rsidR="00D21DAC">
        <w:rPr>
          <w:rFonts w:cs="Times New Roman"/>
        </w:rPr>
        <w:t xml:space="preserve">have been </w:t>
      </w:r>
      <w:r w:rsidR="00712279">
        <w:rPr>
          <w:rFonts w:cs="Times New Roman"/>
        </w:rPr>
        <w:t xml:space="preserve">being launched between 2016-2017. </w:t>
      </w:r>
    </w:p>
    <w:p w14:paraId="7D04FEB5" w14:textId="77777777" w:rsidR="004A6591" w:rsidRPr="00AE7D88" w:rsidRDefault="004A6591" w:rsidP="009249D1">
      <w:pPr>
        <w:pStyle w:val="ListParagraph"/>
        <w:rPr>
          <w:rFonts w:cs="Times New Roman"/>
          <w:bCs/>
        </w:rPr>
      </w:pPr>
    </w:p>
    <w:p w14:paraId="0FB44C0F" w14:textId="08A33AE1" w:rsidR="003F7DB6" w:rsidRPr="00AE7D88" w:rsidRDefault="002774EF" w:rsidP="009249D1">
      <w:pPr>
        <w:pStyle w:val="ListParagraph"/>
        <w:numPr>
          <w:ilvl w:val="0"/>
          <w:numId w:val="50"/>
        </w:numPr>
        <w:jc w:val="both"/>
        <w:rPr>
          <w:rFonts w:cs="Times New Roman"/>
        </w:rPr>
      </w:pPr>
      <w:r w:rsidRPr="009249D1">
        <w:rPr>
          <w:rFonts w:cs="Times New Roman"/>
          <w:b/>
          <w:bCs/>
        </w:rPr>
        <w:t>Despite their critical importance</w:t>
      </w:r>
      <w:r w:rsidR="00CA2A8D" w:rsidRPr="009249D1">
        <w:rPr>
          <w:rFonts w:cs="Times New Roman"/>
          <w:b/>
          <w:bCs/>
        </w:rPr>
        <w:t>, MSMEs operate below potential</w:t>
      </w:r>
      <w:r w:rsidR="00A93ABF" w:rsidRPr="009249D1">
        <w:rPr>
          <w:rFonts w:cs="Times New Roman"/>
          <w:b/>
          <w:bCs/>
        </w:rPr>
        <w:t xml:space="preserve"> vis</w:t>
      </w:r>
      <w:r w:rsidR="00CD58EE">
        <w:rPr>
          <w:rFonts w:cs="Times New Roman"/>
          <w:b/>
          <w:bCs/>
        </w:rPr>
        <w:t xml:space="preserve"> </w:t>
      </w:r>
      <w:r w:rsidR="003C41DE">
        <w:rPr>
          <w:rFonts w:cs="Times New Roman"/>
          <w:b/>
          <w:bCs/>
        </w:rPr>
        <w:t xml:space="preserve">a vis </w:t>
      </w:r>
      <w:proofErr w:type="gramStart"/>
      <w:r w:rsidR="00CD58EE">
        <w:rPr>
          <w:rFonts w:cs="Times New Roman"/>
          <w:b/>
          <w:bCs/>
        </w:rPr>
        <w:t>regional comparators</w:t>
      </w:r>
      <w:proofErr w:type="gramEnd"/>
      <w:r w:rsidR="00CD58EE">
        <w:rPr>
          <w:rFonts w:cs="Times New Roman"/>
          <w:b/>
          <w:bCs/>
        </w:rPr>
        <w:t xml:space="preserve"> and</w:t>
      </w:r>
      <w:r w:rsidR="00A93ABF" w:rsidRPr="009249D1">
        <w:rPr>
          <w:rFonts w:cs="Times New Roman"/>
          <w:b/>
          <w:bCs/>
        </w:rPr>
        <w:t xml:space="preserve"> the </w:t>
      </w:r>
      <w:proofErr w:type="spellStart"/>
      <w:r w:rsidR="00360DDE" w:rsidRPr="009249D1">
        <w:rPr>
          <w:rFonts w:cs="Times New Roman"/>
          <w:b/>
          <w:bCs/>
        </w:rPr>
        <w:t>GoP</w:t>
      </w:r>
      <w:r w:rsidR="00CD769F" w:rsidRPr="00DA62DB">
        <w:rPr>
          <w:rFonts w:cs="Times New Roman"/>
          <w:b/>
          <w:bCs/>
        </w:rPr>
        <w:t>’s</w:t>
      </w:r>
      <w:proofErr w:type="spellEnd"/>
      <w:r w:rsidR="00360DDE" w:rsidRPr="009249D1">
        <w:rPr>
          <w:rFonts w:cs="Times New Roman"/>
          <w:b/>
          <w:bCs/>
        </w:rPr>
        <w:t xml:space="preserve"> </w:t>
      </w:r>
      <w:r w:rsidR="00A93ABF" w:rsidRPr="009249D1">
        <w:rPr>
          <w:rFonts w:cs="Times New Roman"/>
          <w:b/>
          <w:bCs/>
        </w:rPr>
        <w:t>ambition</w:t>
      </w:r>
      <w:r w:rsidR="00CD58EE">
        <w:rPr>
          <w:rFonts w:cs="Times New Roman"/>
          <w:b/>
          <w:bCs/>
        </w:rPr>
        <w:t>s</w:t>
      </w:r>
      <w:r w:rsidR="00CD769F" w:rsidRPr="00DA62DB">
        <w:rPr>
          <w:rFonts w:cs="Times New Roman"/>
          <w:bCs/>
        </w:rPr>
        <w:t xml:space="preserve">. </w:t>
      </w:r>
      <w:r w:rsidR="00334DE8" w:rsidRPr="00DA62DB">
        <w:rPr>
          <w:rFonts w:cs="Times New Roman"/>
          <w:bCs/>
        </w:rPr>
        <w:t xml:space="preserve">Most </w:t>
      </w:r>
      <w:r w:rsidR="00041623" w:rsidRPr="00DA62DB">
        <w:rPr>
          <w:rFonts w:cs="Times New Roman"/>
          <w:bCs/>
        </w:rPr>
        <w:t>MSMEs</w:t>
      </w:r>
      <w:r w:rsidR="003B2CF9" w:rsidRPr="00DA62DB">
        <w:rPr>
          <w:rFonts w:cs="Times New Roman"/>
          <w:bCs/>
        </w:rPr>
        <w:t xml:space="preserve"> </w:t>
      </w:r>
      <w:r w:rsidR="00334DE8" w:rsidRPr="00DA62DB">
        <w:rPr>
          <w:rFonts w:cs="Times New Roman"/>
          <w:bCs/>
        </w:rPr>
        <w:t>are</w:t>
      </w:r>
      <w:r w:rsidR="00433DE3" w:rsidRPr="00DA62DB">
        <w:rPr>
          <w:rFonts w:cs="Times New Roman"/>
          <w:bCs/>
        </w:rPr>
        <w:t xml:space="preserve"> small,</w:t>
      </w:r>
      <w:r w:rsidR="00A703FF">
        <w:rPr>
          <w:rStyle w:val="EndnoteReference"/>
          <w:rFonts w:cs="Times New Roman"/>
          <w:bCs/>
        </w:rPr>
        <w:endnoteReference w:id="6"/>
      </w:r>
      <w:r w:rsidR="00433DE3" w:rsidRPr="00DA62DB">
        <w:rPr>
          <w:rFonts w:cs="Times New Roman"/>
          <w:bCs/>
        </w:rPr>
        <w:t xml:space="preserve"> not engaged in exports and have limited access to foreign </w:t>
      </w:r>
      <w:r w:rsidR="00B9439E" w:rsidRPr="00DA62DB">
        <w:rPr>
          <w:rFonts w:cs="Times New Roman"/>
          <w:bCs/>
        </w:rPr>
        <w:t>capital</w:t>
      </w:r>
      <w:r w:rsidR="00433DE3" w:rsidRPr="00DA62DB">
        <w:rPr>
          <w:rFonts w:cs="Times New Roman"/>
          <w:bCs/>
        </w:rPr>
        <w:t xml:space="preserve"> – all which impact</w:t>
      </w:r>
      <w:r w:rsidR="004A5024" w:rsidRPr="00DA62DB">
        <w:rPr>
          <w:rFonts w:cs="Times New Roman"/>
          <w:bCs/>
        </w:rPr>
        <w:t xml:space="preserve"> innovation and</w:t>
      </w:r>
      <w:r w:rsidR="00433DE3" w:rsidRPr="00DA62DB">
        <w:rPr>
          <w:rFonts w:cs="Times New Roman"/>
          <w:bCs/>
        </w:rPr>
        <w:t xml:space="preserve"> productivity performance.</w:t>
      </w:r>
      <w:r w:rsidR="003568CC" w:rsidRPr="003568CC">
        <w:t xml:space="preserve"> </w:t>
      </w:r>
      <w:r w:rsidR="00611375" w:rsidRPr="00611375">
        <w:t>Despite promising entrepreneurial outlook, busines</w:t>
      </w:r>
      <w:r w:rsidR="0083536C">
        <w:t xml:space="preserve">s establishment </w:t>
      </w:r>
      <w:r w:rsidR="00611375" w:rsidRPr="00611375">
        <w:t>and scalability remain a challenge</w:t>
      </w:r>
      <w:r w:rsidR="00127ACB">
        <w:t>, and</w:t>
      </w:r>
      <w:r w:rsidR="00DB16CB" w:rsidRPr="00C341A2">
        <w:rPr>
          <w:rFonts w:cs="Times New Roman"/>
        </w:rPr>
        <w:t xml:space="preserve"> the rate of failure rate is the highest in the ASEAN leading to very low established business rate.</w:t>
      </w:r>
      <w:r w:rsidR="005100F2">
        <w:rPr>
          <w:rStyle w:val="EndnoteReference"/>
          <w:rFonts w:cs="Times New Roman"/>
        </w:rPr>
        <w:endnoteReference w:id="7"/>
      </w:r>
      <w:r w:rsidR="00611375" w:rsidRPr="00611375">
        <w:t xml:space="preserve"> </w:t>
      </w:r>
      <w:r w:rsidR="00863C94" w:rsidRPr="00863C94">
        <w:t xml:space="preserve">The </w:t>
      </w:r>
      <w:r w:rsidR="00BF6F19">
        <w:t>bulk of the</w:t>
      </w:r>
      <w:r w:rsidR="00863C94" w:rsidRPr="00863C94">
        <w:t xml:space="preserve"> jobs</w:t>
      </w:r>
      <w:r w:rsidR="008410B3">
        <w:t xml:space="preserve"> </w:t>
      </w:r>
      <w:r w:rsidR="00BF6F19">
        <w:t>in the MSMEs are</w:t>
      </w:r>
      <w:r w:rsidR="001D6C4F">
        <w:t xml:space="preserve"> </w:t>
      </w:r>
      <w:r w:rsidR="00863C94" w:rsidRPr="00863C94">
        <w:t>low paying and poor</w:t>
      </w:r>
      <w:r w:rsidR="00DA62DB">
        <w:t>-</w:t>
      </w:r>
      <w:r w:rsidR="001D6C4F">
        <w:t>qua</w:t>
      </w:r>
      <w:r w:rsidR="005C0F1F">
        <w:t>l</w:t>
      </w:r>
      <w:r w:rsidR="001D6C4F">
        <w:t>ity</w:t>
      </w:r>
      <w:r w:rsidR="00863C94" w:rsidRPr="00863C94">
        <w:t xml:space="preserve">. </w:t>
      </w:r>
      <w:r w:rsidR="00DA62DB" w:rsidRPr="00DA62DB">
        <w:t xml:space="preserve">There is thus an opportunity </w:t>
      </w:r>
      <w:r w:rsidR="00082EBF">
        <w:t xml:space="preserve">to improve the </w:t>
      </w:r>
      <w:r w:rsidR="00DA62DB" w:rsidRPr="00DA62DB">
        <w:t>competitive and dynami</w:t>
      </w:r>
      <w:r w:rsidR="00082EBF">
        <w:t xml:space="preserve">sm of the MSMEs </w:t>
      </w:r>
      <w:r w:rsidR="00DA62DB" w:rsidRPr="00DA62DB">
        <w:t>that</w:t>
      </w:r>
      <w:r w:rsidR="00082EBF">
        <w:t>, among other things</w:t>
      </w:r>
      <w:r w:rsidR="00FA2015">
        <w:t>,</w:t>
      </w:r>
      <w:r w:rsidR="00DA62DB" w:rsidRPr="00DA62DB">
        <w:t xml:space="preserve"> can create better quality employment. </w:t>
      </w:r>
    </w:p>
    <w:p w14:paraId="5C3F9509" w14:textId="77777777" w:rsidR="003912D4" w:rsidRPr="00AE7D88" w:rsidRDefault="003912D4" w:rsidP="009249D1">
      <w:pPr>
        <w:pStyle w:val="ListParagraph"/>
        <w:ind w:left="360"/>
        <w:jc w:val="both"/>
        <w:rPr>
          <w:rFonts w:cs="Times New Roman"/>
        </w:rPr>
      </w:pPr>
    </w:p>
    <w:p w14:paraId="3A3E44F1" w14:textId="10A4594A" w:rsidR="00AE2470" w:rsidRPr="00AE2470" w:rsidRDefault="00A05847" w:rsidP="009249D1">
      <w:pPr>
        <w:pStyle w:val="ListParagraph"/>
        <w:numPr>
          <w:ilvl w:val="0"/>
          <w:numId w:val="50"/>
        </w:numPr>
        <w:jc w:val="both"/>
        <w:rPr>
          <w:rFonts w:cs="Times New Roman"/>
        </w:rPr>
      </w:pPr>
      <w:r w:rsidRPr="00AE2470">
        <w:rPr>
          <w:rFonts w:cs="Times New Roman"/>
          <w:b/>
        </w:rPr>
        <w:t>Enhancing</w:t>
      </w:r>
      <w:r w:rsidR="00F9033B" w:rsidRPr="00AE2470">
        <w:rPr>
          <w:rFonts w:cs="Times New Roman"/>
          <w:b/>
        </w:rPr>
        <w:t xml:space="preserve"> performance </w:t>
      </w:r>
      <w:r w:rsidR="00353660">
        <w:rPr>
          <w:rFonts w:cs="Times New Roman"/>
          <w:b/>
        </w:rPr>
        <w:t xml:space="preserve">outcomes </w:t>
      </w:r>
      <w:r w:rsidR="00F9033B" w:rsidRPr="00AE2470">
        <w:rPr>
          <w:rFonts w:cs="Times New Roman"/>
          <w:b/>
        </w:rPr>
        <w:t xml:space="preserve">of </w:t>
      </w:r>
      <w:r w:rsidR="003F7DB6" w:rsidRPr="009249D1">
        <w:rPr>
          <w:rFonts w:cs="Times New Roman"/>
          <w:b/>
        </w:rPr>
        <w:t xml:space="preserve">MSMEs in the Philippines </w:t>
      </w:r>
      <w:r w:rsidR="00F9033B" w:rsidRPr="00AE2470">
        <w:rPr>
          <w:rFonts w:cs="Times New Roman"/>
          <w:b/>
        </w:rPr>
        <w:t>is primarily about</w:t>
      </w:r>
      <w:r w:rsidR="00046BB5" w:rsidRPr="00AE2470">
        <w:rPr>
          <w:rFonts w:cs="Times New Roman"/>
          <w:b/>
        </w:rPr>
        <w:t xml:space="preserve"> improv</w:t>
      </w:r>
      <w:r w:rsidR="00F9033B" w:rsidRPr="00AE2470">
        <w:rPr>
          <w:rFonts w:cs="Times New Roman"/>
          <w:b/>
        </w:rPr>
        <w:t xml:space="preserve">ing productivity. </w:t>
      </w:r>
      <w:r w:rsidR="00FE2472" w:rsidRPr="009249D1">
        <w:rPr>
          <w:rFonts w:cs="Times New Roman"/>
        </w:rPr>
        <w:t>The productivity of MSMEs in Philippine lags significantly behind large firms and neighboring countries.</w:t>
      </w:r>
      <w:r w:rsidR="00653582" w:rsidRPr="00AE2470">
        <w:rPr>
          <w:rFonts w:cs="Times New Roman"/>
        </w:rPr>
        <w:t xml:space="preserve"> </w:t>
      </w:r>
      <w:r w:rsidR="00F651BA" w:rsidRPr="003C1784">
        <w:rPr>
          <w:rFonts w:cs="Times New Roman"/>
        </w:rPr>
        <w:t>MSMEs are constrained to generate well-paying jobs due to low productivity growth. Increases in labor productivity typically lead to real wage increases</w:t>
      </w:r>
      <w:r w:rsidR="0081394E">
        <w:rPr>
          <w:rFonts w:cs="Times New Roman"/>
        </w:rPr>
        <w:t xml:space="preserve">. </w:t>
      </w:r>
      <w:r w:rsidR="00F80D7E" w:rsidRPr="00AE2470">
        <w:rPr>
          <w:rFonts w:cs="Times New Roman"/>
        </w:rPr>
        <w:t xml:space="preserve">Understanding </w:t>
      </w:r>
      <w:r w:rsidR="006D59A7" w:rsidRPr="00AE2470">
        <w:rPr>
          <w:rFonts w:cs="Times New Roman"/>
        </w:rPr>
        <w:t xml:space="preserve">firm level constraints to improving productivity is a pre-requisite to </w:t>
      </w:r>
      <w:r w:rsidR="00E60BAB" w:rsidRPr="00AE2470">
        <w:rPr>
          <w:rFonts w:cs="Times New Roman"/>
        </w:rPr>
        <w:t>ide</w:t>
      </w:r>
      <w:r w:rsidR="00497266" w:rsidRPr="00AE2470">
        <w:rPr>
          <w:rFonts w:cs="Times New Roman"/>
        </w:rPr>
        <w:t>ntifying remedial measures and implementing them</w:t>
      </w:r>
      <w:r w:rsidR="00BE3025" w:rsidRPr="00AE2470">
        <w:rPr>
          <w:rFonts w:cs="Times New Roman"/>
        </w:rPr>
        <w:t>.</w:t>
      </w:r>
      <w:r w:rsidR="008E7330" w:rsidRPr="00AE2470">
        <w:rPr>
          <w:rFonts w:cs="Times New Roman"/>
        </w:rPr>
        <w:t xml:space="preserve"> </w:t>
      </w:r>
      <w:r w:rsidR="00B32624">
        <w:rPr>
          <w:rFonts w:cs="Times New Roman"/>
        </w:rPr>
        <w:t xml:space="preserve">MSMEs face </w:t>
      </w:r>
      <w:r w:rsidR="00AE2470">
        <w:rPr>
          <w:rFonts w:cs="Times New Roman"/>
        </w:rPr>
        <w:t xml:space="preserve">a </w:t>
      </w:r>
      <w:r w:rsidR="00AE2470" w:rsidRPr="00AE2470">
        <w:rPr>
          <w:rFonts w:cs="Times New Roman"/>
        </w:rPr>
        <w:t>combination of market failures</w:t>
      </w:r>
      <w:r w:rsidR="002034DB">
        <w:rPr>
          <w:rFonts w:cs="Times New Roman"/>
        </w:rPr>
        <w:t xml:space="preserve"> and </w:t>
      </w:r>
      <w:r w:rsidR="004C46A2">
        <w:rPr>
          <w:rFonts w:cs="Times New Roman"/>
        </w:rPr>
        <w:t>internal firm</w:t>
      </w:r>
      <w:r w:rsidR="00443D5F">
        <w:rPr>
          <w:rFonts w:cs="Times New Roman"/>
        </w:rPr>
        <w:t xml:space="preserve"> capabilit</w:t>
      </w:r>
      <w:r w:rsidR="00B32624">
        <w:rPr>
          <w:rFonts w:cs="Times New Roman"/>
        </w:rPr>
        <w:t>ies constra</w:t>
      </w:r>
      <w:r w:rsidR="002034DB">
        <w:rPr>
          <w:rFonts w:cs="Times New Roman"/>
        </w:rPr>
        <w:t>i</w:t>
      </w:r>
      <w:r w:rsidR="00B32624">
        <w:rPr>
          <w:rFonts w:cs="Times New Roman"/>
        </w:rPr>
        <w:t xml:space="preserve">nts </w:t>
      </w:r>
      <w:r w:rsidR="00AE2470">
        <w:rPr>
          <w:rFonts w:cs="Times New Roman"/>
        </w:rPr>
        <w:t xml:space="preserve">as well as </w:t>
      </w:r>
      <w:r w:rsidR="00AE2470" w:rsidRPr="00AE2470">
        <w:rPr>
          <w:rFonts w:cs="Times New Roman"/>
        </w:rPr>
        <w:t xml:space="preserve">and ineffective public policies, which </w:t>
      </w:r>
      <w:r w:rsidR="00AE2470">
        <w:rPr>
          <w:rFonts w:cs="Times New Roman"/>
        </w:rPr>
        <w:t>may lead to</w:t>
      </w:r>
      <w:r w:rsidR="00AE2470" w:rsidRPr="00AE2470">
        <w:rPr>
          <w:rFonts w:cs="Times New Roman"/>
        </w:rPr>
        <w:t xml:space="preserve"> additional distortions in certain cases. </w:t>
      </w:r>
    </w:p>
    <w:p w14:paraId="3571F6BC" w14:textId="77777777" w:rsidR="00BC2A12" w:rsidRPr="00AE7D88" w:rsidRDefault="00BC2A12" w:rsidP="009249D1">
      <w:pPr>
        <w:pStyle w:val="ListParagraph"/>
        <w:rPr>
          <w:rFonts w:cs="Times New Roman"/>
        </w:rPr>
      </w:pPr>
    </w:p>
    <w:p w14:paraId="09390980" w14:textId="03644F34" w:rsidR="00CE6631" w:rsidRDefault="00DC1E31" w:rsidP="0003177A">
      <w:pPr>
        <w:pStyle w:val="ListParagraph"/>
        <w:numPr>
          <w:ilvl w:val="0"/>
          <w:numId w:val="50"/>
        </w:numPr>
        <w:jc w:val="both"/>
      </w:pPr>
      <w:r w:rsidRPr="009249D1">
        <w:rPr>
          <w:b/>
        </w:rPr>
        <w:t xml:space="preserve">The renewed focus </w:t>
      </w:r>
      <w:r w:rsidR="00485CE8" w:rsidRPr="009249D1">
        <w:rPr>
          <w:b/>
        </w:rPr>
        <w:t xml:space="preserve">on MSMEs </w:t>
      </w:r>
      <w:r w:rsidRPr="009249D1">
        <w:rPr>
          <w:b/>
        </w:rPr>
        <w:t>builds on Government</w:t>
      </w:r>
      <w:r w:rsidR="00866797">
        <w:rPr>
          <w:b/>
        </w:rPr>
        <w:t xml:space="preserve">’s earlier </w:t>
      </w:r>
      <w:r w:rsidR="00FA4D94">
        <w:rPr>
          <w:b/>
        </w:rPr>
        <w:t xml:space="preserve">national development and MSME </w:t>
      </w:r>
      <w:r w:rsidRPr="009249D1">
        <w:rPr>
          <w:b/>
        </w:rPr>
        <w:t xml:space="preserve">plans </w:t>
      </w:r>
      <w:r w:rsidR="00FA4D94">
        <w:rPr>
          <w:b/>
        </w:rPr>
        <w:t xml:space="preserve">and </w:t>
      </w:r>
      <w:r w:rsidR="00E0561E">
        <w:rPr>
          <w:b/>
        </w:rPr>
        <w:t>Program</w:t>
      </w:r>
      <w:r w:rsidR="00B56281">
        <w:rPr>
          <w:b/>
        </w:rPr>
        <w:t xml:space="preserve"> level</w:t>
      </w:r>
      <w:r w:rsidR="00866797">
        <w:rPr>
          <w:b/>
        </w:rPr>
        <w:t xml:space="preserve"> policy</w:t>
      </w:r>
      <w:r w:rsidR="00B56281">
        <w:rPr>
          <w:b/>
        </w:rPr>
        <w:t xml:space="preserve"> interventions </w:t>
      </w:r>
      <w:r w:rsidRPr="009249D1">
        <w:rPr>
          <w:b/>
        </w:rPr>
        <w:t xml:space="preserve">to </w:t>
      </w:r>
      <w:r w:rsidR="00C1057E">
        <w:rPr>
          <w:b/>
        </w:rPr>
        <w:t xml:space="preserve">foster </w:t>
      </w:r>
      <w:r w:rsidR="00645A3B" w:rsidRPr="00607463">
        <w:rPr>
          <w:b/>
        </w:rPr>
        <w:t xml:space="preserve">enterprise </w:t>
      </w:r>
      <w:r w:rsidR="00F50F39" w:rsidRPr="009249D1">
        <w:rPr>
          <w:b/>
        </w:rPr>
        <w:t>productivity and entrepreneurship.</w:t>
      </w:r>
      <w:r w:rsidR="00F50F39" w:rsidRPr="00F50F39">
        <w:t xml:space="preserve"> </w:t>
      </w:r>
      <w:r w:rsidR="002323EB">
        <w:t xml:space="preserve"> </w:t>
      </w:r>
      <w:r w:rsidR="002126FD">
        <w:t>The</w:t>
      </w:r>
      <w:r w:rsidR="004A533B">
        <w:t xml:space="preserve"> </w:t>
      </w:r>
      <w:r w:rsidR="00742D71" w:rsidRPr="00742D71">
        <w:t>country invests significant public resources to support policy interventions</w:t>
      </w:r>
      <w:r w:rsidR="00CC54B3">
        <w:t xml:space="preserve"> and direct support programs</w:t>
      </w:r>
      <w:r w:rsidR="00742D71" w:rsidRPr="00742D71">
        <w:t xml:space="preserve"> to address market failures </w:t>
      </w:r>
      <w:r w:rsidR="00CC54B3">
        <w:t xml:space="preserve">faced by MSMEs. </w:t>
      </w:r>
      <w:r w:rsidR="00794358" w:rsidRPr="00794358">
        <w:t>Constraints facing MSMEs vary along the firm life cycle as the early-stage entrepreneurs may face different needs than firms at a later stage of maturity. This in turn affects the specific instruments to support MSMEs.</w:t>
      </w:r>
      <w:r w:rsidR="00794358">
        <w:t xml:space="preserve"> </w:t>
      </w:r>
      <w:r w:rsidR="00B91D3C">
        <w:t xml:space="preserve"> </w:t>
      </w:r>
      <w:proofErr w:type="gramStart"/>
      <w:r w:rsidR="00A35078">
        <w:t>In order for</w:t>
      </w:r>
      <w:proofErr w:type="gramEnd"/>
      <w:r w:rsidR="00A35078">
        <w:t xml:space="preserve"> these public investments to be effective, Philippines needs complementarities linked to the business environment, training of the workforces, </w:t>
      </w:r>
      <w:r w:rsidR="00CC24DC">
        <w:t xml:space="preserve">financing and other important </w:t>
      </w:r>
      <w:r w:rsidR="00777ABA">
        <w:t xml:space="preserve">complementary </w:t>
      </w:r>
      <w:r w:rsidR="00CC24DC">
        <w:t>elements</w:t>
      </w:r>
      <w:r w:rsidR="00777ABA">
        <w:t xml:space="preserve">. </w:t>
      </w:r>
      <w:r w:rsidR="00CC24DC">
        <w:t xml:space="preserve"> </w:t>
      </w:r>
    </w:p>
    <w:p w14:paraId="34AD82A8" w14:textId="77777777" w:rsidR="00A448D3" w:rsidRDefault="00A448D3" w:rsidP="009249D1">
      <w:pPr>
        <w:pStyle w:val="ListParagraph"/>
        <w:ind w:left="360"/>
        <w:jc w:val="both"/>
      </w:pPr>
    </w:p>
    <w:p w14:paraId="42F9200B" w14:textId="3EB32906" w:rsidR="00A465DB" w:rsidRPr="009249D1" w:rsidRDefault="00731EED" w:rsidP="0087246A">
      <w:pPr>
        <w:pStyle w:val="ListParagraph"/>
        <w:numPr>
          <w:ilvl w:val="0"/>
          <w:numId w:val="50"/>
        </w:numPr>
        <w:jc w:val="both"/>
        <w:rPr>
          <w:rFonts w:cs="Times New Roman"/>
          <w:b/>
        </w:rPr>
      </w:pPr>
      <w:r w:rsidRPr="00BE1B3A">
        <w:rPr>
          <w:rFonts w:cs="Times New Roman"/>
          <w:b/>
        </w:rPr>
        <w:t xml:space="preserve">Examining the </w:t>
      </w:r>
      <w:r w:rsidRPr="00E62E7D">
        <w:rPr>
          <w:rFonts w:cs="Times New Roman"/>
          <w:b/>
        </w:rPr>
        <w:t>MSME policy framework and how effective it has been in supporting MSMEs can provide useful insights in strengthening and informing the path forward.</w:t>
      </w:r>
      <w:r w:rsidRPr="009249D1">
        <w:rPr>
          <w:rFonts w:cs="Times New Roman"/>
        </w:rPr>
        <w:t xml:space="preserve"> </w:t>
      </w:r>
      <w:r w:rsidR="00AF0913">
        <w:rPr>
          <w:rFonts w:cs="Times New Roman"/>
        </w:rPr>
        <w:t xml:space="preserve">In undertaking the analysis, the report </w:t>
      </w:r>
      <w:r w:rsidR="00F05253">
        <w:rPr>
          <w:rFonts w:cs="Times New Roman"/>
        </w:rPr>
        <w:t>focus</w:t>
      </w:r>
      <w:r w:rsidR="003008BF">
        <w:rPr>
          <w:rFonts w:cs="Times New Roman"/>
        </w:rPr>
        <w:t>es</w:t>
      </w:r>
      <w:r w:rsidR="00F05253">
        <w:rPr>
          <w:rFonts w:cs="Times New Roman"/>
        </w:rPr>
        <w:t xml:space="preserve"> on the following lines of e</w:t>
      </w:r>
      <w:r w:rsidR="00BE1B3A">
        <w:rPr>
          <w:rFonts w:cs="Times New Roman"/>
        </w:rPr>
        <w:t>n</w:t>
      </w:r>
      <w:r w:rsidR="00F05253">
        <w:rPr>
          <w:rFonts w:cs="Times New Roman"/>
        </w:rPr>
        <w:t>quiry</w:t>
      </w:r>
      <w:r w:rsidR="00BE1B3A">
        <w:rPr>
          <w:rFonts w:cs="Times New Roman"/>
        </w:rPr>
        <w:t>.</w:t>
      </w:r>
      <w:r w:rsidR="00BE1B3A" w:rsidRPr="00BE1B3A">
        <w:rPr>
          <w:rFonts w:cs="Times New Roman"/>
        </w:rPr>
        <w:t xml:space="preserve"> </w:t>
      </w:r>
      <w:r w:rsidR="00AC412D" w:rsidRPr="00BE1B3A">
        <w:rPr>
          <w:rFonts w:cs="Times New Roman"/>
        </w:rPr>
        <w:t>Is</w:t>
      </w:r>
      <w:r w:rsidR="00AC412D" w:rsidRPr="0006683D">
        <w:rPr>
          <w:rFonts w:cs="Times New Roman"/>
        </w:rPr>
        <w:t xml:space="preserve"> the MSME policy framework </w:t>
      </w:r>
      <w:r w:rsidR="0043535F">
        <w:rPr>
          <w:rFonts w:cs="Times New Roman"/>
        </w:rPr>
        <w:t xml:space="preserve">aligned to the economic </w:t>
      </w:r>
      <w:r w:rsidR="00AC412D" w:rsidRPr="0006683D">
        <w:rPr>
          <w:rFonts w:cs="Times New Roman"/>
        </w:rPr>
        <w:t xml:space="preserve">priorities as articulated in the overall development </w:t>
      </w:r>
      <w:r w:rsidR="0043535F">
        <w:rPr>
          <w:rFonts w:cs="Times New Roman"/>
        </w:rPr>
        <w:t>plan</w:t>
      </w:r>
      <w:r w:rsidR="0043535F" w:rsidRPr="0006683D">
        <w:rPr>
          <w:rFonts w:cs="Times New Roman"/>
        </w:rPr>
        <w:t>s</w:t>
      </w:r>
      <w:r w:rsidR="00AC412D" w:rsidRPr="0006683D">
        <w:rPr>
          <w:rFonts w:cs="Times New Roman"/>
        </w:rPr>
        <w:t xml:space="preserve">? What are the demand side constraints and market failures that contribute to low productivity of MSMEs </w:t>
      </w:r>
      <w:r w:rsidR="00AC412D" w:rsidRPr="00731EED">
        <w:rPr>
          <w:rFonts w:cs="Times New Roman"/>
        </w:rPr>
        <w:t xml:space="preserve">in the Philippines? Are there any weaknesses or gaps in the ecosystem for entrepreneurship? </w:t>
      </w:r>
      <w:r w:rsidR="00544E83" w:rsidRPr="00544E83">
        <w:rPr>
          <w:rFonts w:cs="Times New Roman"/>
        </w:rPr>
        <w:t xml:space="preserve">Are the policies and programs </w:t>
      </w:r>
      <w:r w:rsidR="00476622">
        <w:rPr>
          <w:rFonts w:cs="Times New Roman"/>
        </w:rPr>
        <w:t xml:space="preserve">instruments </w:t>
      </w:r>
      <w:r w:rsidR="00BD4147">
        <w:rPr>
          <w:rFonts w:cs="Times New Roman"/>
        </w:rPr>
        <w:t>r</w:t>
      </w:r>
      <w:r w:rsidR="00544E83" w:rsidRPr="00544E83">
        <w:rPr>
          <w:rFonts w:cs="Times New Roman"/>
        </w:rPr>
        <w:t xml:space="preserve">esponding to market failures and </w:t>
      </w:r>
      <w:r w:rsidR="00BD4147">
        <w:rPr>
          <w:rFonts w:cs="Times New Roman"/>
        </w:rPr>
        <w:t>needs of MSMEs including new entrants and start</w:t>
      </w:r>
      <w:r w:rsidR="00264CE4">
        <w:rPr>
          <w:rFonts w:cs="Times New Roman"/>
        </w:rPr>
        <w:t>-</w:t>
      </w:r>
      <w:r w:rsidR="00BD4147">
        <w:rPr>
          <w:rFonts w:cs="Times New Roman"/>
        </w:rPr>
        <w:t>up</w:t>
      </w:r>
      <w:r w:rsidR="00264CE4">
        <w:rPr>
          <w:rFonts w:cs="Times New Roman"/>
        </w:rPr>
        <w:t>s</w:t>
      </w:r>
      <w:r w:rsidR="00544E83" w:rsidRPr="00544E83">
        <w:rPr>
          <w:rFonts w:cs="Times New Roman"/>
        </w:rPr>
        <w:t>?</w:t>
      </w:r>
      <w:r w:rsidR="00544E83">
        <w:rPr>
          <w:rFonts w:cs="Times New Roman"/>
        </w:rPr>
        <w:t xml:space="preserve"> What are the areas for strengthening the </w:t>
      </w:r>
      <w:r w:rsidR="00AC412D" w:rsidRPr="00731EED">
        <w:rPr>
          <w:rFonts w:cs="Times New Roman"/>
        </w:rPr>
        <w:t>design and implementation of</w:t>
      </w:r>
      <w:r w:rsidR="00E24AAF" w:rsidRPr="00E24AAF">
        <w:t xml:space="preserve"> </w:t>
      </w:r>
      <w:r w:rsidR="00E24AAF">
        <w:t xml:space="preserve">MSMEs and </w:t>
      </w:r>
      <w:r w:rsidR="00E24AAF" w:rsidRPr="00E24AAF">
        <w:rPr>
          <w:rFonts w:cs="Times New Roman"/>
        </w:rPr>
        <w:t>entrepreneurship</w:t>
      </w:r>
      <w:r w:rsidR="00AC412D" w:rsidRPr="00731EED">
        <w:rPr>
          <w:rFonts w:cs="Times New Roman"/>
        </w:rPr>
        <w:t xml:space="preserve"> policies?</w:t>
      </w:r>
      <w:r w:rsidR="00264CE4">
        <w:t xml:space="preserve"> </w:t>
      </w:r>
      <w:r w:rsidR="00A448D3">
        <w:t xml:space="preserve">The report concludes with proposed policy measures to </w:t>
      </w:r>
      <w:r w:rsidR="00BE1B3A" w:rsidRPr="00BE1B3A">
        <w:rPr>
          <w:rFonts w:cs="Times New Roman"/>
        </w:rPr>
        <w:t xml:space="preserve">strengthen the MSME </w:t>
      </w:r>
      <w:r w:rsidR="00E24AAF">
        <w:rPr>
          <w:rFonts w:cs="Times New Roman"/>
        </w:rPr>
        <w:t xml:space="preserve">and </w:t>
      </w:r>
      <w:r w:rsidR="00E24AAF" w:rsidRPr="00E24AAF">
        <w:rPr>
          <w:rFonts w:cs="Times New Roman"/>
        </w:rPr>
        <w:t xml:space="preserve">entrepreneurship </w:t>
      </w:r>
      <w:r w:rsidR="00BE1B3A" w:rsidRPr="00BE1B3A">
        <w:rPr>
          <w:rFonts w:cs="Times New Roman"/>
        </w:rPr>
        <w:t xml:space="preserve">policy and </w:t>
      </w:r>
      <w:r w:rsidR="00A91805">
        <w:rPr>
          <w:rFonts w:cs="Times New Roman"/>
        </w:rPr>
        <w:t xml:space="preserve">program </w:t>
      </w:r>
      <w:r w:rsidR="00BE1B3A" w:rsidRPr="00BE1B3A">
        <w:rPr>
          <w:rFonts w:cs="Times New Roman"/>
        </w:rPr>
        <w:t>support mechanisms.</w:t>
      </w:r>
    </w:p>
    <w:p w14:paraId="26BC0AD7" w14:textId="005664A4" w:rsidR="00CB03E6" w:rsidRPr="00592AAC" w:rsidRDefault="00544E83" w:rsidP="00CB03E6">
      <w:pPr>
        <w:pStyle w:val="ListParagraph"/>
        <w:ind w:left="360"/>
        <w:jc w:val="both"/>
        <w:rPr>
          <w:rFonts w:ascii="Times" w:hAnsi="Times" w:cs="Times New Roman"/>
        </w:rPr>
      </w:pPr>
      <w:r w:rsidRPr="00DF684A" w:rsidDel="00A465DB">
        <w:rPr>
          <w:rFonts w:cs="Times New Roman"/>
          <w:b/>
        </w:rPr>
        <w:t xml:space="preserve"> </w:t>
      </w:r>
      <w:bookmarkEnd w:id="10"/>
    </w:p>
    <w:p w14:paraId="5EB28AD7" w14:textId="2D3F1435" w:rsidR="009F4F49" w:rsidRDefault="00CB03E6" w:rsidP="009249D1">
      <w:pPr>
        <w:pStyle w:val="ListParagraph"/>
        <w:numPr>
          <w:ilvl w:val="0"/>
          <w:numId w:val="50"/>
        </w:numPr>
        <w:jc w:val="both"/>
        <w:rPr>
          <w:rFonts w:cs="Times New Roman"/>
        </w:rPr>
      </w:pPr>
      <w:r w:rsidRPr="003C1784">
        <w:rPr>
          <w:rFonts w:cs="Times New Roman"/>
          <w:b/>
        </w:rPr>
        <w:t xml:space="preserve">The report is structured around </w:t>
      </w:r>
      <w:r w:rsidR="009F4F49">
        <w:rPr>
          <w:rFonts w:cs="Times New Roman"/>
          <w:b/>
        </w:rPr>
        <w:t>six</w:t>
      </w:r>
      <w:r w:rsidRPr="003C1784">
        <w:rPr>
          <w:rFonts w:cs="Times New Roman"/>
          <w:b/>
        </w:rPr>
        <w:t xml:space="preserve"> sections</w:t>
      </w:r>
      <w:r w:rsidRPr="004F7138">
        <w:rPr>
          <w:rFonts w:cs="Times New Roman"/>
        </w:rPr>
        <w:t xml:space="preserve">. </w:t>
      </w:r>
      <w:r w:rsidR="004F7138" w:rsidRPr="004F7138">
        <w:rPr>
          <w:rFonts w:cs="Times New Roman"/>
        </w:rPr>
        <w:t>Section 2 provides a</w:t>
      </w:r>
      <w:r w:rsidRPr="003C1784">
        <w:rPr>
          <w:rFonts w:cs="Times New Roman"/>
        </w:rPr>
        <w:t xml:space="preserve"> brief </w:t>
      </w:r>
      <w:r w:rsidR="00B8629C">
        <w:rPr>
          <w:rFonts w:cs="Times New Roman"/>
        </w:rPr>
        <w:t xml:space="preserve">context focusing on the </w:t>
      </w:r>
      <w:r w:rsidRPr="003C1784">
        <w:rPr>
          <w:rFonts w:cs="Times New Roman"/>
        </w:rPr>
        <w:t>profile of the MSME sector and its contribution to the overall Philippine economy</w:t>
      </w:r>
      <w:r w:rsidR="004F7138">
        <w:rPr>
          <w:rFonts w:cs="Times New Roman"/>
        </w:rPr>
        <w:t xml:space="preserve">. </w:t>
      </w:r>
      <w:r w:rsidR="008610CF">
        <w:rPr>
          <w:rFonts w:cs="Times New Roman"/>
        </w:rPr>
        <w:t xml:space="preserve">In line with </w:t>
      </w:r>
      <w:r w:rsidR="00311ED2">
        <w:rPr>
          <w:rFonts w:cs="Times New Roman"/>
        </w:rPr>
        <w:t>GOP strategic goals</w:t>
      </w:r>
      <w:r w:rsidR="009121A1">
        <w:rPr>
          <w:rFonts w:cs="Times New Roman"/>
        </w:rPr>
        <w:t>,</w:t>
      </w:r>
      <w:r w:rsidR="00311ED2">
        <w:rPr>
          <w:rFonts w:cs="Times New Roman"/>
        </w:rPr>
        <w:t xml:space="preserve"> </w:t>
      </w:r>
      <w:r w:rsidR="00DB33A6">
        <w:rPr>
          <w:rFonts w:cs="Times New Roman"/>
        </w:rPr>
        <w:t xml:space="preserve">the </w:t>
      </w:r>
      <w:r w:rsidR="00AD14DD">
        <w:rPr>
          <w:rFonts w:cs="Times New Roman"/>
        </w:rPr>
        <w:t>role of e</w:t>
      </w:r>
      <w:r w:rsidR="009121A1">
        <w:rPr>
          <w:rFonts w:cs="Times New Roman"/>
        </w:rPr>
        <w:t>n</w:t>
      </w:r>
      <w:r w:rsidR="00AD14DD">
        <w:rPr>
          <w:rFonts w:cs="Times New Roman"/>
        </w:rPr>
        <w:t>trepren</w:t>
      </w:r>
      <w:r w:rsidR="009121A1">
        <w:rPr>
          <w:rFonts w:cs="Times New Roman"/>
        </w:rPr>
        <w:t>eur</w:t>
      </w:r>
      <w:r w:rsidR="00AD14DD">
        <w:rPr>
          <w:rFonts w:cs="Times New Roman"/>
        </w:rPr>
        <w:t xml:space="preserve">ship and emerging startup ecosystem is discussed. </w:t>
      </w:r>
      <w:r w:rsidRPr="00DF684A">
        <w:rPr>
          <w:rFonts w:cs="Times New Roman"/>
        </w:rPr>
        <w:t xml:space="preserve">Section 3 lays out the </w:t>
      </w:r>
      <w:r w:rsidR="00AD6783">
        <w:rPr>
          <w:rFonts w:cs="Times New Roman"/>
        </w:rPr>
        <w:t>ana</w:t>
      </w:r>
      <w:r w:rsidR="00522C8E">
        <w:rPr>
          <w:rFonts w:cs="Times New Roman"/>
        </w:rPr>
        <w:t xml:space="preserve">lytical </w:t>
      </w:r>
      <w:r w:rsidR="00490E51">
        <w:rPr>
          <w:rFonts w:cs="Times New Roman"/>
        </w:rPr>
        <w:t>fra</w:t>
      </w:r>
      <w:r w:rsidR="00F249CB">
        <w:rPr>
          <w:rFonts w:cs="Times New Roman"/>
        </w:rPr>
        <w:t>mework adopted</w:t>
      </w:r>
      <w:r w:rsidRPr="00DF684A">
        <w:rPr>
          <w:rFonts w:cs="Times New Roman"/>
        </w:rPr>
        <w:t xml:space="preserve"> in the repor</w:t>
      </w:r>
      <w:r w:rsidR="00F249CB">
        <w:rPr>
          <w:rFonts w:cs="Times New Roman"/>
        </w:rPr>
        <w:t xml:space="preserve">t </w:t>
      </w:r>
      <w:r w:rsidRPr="00DF684A">
        <w:rPr>
          <w:rFonts w:cs="Times New Roman"/>
        </w:rPr>
        <w:t>for asse</w:t>
      </w:r>
      <w:r w:rsidRPr="00CF007C">
        <w:rPr>
          <w:rFonts w:cs="Times New Roman"/>
        </w:rPr>
        <w:t xml:space="preserve">ssing the effectiveness of the MSME policies and programs deployed in the Philippines for supporting productivity and entrepreneurship. </w:t>
      </w:r>
      <w:r w:rsidR="00A30904">
        <w:rPr>
          <w:rFonts w:cs="Times New Roman"/>
        </w:rPr>
        <w:t xml:space="preserve">This section </w:t>
      </w:r>
      <w:r w:rsidRPr="00CF007C">
        <w:rPr>
          <w:rFonts w:cs="Times New Roman"/>
        </w:rPr>
        <w:t>undertakes the demand side analysis</w:t>
      </w:r>
      <w:r w:rsidR="00F93E18">
        <w:rPr>
          <w:rFonts w:cs="Times New Roman"/>
        </w:rPr>
        <w:t xml:space="preserve"> by shedding light on </w:t>
      </w:r>
      <w:r w:rsidRPr="00DF684A">
        <w:rPr>
          <w:rFonts w:cs="Times New Roman"/>
        </w:rPr>
        <w:t>the main bottlenecks to MSME productivity growth.</w:t>
      </w:r>
      <w:r w:rsidRPr="003C1784">
        <w:t xml:space="preserve"> </w:t>
      </w:r>
      <w:r w:rsidR="00CB7369">
        <w:t>Using the firm life cycle lens, i</w:t>
      </w:r>
      <w:r w:rsidRPr="00DF684A">
        <w:rPr>
          <w:rFonts w:cs="Times New Roman"/>
        </w:rPr>
        <w:t>t identifi</w:t>
      </w:r>
      <w:r w:rsidRPr="00CF007C">
        <w:rPr>
          <w:rFonts w:cs="Times New Roman"/>
        </w:rPr>
        <w:t xml:space="preserve">es the underlying market failures and key constraints that established MSMEs </w:t>
      </w:r>
      <w:r w:rsidR="00CB7369">
        <w:rPr>
          <w:rFonts w:cs="Times New Roman"/>
        </w:rPr>
        <w:t xml:space="preserve">and </w:t>
      </w:r>
      <w:r w:rsidRPr="00DF684A">
        <w:rPr>
          <w:rFonts w:cs="Times New Roman"/>
        </w:rPr>
        <w:t xml:space="preserve">early stage </w:t>
      </w:r>
      <w:r w:rsidR="00CB7369">
        <w:rPr>
          <w:rFonts w:cs="Times New Roman"/>
        </w:rPr>
        <w:t xml:space="preserve">entrepreneurs trying to </w:t>
      </w:r>
      <w:r w:rsidR="009A31AA">
        <w:rPr>
          <w:rFonts w:cs="Times New Roman"/>
        </w:rPr>
        <w:t xml:space="preserve">set up a </w:t>
      </w:r>
      <w:r w:rsidR="00CB7369">
        <w:rPr>
          <w:rFonts w:cs="Times New Roman"/>
        </w:rPr>
        <w:t>business</w:t>
      </w:r>
      <w:r w:rsidR="009A31AA">
        <w:rPr>
          <w:rFonts w:cs="Times New Roman"/>
        </w:rPr>
        <w:t xml:space="preserve"> face</w:t>
      </w:r>
      <w:r w:rsidRPr="00DF684A">
        <w:rPr>
          <w:rFonts w:cs="Times New Roman"/>
        </w:rPr>
        <w:t xml:space="preserve">. </w:t>
      </w:r>
      <w:r w:rsidRPr="00CF007C">
        <w:rPr>
          <w:rFonts w:cs="Times New Roman"/>
        </w:rPr>
        <w:t xml:space="preserve">Section </w:t>
      </w:r>
      <w:r w:rsidR="00D95CA7">
        <w:rPr>
          <w:rFonts w:cs="Times New Roman"/>
        </w:rPr>
        <w:t>4</w:t>
      </w:r>
      <w:r w:rsidRPr="003C1784">
        <w:t xml:space="preserve"> </w:t>
      </w:r>
      <w:r w:rsidR="00956061">
        <w:rPr>
          <w:rFonts w:cs="Times New Roman"/>
        </w:rPr>
        <w:t>focuses on</w:t>
      </w:r>
      <w:r w:rsidRPr="00DF684A">
        <w:rPr>
          <w:rFonts w:cs="Times New Roman"/>
        </w:rPr>
        <w:t xml:space="preserve"> the supply of policies and</w:t>
      </w:r>
      <w:r w:rsidR="00956061">
        <w:rPr>
          <w:rFonts w:cs="Times New Roman"/>
        </w:rPr>
        <w:t xml:space="preserve"> </w:t>
      </w:r>
      <w:r w:rsidR="00956061" w:rsidRPr="00956061">
        <w:rPr>
          <w:rFonts w:cs="Times New Roman"/>
        </w:rPr>
        <w:t>set</w:t>
      </w:r>
      <w:r w:rsidR="00956061">
        <w:rPr>
          <w:rFonts w:cs="Times New Roman"/>
        </w:rPr>
        <w:t>s</w:t>
      </w:r>
      <w:r w:rsidR="00956061" w:rsidRPr="00956061">
        <w:rPr>
          <w:rFonts w:cs="Times New Roman"/>
        </w:rPr>
        <w:t xml:space="preserve"> the stage by reviewing the overarching policy framework for supporting MSMEs and entrepreneurship</w:t>
      </w:r>
      <w:r w:rsidR="00956061">
        <w:rPr>
          <w:rFonts w:cs="Times New Roman"/>
        </w:rPr>
        <w:t xml:space="preserve"> in the Philippines</w:t>
      </w:r>
      <w:r w:rsidR="00956061" w:rsidRPr="00956061">
        <w:rPr>
          <w:rFonts w:cs="Times New Roman"/>
        </w:rPr>
        <w:t>. It assesses progress made vis a vis the targets set</w:t>
      </w:r>
      <w:r w:rsidR="00FE540F">
        <w:rPr>
          <w:rFonts w:cs="Times New Roman"/>
        </w:rPr>
        <w:t xml:space="preserve"> by the earlier MSME Plan</w:t>
      </w:r>
      <w:r w:rsidR="00956061" w:rsidRPr="00956061">
        <w:rPr>
          <w:rFonts w:cs="Times New Roman"/>
        </w:rPr>
        <w:t xml:space="preserve">, and sheds light on governance issues to help identify gaps going forward. </w:t>
      </w:r>
      <w:r w:rsidR="00D63621">
        <w:rPr>
          <w:rFonts w:cs="Times New Roman"/>
        </w:rPr>
        <w:t xml:space="preserve">This section </w:t>
      </w:r>
      <w:r w:rsidR="000D1EBD">
        <w:rPr>
          <w:rFonts w:cs="Times New Roman"/>
        </w:rPr>
        <w:t>then</w:t>
      </w:r>
      <w:r w:rsidR="00D63621">
        <w:rPr>
          <w:rFonts w:cs="Times New Roman"/>
        </w:rPr>
        <w:t xml:space="preserve"> introduces the</w:t>
      </w:r>
      <w:r w:rsidR="00FC5B09">
        <w:rPr>
          <w:rFonts w:cs="Times New Roman"/>
        </w:rPr>
        <w:t xml:space="preserve"> two-part Policy effectiveness review (PER) methodology</w:t>
      </w:r>
      <w:r w:rsidR="007C5419">
        <w:rPr>
          <w:rFonts w:cs="Times New Roman"/>
        </w:rPr>
        <w:t xml:space="preserve"> - comprising of two components -</w:t>
      </w:r>
      <w:r w:rsidR="00FC5B09">
        <w:rPr>
          <w:rFonts w:cs="Times New Roman"/>
        </w:rPr>
        <w:t xml:space="preserve"> that is deployed to undertake detailed program level analysis. </w:t>
      </w:r>
      <w:r w:rsidR="00B778B8">
        <w:rPr>
          <w:rFonts w:cs="Times New Roman"/>
        </w:rPr>
        <w:t xml:space="preserve">Section 5 </w:t>
      </w:r>
      <w:r w:rsidR="007C5419">
        <w:rPr>
          <w:rFonts w:cs="Times New Roman"/>
        </w:rPr>
        <w:t>undertakes</w:t>
      </w:r>
      <w:r w:rsidR="00B778B8">
        <w:rPr>
          <w:rFonts w:cs="Times New Roman"/>
        </w:rPr>
        <w:t xml:space="preserve"> the </w:t>
      </w:r>
      <w:r w:rsidR="00956061" w:rsidRPr="00956061">
        <w:rPr>
          <w:rFonts w:cs="Times New Roman"/>
        </w:rPr>
        <w:t xml:space="preserve">policy mix </w:t>
      </w:r>
      <w:r w:rsidR="007C5419">
        <w:rPr>
          <w:rFonts w:cs="Times New Roman"/>
        </w:rPr>
        <w:t xml:space="preserve">component </w:t>
      </w:r>
      <w:r w:rsidR="00956061" w:rsidRPr="00956061">
        <w:rPr>
          <w:rFonts w:cs="Times New Roman"/>
        </w:rPr>
        <w:t xml:space="preserve">while the </w:t>
      </w:r>
      <w:r w:rsidR="00B778B8">
        <w:rPr>
          <w:rFonts w:cs="Times New Roman"/>
        </w:rPr>
        <w:t>section 6</w:t>
      </w:r>
      <w:r w:rsidR="00956061" w:rsidRPr="00956061">
        <w:rPr>
          <w:rFonts w:cs="Times New Roman"/>
        </w:rPr>
        <w:t xml:space="preserve"> undertakes</w:t>
      </w:r>
      <w:r w:rsidR="00B778B8">
        <w:rPr>
          <w:rFonts w:cs="Times New Roman"/>
        </w:rPr>
        <w:t xml:space="preserve"> the</w:t>
      </w:r>
      <w:r w:rsidR="00956061" w:rsidRPr="00956061">
        <w:rPr>
          <w:rFonts w:cs="Times New Roman"/>
        </w:rPr>
        <w:t xml:space="preserve"> functional review of selected MSME programs.</w:t>
      </w:r>
      <w:r w:rsidR="00B778B8">
        <w:rPr>
          <w:rFonts w:cs="Times New Roman"/>
        </w:rPr>
        <w:t xml:space="preserve"> </w:t>
      </w:r>
      <w:r w:rsidR="00AF2605" w:rsidRPr="00AF2605">
        <w:rPr>
          <w:rFonts w:cs="Times New Roman"/>
        </w:rPr>
        <w:t>A</w:t>
      </w:r>
      <w:r w:rsidRPr="00AF2605">
        <w:rPr>
          <w:rFonts w:cs="Times New Roman"/>
        </w:rPr>
        <w:t xml:space="preserve"> summary conclusion of the findings and propose</w:t>
      </w:r>
      <w:r w:rsidR="00AF2605" w:rsidRPr="00AF2605">
        <w:rPr>
          <w:rFonts w:cs="Times New Roman"/>
        </w:rPr>
        <w:t>d</w:t>
      </w:r>
      <w:r w:rsidRPr="00AF2605">
        <w:rPr>
          <w:rFonts w:cs="Times New Roman"/>
        </w:rPr>
        <w:t xml:space="preserve"> recommendations for strengthening the effectiveness of MSMEs </w:t>
      </w:r>
      <w:r w:rsidR="00AF2605" w:rsidRPr="00AF2605">
        <w:rPr>
          <w:rFonts w:cs="Times New Roman"/>
        </w:rPr>
        <w:t xml:space="preserve">and entrepreneurship </w:t>
      </w:r>
      <w:r w:rsidRPr="00AF2605">
        <w:rPr>
          <w:rFonts w:cs="Times New Roman"/>
        </w:rPr>
        <w:t>policies</w:t>
      </w:r>
      <w:r w:rsidR="00AF2605" w:rsidRPr="00AF2605">
        <w:rPr>
          <w:rFonts w:cs="Times New Roman"/>
        </w:rPr>
        <w:t xml:space="preserve"> is presented in the executive summary.</w:t>
      </w:r>
    </w:p>
    <w:p w14:paraId="2D880DF6" w14:textId="7F82F9B5" w:rsidR="00CB03E6" w:rsidRPr="00DF684A" w:rsidRDefault="00661421" w:rsidP="009F4F49">
      <w:pPr>
        <w:pStyle w:val="ListParagraph"/>
        <w:ind w:left="360"/>
        <w:jc w:val="both"/>
        <w:rPr>
          <w:rFonts w:cs="Times New Roman"/>
        </w:rPr>
      </w:pPr>
      <w:r>
        <w:rPr>
          <w:rFonts w:cs="Times New Roman"/>
        </w:rPr>
        <w:t xml:space="preserve"> </w:t>
      </w:r>
    </w:p>
    <w:p w14:paraId="343EDFB5" w14:textId="6D8B54A0" w:rsidR="008D3227" w:rsidRPr="00353E76" w:rsidRDefault="008D3227" w:rsidP="00353E76">
      <w:pPr>
        <w:pStyle w:val="Heading1"/>
        <w:numPr>
          <w:ilvl w:val="0"/>
          <w:numId w:val="6"/>
        </w:numPr>
        <w:rPr>
          <w:b/>
          <w:sz w:val="28"/>
          <w:szCs w:val="28"/>
        </w:rPr>
      </w:pPr>
      <w:bookmarkStart w:id="11" w:name="_Toc12360566"/>
      <w:bookmarkStart w:id="12" w:name="_Toc12360672"/>
      <w:bookmarkStart w:id="13" w:name="_Toc12360717"/>
      <w:bookmarkStart w:id="14" w:name="_Toc12360567"/>
      <w:bookmarkStart w:id="15" w:name="_Toc12360673"/>
      <w:bookmarkStart w:id="16" w:name="_Toc12360718"/>
      <w:bookmarkStart w:id="17" w:name="_Toc10740035"/>
      <w:bookmarkStart w:id="18" w:name="_Toc12503510"/>
      <w:bookmarkEnd w:id="11"/>
      <w:bookmarkEnd w:id="12"/>
      <w:bookmarkEnd w:id="13"/>
      <w:bookmarkEnd w:id="14"/>
      <w:bookmarkEnd w:id="15"/>
      <w:bookmarkEnd w:id="16"/>
      <w:r w:rsidRPr="00353E76">
        <w:rPr>
          <w:b/>
          <w:sz w:val="28"/>
          <w:szCs w:val="28"/>
        </w:rPr>
        <w:t>Context</w:t>
      </w:r>
      <w:bookmarkEnd w:id="17"/>
      <w:bookmarkEnd w:id="18"/>
    </w:p>
    <w:p w14:paraId="3CA444DA" w14:textId="77777777" w:rsidR="00824BF5" w:rsidRPr="009249D1" w:rsidRDefault="00824BF5" w:rsidP="009249D1">
      <w:pPr>
        <w:pStyle w:val="ListParagraph"/>
        <w:jc w:val="both"/>
        <w:rPr>
          <w:rFonts w:cs="Times New Roman"/>
          <w:bCs/>
          <w:color w:val="0070C0"/>
        </w:rPr>
      </w:pPr>
    </w:p>
    <w:p w14:paraId="7362199D" w14:textId="308B87B8" w:rsidR="00654E72" w:rsidRDefault="00824BF5" w:rsidP="006D5D2D">
      <w:pPr>
        <w:pStyle w:val="ListParagraph"/>
        <w:numPr>
          <w:ilvl w:val="0"/>
          <w:numId w:val="50"/>
        </w:numPr>
        <w:jc w:val="both"/>
        <w:rPr>
          <w:rFonts w:cs="Times New Roman"/>
        </w:rPr>
      </w:pPr>
      <w:r>
        <w:rPr>
          <w:rFonts w:cs="Times New Roman"/>
          <w:b/>
          <w:bCs/>
        </w:rPr>
        <w:t xml:space="preserve">Philippines has </w:t>
      </w:r>
      <w:r w:rsidRPr="00B2379D">
        <w:rPr>
          <w:rFonts w:cs="Times New Roman"/>
          <w:b/>
          <w:bCs/>
        </w:rPr>
        <w:t>experienced strong and sustained economic growth turnaround during this</w:t>
      </w:r>
      <w:r w:rsidRPr="00B2379D">
        <w:rPr>
          <w:rFonts w:cs="Times New Roman"/>
          <w:b/>
        </w:rPr>
        <w:t xml:space="preserve"> decade</w:t>
      </w:r>
      <w:r w:rsidR="001F440C">
        <w:rPr>
          <w:rFonts w:cs="Times New Roman"/>
          <w:b/>
        </w:rPr>
        <w:t xml:space="preserve"> leading to reduction in une</w:t>
      </w:r>
      <w:r w:rsidR="00195AF6">
        <w:rPr>
          <w:rFonts w:cs="Times New Roman"/>
          <w:b/>
        </w:rPr>
        <w:t>m</w:t>
      </w:r>
      <w:r w:rsidR="001F440C">
        <w:rPr>
          <w:rFonts w:cs="Times New Roman"/>
          <w:b/>
        </w:rPr>
        <w:t>ployment</w:t>
      </w:r>
      <w:r>
        <w:rPr>
          <w:rFonts w:cs="Times New Roman"/>
          <w:b/>
        </w:rPr>
        <w:t xml:space="preserve">. </w:t>
      </w:r>
      <w:r w:rsidRPr="00B2379D">
        <w:rPr>
          <w:rFonts w:cs="Times New Roman"/>
        </w:rPr>
        <w:t>Favorable domestic and external conditions, combined with structural reforms, helped boost economic growth to an average of 6.4 percent over the 2010-2017 period.</w:t>
      </w:r>
      <w:r w:rsidRPr="00B2379D">
        <w:rPr>
          <w:rStyle w:val="EndnoteReference"/>
          <w:rFonts w:cs="Times New Roman"/>
          <w:bCs/>
        </w:rPr>
        <w:endnoteReference w:id="8"/>
      </w:r>
      <w:r w:rsidR="006D5D2D">
        <w:rPr>
          <w:rFonts w:cs="Times New Roman"/>
        </w:rPr>
        <w:t xml:space="preserve"> </w:t>
      </w:r>
      <w:r w:rsidR="00195AF6">
        <w:rPr>
          <w:rFonts w:cs="Times New Roman"/>
        </w:rPr>
        <w:t xml:space="preserve"> </w:t>
      </w:r>
      <w:r w:rsidR="00593B71" w:rsidRPr="00593B71">
        <w:rPr>
          <w:rFonts w:cs="Times New Roman"/>
        </w:rPr>
        <w:t xml:space="preserve">Economic growth has </w:t>
      </w:r>
      <w:r w:rsidR="00195AF6">
        <w:rPr>
          <w:rFonts w:cs="Times New Roman"/>
        </w:rPr>
        <w:t>generated</w:t>
      </w:r>
      <w:r w:rsidR="00593B71" w:rsidRPr="00593B71">
        <w:rPr>
          <w:rFonts w:cs="Times New Roman"/>
        </w:rPr>
        <w:t xml:space="preserve"> jobs</w:t>
      </w:r>
      <w:r w:rsidR="004A63C1">
        <w:rPr>
          <w:rFonts w:cs="Times New Roman"/>
        </w:rPr>
        <w:t xml:space="preserve">. The </w:t>
      </w:r>
      <w:proofErr w:type="gramStart"/>
      <w:r w:rsidR="00593B71" w:rsidRPr="00593B71">
        <w:rPr>
          <w:rFonts w:cs="Times New Roman"/>
        </w:rPr>
        <w:t>vast majority</w:t>
      </w:r>
      <w:proofErr w:type="gramEnd"/>
      <w:r w:rsidR="00593B71" w:rsidRPr="00593B71">
        <w:rPr>
          <w:rFonts w:cs="Times New Roman"/>
        </w:rPr>
        <w:t xml:space="preserve"> </w:t>
      </w:r>
      <w:r w:rsidR="004A63C1">
        <w:rPr>
          <w:rFonts w:cs="Times New Roman"/>
        </w:rPr>
        <w:t xml:space="preserve">of jobs, </w:t>
      </w:r>
      <w:r w:rsidR="00A571EA">
        <w:rPr>
          <w:rFonts w:cs="Times New Roman"/>
        </w:rPr>
        <w:t xml:space="preserve">however, </w:t>
      </w:r>
      <w:r w:rsidR="00593B71" w:rsidRPr="00593B71">
        <w:rPr>
          <w:rFonts w:cs="Times New Roman"/>
        </w:rPr>
        <w:t>are not in the better-paying formal sector.</w:t>
      </w:r>
      <w:r w:rsidR="00856F97" w:rsidRPr="00B2379D">
        <w:rPr>
          <w:rStyle w:val="EndnoteReference"/>
          <w:rFonts w:cs="Times New Roman"/>
          <w:bCs/>
        </w:rPr>
        <w:endnoteReference w:id="9"/>
      </w:r>
      <w:r w:rsidR="00856F97" w:rsidRPr="00B2379D">
        <w:rPr>
          <w:rFonts w:cs="Times New Roman"/>
        </w:rPr>
        <w:t xml:space="preserve"> </w:t>
      </w:r>
      <w:r w:rsidR="00593B71" w:rsidRPr="00593B71">
        <w:rPr>
          <w:rFonts w:cs="Times New Roman"/>
        </w:rPr>
        <w:t xml:space="preserve"> Of the nearly 40 million jobs generated in the private sector in Philippines, only 20 percent of those are created by formal registered businesses.</w:t>
      </w:r>
      <w:r w:rsidR="00E24280" w:rsidRPr="00B2379D">
        <w:rPr>
          <w:rFonts w:cs="Times New Roman"/>
        </w:rPr>
        <w:t xml:space="preserve"> </w:t>
      </w:r>
    </w:p>
    <w:p w14:paraId="2B6EC810" w14:textId="77777777" w:rsidR="0018163B" w:rsidRDefault="0018163B" w:rsidP="009249D1">
      <w:pPr>
        <w:pStyle w:val="ListParagraph"/>
        <w:jc w:val="both"/>
        <w:rPr>
          <w:rFonts w:cs="Times New Roman"/>
        </w:rPr>
      </w:pPr>
    </w:p>
    <w:p w14:paraId="03BBF827" w14:textId="3B502F84" w:rsidR="00824BF5" w:rsidRPr="006D5D2D" w:rsidRDefault="00824BF5" w:rsidP="0006683D">
      <w:pPr>
        <w:pStyle w:val="ListParagraph"/>
        <w:numPr>
          <w:ilvl w:val="0"/>
          <w:numId w:val="50"/>
        </w:numPr>
        <w:jc w:val="both"/>
        <w:rPr>
          <w:rFonts w:cs="Times New Roman"/>
        </w:rPr>
      </w:pPr>
      <w:r w:rsidRPr="0006683D">
        <w:rPr>
          <w:rFonts w:cs="Times New Roman"/>
          <w:b/>
        </w:rPr>
        <w:t xml:space="preserve">A key driver for </w:t>
      </w:r>
      <w:r w:rsidR="006D5D2D" w:rsidRPr="009249D1">
        <w:rPr>
          <w:rFonts w:cs="Times New Roman"/>
          <w:b/>
        </w:rPr>
        <w:t>s</w:t>
      </w:r>
      <w:r w:rsidRPr="0006683D">
        <w:rPr>
          <w:rFonts w:cs="Times New Roman"/>
          <w:b/>
        </w:rPr>
        <w:t>ustaining high economic growth in the long</w:t>
      </w:r>
      <w:r w:rsidR="00E24280">
        <w:rPr>
          <w:rFonts w:cs="Times New Roman"/>
          <w:b/>
        </w:rPr>
        <w:t>-</w:t>
      </w:r>
      <w:r w:rsidRPr="0006683D">
        <w:rPr>
          <w:rFonts w:cs="Times New Roman"/>
          <w:b/>
        </w:rPr>
        <w:t xml:space="preserve">term hinges on maintaining high productivity growth. </w:t>
      </w:r>
      <w:r w:rsidRPr="006D5D2D">
        <w:rPr>
          <w:rFonts w:cs="Times New Roman"/>
        </w:rPr>
        <w:t xml:space="preserve">The contribution of total factor productivity (TFP) to economic growth has increased since 2000. </w:t>
      </w:r>
      <w:r w:rsidR="001B6F44" w:rsidRPr="001B6F44">
        <w:rPr>
          <w:rFonts w:cs="Times New Roman"/>
        </w:rPr>
        <w:t>During the economic recovery and acceleration of the 2000s and 2010s, TFP contributed one-third of growth on average (</w:t>
      </w:r>
      <w:r w:rsidR="001B6F44">
        <w:rPr>
          <w:rFonts w:cs="Times New Roman"/>
        </w:rPr>
        <w:t>Figure 1</w:t>
      </w:r>
      <w:r w:rsidR="001B6F44" w:rsidRPr="001B6F44">
        <w:rPr>
          <w:rFonts w:cs="Times New Roman"/>
        </w:rPr>
        <w:t xml:space="preserve">). Moreover, the contribution of TFP to growth was higher in the Philippines vis a vis its regional peers between 1995 and 2010, excluding China (Figure </w:t>
      </w:r>
      <w:r w:rsidR="00904639">
        <w:rPr>
          <w:rFonts w:cs="Times New Roman"/>
        </w:rPr>
        <w:t>2</w:t>
      </w:r>
      <w:r w:rsidR="001B6F44" w:rsidRPr="001B6F44">
        <w:rPr>
          <w:rFonts w:cs="Times New Roman"/>
        </w:rPr>
        <w:t>).</w:t>
      </w:r>
      <w:r w:rsidR="00904639" w:rsidRPr="00904639">
        <w:t xml:space="preserve"> </w:t>
      </w:r>
      <w:r w:rsidR="00904639" w:rsidRPr="00904639">
        <w:rPr>
          <w:rFonts w:cs="Times New Roman"/>
        </w:rPr>
        <w:t>The growth in TFP reflects the implementation of a wide range of structural reforms since the 1990s which in turn resulted in strong economic growth.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584"/>
      </w:tblGrid>
      <w:tr w:rsidR="00824BF5" w:rsidRPr="00993E2A" w14:paraId="21DB7664" w14:textId="77777777" w:rsidTr="00556513">
        <w:tc>
          <w:tcPr>
            <w:tcW w:w="4776" w:type="dxa"/>
          </w:tcPr>
          <w:p w14:paraId="5D2B98B4" w14:textId="3169F2AF" w:rsidR="00824BF5" w:rsidRPr="00CC6AF9" w:rsidRDefault="00824BF5" w:rsidP="00556513">
            <w:pPr>
              <w:pStyle w:val="NoSpacing"/>
              <w:keepNext/>
              <w:jc w:val="center"/>
              <w:rPr>
                <w:rFonts w:ascii="Times New Roman" w:hAnsi="Times New Roman" w:cs="Times New Roman"/>
                <w:b/>
                <w:noProof/>
              </w:rPr>
            </w:pPr>
            <w:r w:rsidRPr="00CC6AF9">
              <w:rPr>
                <w:rFonts w:ascii="Times New Roman" w:hAnsi="Times New Roman" w:cs="Times New Roman"/>
                <w:b/>
              </w:rPr>
              <w:t xml:space="preserve">Figure </w:t>
            </w:r>
            <w:r w:rsidR="00371F17">
              <w:rPr>
                <w:rFonts w:ascii="Times New Roman" w:hAnsi="Times New Roman" w:cs="Times New Roman"/>
                <w:b/>
              </w:rPr>
              <w:t>1</w:t>
            </w:r>
            <w:r w:rsidRPr="00CC6AF9">
              <w:rPr>
                <w:rFonts w:ascii="Times New Roman" w:hAnsi="Times New Roman" w:cs="Times New Roman"/>
                <w:b/>
              </w:rPr>
              <w:t>: TFP’s contribution to growth has increased in the Philippines since 2010…</w:t>
            </w:r>
          </w:p>
        </w:tc>
        <w:tc>
          <w:tcPr>
            <w:tcW w:w="4584" w:type="dxa"/>
          </w:tcPr>
          <w:p w14:paraId="6C8E157E" w14:textId="562AA67D" w:rsidR="00824BF5" w:rsidRPr="00CC6AF9" w:rsidRDefault="00824BF5" w:rsidP="00556513">
            <w:pPr>
              <w:pStyle w:val="NoSpacing"/>
              <w:keepNext/>
              <w:jc w:val="center"/>
              <w:rPr>
                <w:rFonts w:ascii="Times New Roman" w:hAnsi="Times New Roman" w:cs="Times New Roman"/>
                <w:b/>
                <w:noProof/>
              </w:rPr>
            </w:pPr>
            <w:r w:rsidRPr="00CC6AF9">
              <w:rPr>
                <w:rFonts w:ascii="Times New Roman" w:hAnsi="Times New Roman" w:cs="Times New Roman"/>
                <w:b/>
              </w:rPr>
              <w:t xml:space="preserve">Figure </w:t>
            </w:r>
            <w:r w:rsidR="00371F17">
              <w:rPr>
                <w:rFonts w:ascii="Times New Roman" w:hAnsi="Times New Roman" w:cs="Times New Roman"/>
                <w:b/>
              </w:rPr>
              <w:t>2</w:t>
            </w:r>
            <w:r w:rsidRPr="00CC6AF9">
              <w:rPr>
                <w:rFonts w:ascii="Times New Roman" w:hAnsi="Times New Roman" w:cs="Times New Roman"/>
                <w:b/>
              </w:rPr>
              <w:t>…outperforming many regional peers.</w:t>
            </w:r>
          </w:p>
        </w:tc>
      </w:tr>
      <w:tr w:rsidR="00824BF5" w14:paraId="6E09E275" w14:textId="77777777" w:rsidTr="00556513">
        <w:tc>
          <w:tcPr>
            <w:tcW w:w="4776" w:type="dxa"/>
          </w:tcPr>
          <w:p w14:paraId="7B59984A" w14:textId="77777777" w:rsidR="00824BF5" w:rsidRDefault="00824BF5" w:rsidP="00556513">
            <w:pPr>
              <w:pStyle w:val="NoSpacing"/>
              <w:rPr>
                <w:rFonts w:ascii="Times New Roman" w:hAnsi="Times New Roman" w:cs="Times New Roman"/>
              </w:rPr>
            </w:pPr>
            <w:r w:rsidRPr="00B50D99">
              <w:rPr>
                <w:rFonts w:ascii="Times New Roman" w:hAnsi="Times New Roman" w:cs="Times New Roman"/>
                <w:noProof/>
              </w:rPr>
              <w:drawing>
                <wp:inline distT="0" distB="0" distL="0" distR="0" wp14:anchorId="34542757" wp14:editId="1B76035C">
                  <wp:extent cx="2887980" cy="2293620"/>
                  <wp:effectExtent l="0" t="0" r="0" b="5080"/>
                  <wp:docPr id="44" name="图表 47">
                    <a:extLst xmlns:a="http://schemas.openxmlformats.org/drawingml/2006/main">
                      <a:ext uri="{FF2B5EF4-FFF2-40B4-BE49-F238E27FC236}">
                        <a16:creationId xmlns:a16="http://schemas.microsoft.com/office/drawing/2014/main" id="{9E691250-D229-417A-BC23-B68BF65112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584" w:type="dxa"/>
          </w:tcPr>
          <w:p w14:paraId="37345767" w14:textId="77777777" w:rsidR="00824BF5" w:rsidRDefault="00824BF5" w:rsidP="00556513">
            <w:pPr>
              <w:pStyle w:val="NoSpacing"/>
              <w:rPr>
                <w:rFonts w:ascii="Times New Roman" w:hAnsi="Times New Roman" w:cs="Times New Roman"/>
              </w:rPr>
            </w:pPr>
            <w:r>
              <w:rPr>
                <w:noProof/>
              </w:rPr>
              <w:drawing>
                <wp:inline distT="0" distB="0" distL="0" distR="0" wp14:anchorId="196B9BBB" wp14:editId="504212B6">
                  <wp:extent cx="2750820" cy="2377440"/>
                  <wp:effectExtent l="0" t="0" r="5080" b="0"/>
                  <wp:docPr id="57" name="Chart 57">
                    <a:extLst xmlns:a="http://schemas.openxmlformats.org/drawingml/2006/main">
                      <a:ext uri="{FF2B5EF4-FFF2-40B4-BE49-F238E27FC236}">
                        <a16:creationId xmlns:a16="http://schemas.microsoft.com/office/drawing/2014/main" id="{FE786A78-5661-4ADB-B7C0-84E780E42A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824BF5" w14:paraId="21F67BC4" w14:textId="77777777" w:rsidTr="00556513">
        <w:tc>
          <w:tcPr>
            <w:tcW w:w="4776" w:type="dxa"/>
          </w:tcPr>
          <w:p w14:paraId="0C418CC1" w14:textId="77777777" w:rsidR="00824BF5" w:rsidRPr="00B50D99" w:rsidRDefault="00824BF5" w:rsidP="00556513">
            <w:pPr>
              <w:pStyle w:val="NoSpacing"/>
              <w:rPr>
                <w:rFonts w:ascii="Times New Roman" w:hAnsi="Times New Roman" w:cs="Times New Roman"/>
                <w:noProof/>
              </w:rPr>
            </w:pPr>
          </w:p>
        </w:tc>
        <w:tc>
          <w:tcPr>
            <w:tcW w:w="4584" w:type="dxa"/>
          </w:tcPr>
          <w:p w14:paraId="49C19178" w14:textId="77777777" w:rsidR="00824BF5" w:rsidRPr="003916DA" w:rsidRDefault="00824BF5" w:rsidP="00556513">
            <w:pPr>
              <w:pStyle w:val="Caption"/>
              <w:spacing w:after="0"/>
              <w:rPr>
                <w:rFonts w:ascii="Times New Roman" w:hAnsi="Times New Roman" w:cs="Times New Roman"/>
                <w:sz w:val="20"/>
                <w:szCs w:val="20"/>
              </w:rPr>
            </w:pPr>
          </w:p>
        </w:tc>
      </w:tr>
    </w:tbl>
    <w:tbl>
      <w:tblPr>
        <w:tblStyle w:val="TableGrid1"/>
        <w:tblW w:w="9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5028"/>
      </w:tblGrid>
      <w:tr w:rsidR="00824BF5" w:rsidRPr="00993E2A" w14:paraId="25D99DB9" w14:textId="77777777" w:rsidTr="00556513">
        <w:tc>
          <w:tcPr>
            <w:tcW w:w="4806" w:type="dxa"/>
          </w:tcPr>
          <w:p w14:paraId="07F6D983" w14:textId="77777777" w:rsidR="00824BF5" w:rsidRPr="00993E2A" w:rsidRDefault="00824BF5" w:rsidP="00556513">
            <w:pPr>
              <w:pStyle w:val="NoSpacing"/>
              <w:rPr>
                <w:rFonts w:ascii="Times New Roman" w:hAnsi="Times New Roman" w:cs="Times New Roman"/>
                <w:i/>
                <w:sz w:val="18"/>
                <w:szCs w:val="18"/>
              </w:rPr>
            </w:pPr>
            <w:r w:rsidRPr="00993E2A">
              <w:rPr>
                <w:rFonts w:ascii="Times New Roman" w:hAnsi="Times New Roman" w:cs="Times New Roman"/>
                <w:i/>
                <w:sz w:val="18"/>
                <w:szCs w:val="18"/>
              </w:rPr>
              <w:t xml:space="preserve">Source: </w:t>
            </w:r>
            <w:r>
              <w:rPr>
                <w:rFonts w:ascii="Times New Roman" w:hAnsi="Times New Roman" w:cs="Times New Roman"/>
                <w:i/>
                <w:sz w:val="18"/>
                <w:szCs w:val="18"/>
              </w:rPr>
              <w:t>Growth and Productivity Report (2018)</w:t>
            </w:r>
          </w:p>
        </w:tc>
        <w:tc>
          <w:tcPr>
            <w:tcW w:w="5028" w:type="dxa"/>
          </w:tcPr>
          <w:p w14:paraId="240318C2" w14:textId="77777777" w:rsidR="00824BF5" w:rsidRPr="00993E2A" w:rsidRDefault="00824BF5" w:rsidP="00556513">
            <w:pPr>
              <w:pStyle w:val="NoSpacing"/>
              <w:rPr>
                <w:rFonts w:ascii="Times New Roman" w:hAnsi="Times New Roman" w:cs="Times New Roman"/>
                <w:i/>
                <w:sz w:val="18"/>
                <w:szCs w:val="18"/>
              </w:rPr>
            </w:pPr>
            <w:r w:rsidRPr="00993E2A">
              <w:rPr>
                <w:rFonts w:ascii="Times New Roman" w:hAnsi="Times New Roman" w:cs="Times New Roman"/>
                <w:i/>
                <w:sz w:val="18"/>
                <w:szCs w:val="18"/>
              </w:rPr>
              <w:t xml:space="preserve">Source: </w:t>
            </w:r>
            <w:r>
              <w:rPr>
                <w:rFonts w:ascii="Times New Roman" w:hAnsi="Times New Roman" w:cs="Times New Roman"/>
                <w:i/>
                <w:sz w:val="18"/>
                <w:szCs w:val="18"/>
              </w:rPr>
              <w:t>Growth and Productivity Report (2018)</w:t>
            </w:r>
          </w:p>
        </w:tc>
      </w:tr>
    </w:tbl>
    <w:p w14:paraId="2884947B" w14:textId="77777777" w:rsidR="00824BF5" w:rsidRDefault="00824BF5" w:rsidP="00824BF5">
      <w:pPr>
        <w:pStyle w:val="ListParagraph"/>
        <w:spacing w:line="264" w:lineRule="auto"/>
        <w:ind w:left="0"/>
        <w:contextualSpacing w:val="0"/>
        <w:jc w:val="both"/>
        <w:rPr>
          <w:rFonts w:cs="Times New Roman"/>
          <w:b/>
        </w:rPr>
      </w:pPr>
    </w:p>
    <w:p w14:paraId="0140F719" w14:textId="7C207EA0" w:rsidR="00824BF5" w:rsidRDefault="00824BF5" w:rsidP="00824BF5">
      <w:pPr>
        <w:pStyle w:val="ListParagraph"/>
        <w:numPr>
          <w:ilvl w:val="0"/>
          <w:numId w:val="50"/>
        </w:numPr>
        <w:jc w:val="both"/>
        <w:rPr>
          <w:rFonts w:cs="Times New Roman"/>
        </w:rPr>
      </w:pPr>
      <w:r>
        <w:rPr>
          <w:rFonts w:cs="Times New Roman"/>
          <w:b/>
        </w:rPr>
        <w:t xml:space="preserve">Although labor productivity growth has accelerated in the Philippines it remains low compared to that of peers underlining the potential gains from bridging the productivity gap. </w:t>
      </w:r>
      <w:r>
        <w:rPr>
          <w:rFonts w:cs="Times New Roman"/>
        </w:rPr>
        <w:t xml:space="preserve">Labor productivity growth has been aligned with the changes in the TFP growth. It rose substantially from an average annual rate of 1.6 percent in </w:t>
      </w:r>
      <w:r w:rsidRPr="00C94914">
        <w:rPr>
          <w:rFonts w:cs="Times New Roman"/>
        </w:rPr>
        <w:t xml:space="preserve">1998-2004 to </w:t>
      </w:r>
      <w:r w:rsidRPr="00344DD5">
        <w:rPr>
          <w:rFonts w:cs="Times New Roman"/>
        </w:rPr>
        <w:t>3.6</w:t>
      </w:r>
      <w:r w:rsidRPr="00C94914">
        <w:rPr>
          <w:rFonts w:cs="Times New Roman"/>
        </w:rPr>
        <w:t xml:space="preserve"> percent per year in</w:t>
      </w:r>
      <w:r w:rsidRPr="00862885">
        <w:rPr>
          <w:rFonts w:cs="Times New Roman"/>
        </w:rPr>
        <w:t xml:space="preserve"> 2010</w:t>
      </w:r>
      <w:r>
        <w:rPr>
          <w:rFonts w:cs="Times New Roman"/>
        </w:rPr>
        <w:t xml:space="preserve">-16.  However, productivity growth was still lower in the Philippines than in regional peers. For instance, China and Vietnam’s labor productivity growth reached 7.6 percent and 4.2 percent, respectively, in 2010-16. As a result, the labor productivity gap remains wide between the Philippines and many regional peers. The country’s low labor productivity has been partly caused by historic low levels of capital accumulation, resulting in low capital per worker, which limits labor productivity growth despite higher TFP growth. </w:t>
      </w:r>
    </w:p>
    <w:p w14:paraId="05A6B804" w14:textId="77777777" w:rsidR="007C446D" w:rsidRDefault="007C446D" w:rsidP="009249D1">
      <w:pPr>
        <w:pStyle w:val="ListParagraph"/>
        <w:ind w:left="360"/>
        <w:jc w:val="both"/>
        <w:rPr>
          <w:rFonts w:cs="Times New Roman"/>
        </w:rPr>
      </w:pPr>
    </w:p>
    <w:p w14:paraId="46EB3869" w14:textId="77777777" w:rsidR="007C446D" w:rsidRDefault="007C446D" w:rsidP="007C446D">
      <w:pPr>
        <w:pStyle w:val="ListParagraph"/>
        <w:numPr>
          <w:ilvl w:val="0"/>
          <w:numId w:val="50"/>
        </w:numPr>
        <w:jc w:val="both"/>
        <w:rPr>
          <w:rFonts w:cs="Times New Roman"/>
        </w:rPr>
      </w:pPr>
      <w:r>
        <w:rPr>
          <w:rFonts w:cs="Times New Roman"/>
          <w:b/>
        </w:rPr>
        <w:t xml:space="preserve">Firms </w:t>
      </w:r>
      <w:r w:rsidRPr="000440C7">
        <w:rPr>
          <w:rFonts w:cs="Times New Roman"/>
          <w:b/>
        </w:rPr>
        <w:t xml:space="preserve">that export are more </w:t>
      </w:r>
      <w:proofErr w:type="gramStart"/>
      <w:r w:rsidRPr="000440C7">
        <w:rPr>
          <w:rFonts w:cs="Times New Roman"/>
          <w:b/>
        </w:rPr>
        <w:t>productive</w:t>
      </w:r>
      <w:proofErr w:type="gramEnd"/>
      <w:r>
        <w:rPr>
          <w:rFonts w:cs="Times New Roman"/>
          <w:b/>
        </w:rPr>
        <w:t xml:space="preserve"> but the share of exporting firms is small across sectors</w:t>
      </w:r>
      <w:r w:rsidRPr="000440C7">
        <w:rPr>
          <w:rFonts w:cs="Times New Roman"/>
          <w:b/>
        </w:rPr>
        <w:t>.</w:t>
      </w:r>
      <w:r w:rsidRPr="000440C7">
        <w:rPr>
          <w:rFonts w:cs="Times New Roman"/>
          <w:bCs/>
        </w:rPr>
        <w:t xml:space="preserve"> Based on </w:t>
      </w:r>
      <w:r>
        <w:rPr>
          <w:rFonts w:cs="Times New Roman"/>
          <w:bCs/>
        </w:rPr>
        <w:t xml:space="preserve">2015 </w:t>
      </w:r>
      <w:r w:rsidRPr="000440C7">
        <w:rPr>
          <w:rFonts w:cs="Times New Roman"/>
          <w:bCs/>
        </w:rPr>
        <w:t xml:space="preserve">enterprise survey data, just 6.9 percent of domestic firms and 25.5 percent of foreign firms in the Philippines directly or indirectly export goods and services, far fewer than in peer countries. Up to 61 percent of domestic firms in Thailand are exporters, while 78.7 percent of foreign firms in Vietnam, 84 percent in Malaysia and 93 percent in Thailand, directly or indirectly export. Furthermore, domestic firms in the Philippines export only 3.5 percent of their output, compared to 26 percent in Malaysia and Thailand. </w:t>
      </w:r>
      <w:r w:rsidRPr="000440C7">
        <w:rPr>
          <w:rFonts w:cs="Times New Roman"/>
        </w:rPr>
        <w:t>Nonetheless, Philippine firms that export are on average more productive than firms that focus on the domestic market. This is likely because firms that export face more competition in global markets, which forces them to be more productive.</w:t>
      </w:r>
      <w:r>
        <w:rPr>
          <w:rFonts w:cs="Times New Roman"/>
        </w:rPr>
        <w:t xml:space="preserve"> Supporting </w:t>
      </w:r>
      <w:r w:rsidRPr="002D4BCB">
        <w:rPr>
          <w:rFonts w:cs="Times New Roman"/>
        </w:rPr>
        <w:t>globally competitive MSMEs</w:t>
      </w:r>
      <w:r>
        <w:rPr>
          <w:rFonts w:cs="Times New Roman"/>
        </w:rPr>
        <w:t xml:space="preserve"> is thus a priority of the GOP.</w:t>
      </w:r>
    </w:p>
    <w:p w14:paraId="48DFE584" w14:textId="77777777" w:rsidR="007C446D" w:rsidRDefault="007C446D" w:rsidP="007C446D">
      <w:pPr>
        <w:pStyle w:val="ListParagraph"/>
        <w:ind w:left="0"/>
        <w:jc w:val="both"/>
        <w:rPr>
          <w:rFonts w:cs="Times New Roman"/>
        </w:rPr>
      </w:pPr>
    </w:p>
    <w:p w14:paraId="5074DCD5" w14:textId="77777777" w:rsidR="007C446D" w:rsidRPr="001665D6" w:rsidRDefault="007C446D" w:rsidP="007C446D">
      <w:pPr>
        <w:pStyle w:val="ListParagraph"/>
        <w:numPr>
          <w:ilvl w:val="0"/>
          <w:numId w:val="50"/>
        </w:numPr>
        <w:jc w:val="both"/>
        <w:rPr>
          <w:rFonts w:cs="Times New Roman"/>
          <w:b/>
          <w:bCs/>
        </w:rPr>
      </w:pPr>
      <w:r w:rsidRPr="00892F9E">
        <w:rPr>
          <w:rFonts w:cs="Times New Roman"/>
          <w:b/>
        </w:rPr>
        <w:t xml:space="preserve">The share of firms with foreign capital is </w:t>
      </w:r>
      <w:r w:rsidRPr="000456A4">
        <w:rPr>
          <w:rFonts w:cs="Times New Roman"/>
          <w:b/>
        </w:rPr>
        <w:t>small</w:t>
      </w:r>
      <w:r w:rsidRPr="004A43F7">
        <w:rPr>
          <w:rFonts w:cs="Times New Roman"/>
          <w:b/>
        </w:rPr>
        <w:t xml:space="preserve"> but they are more productive than those without.</w:t>
      </w:r>
      <w:r w:rsidRPr="001665D6">
        <w:rPr>
          <w:rFonts w:cs="Times New Roman"/>
        </w:rPr>
        <w:t xml:space="preserve"> </w:t>
      </w:r>
      <w:r w:rsidRPr="00892F9E">
        <w:rPr>
          <w:rFonts w:cs="Times New Roman"/>
        </w:rPr>
        <w:t xml:space="preserve">Overall, firms with foreign ownership were in general </w:t>
      </w:r>
      <w:r w:rsidRPr="000456A4">
        <w:rPr>
          <w:rFonts w:cs="Times New Roman"/>
        </w:rPr>
        <w:t>more</w:t>
      </w:r>
      <w:r w:rsidRPr="004A43F7">
        <w:rPr>
          <w:rFonts w:cs="Times New Roman"/>
        </w:rPr>
        <w:t xml:space="preserve"> productive than firms with only domestic capital, </w:t>
      </w:r>
      <w:r>
        <w:rPr>
          <w:rFonts w:cs="Times New Roman"/>
        </w:rPr>
        <w:t xml:space="preserve">highlighting the potential role </w:t>
      </w:r>
      <w:r w:rsidRPr="004A43F7">
        <w:rPr>
          <w:rFonts w:cs="Times New Roman"/>
        </w:rPr>
        <w:t>FDI</w:t>
      </w:r>
      <w:r>
        <w:rPr>
          <w:rFonts w:cs="Times New Roman"/>
        </w:rPr>
        <w:t xml:space="preserve"> can play</w:t>
      </w:r>
      <w:r w:rsidRPr="004A43F7">
        <w:rPr>
          <w:rFonts w:cs="Times New Roman"/>
        </w:rPr>
        <w:t xml:space="preserve"> </w:t>
      </w:r>
      <w:r>
        <w:rPr>
          <w:rFonts w:cs="Times New Roman"/>
        </w:rPr>
        <w:t>in boosting</w:t>
      </w:r>
      <w:r w:rsidRPr="004A43F7">
        <w:rPr>
          <w:rFonts w:cs="Times New Roman"/>
        </w:rPr>
        <w:t xml:space="preserve"> productivity growth. Less than 10 percent of all firms in the Philippines have some degree of foreign ownership. Across sectors, firms in manufacturing and services, such as in information communication technologies and professional services that have foreign ownership, receive on average more than 50 percent of their capital from foreign sources. Furthermore, subsectors that received FDI in the form of direct equity investment had either high productivity growth (manufacturing, financial, and insurance activities) or high productivity levels (real estate, financial, and insurance activities).</w:t>
      </w:r>
      <w:r w:rsidRPr="001665D6">
        <w:rPr>
          <w:rFonts w:cs="Times New Roman"/>
          <w:b/>
        </w:rPr>
        <w:t xml:space="preserve"> </w:t>
      </w:r>
    </w:p>
    <w:p w14:paraId="01541AB7" w14:textId="713135E0" w:rsidR="00B3138E" w:rsidRPr="009249D1" w:rsidRDefault="00B81E12" w:rsidP="009249D1">
      <w:pPr>
        <w:pStyle w:val="Heading1"/>
        <w:rPr>
          <w:i/>
          <w:sz w:val="24"/>
          <w:szCs w:val="24"/>
        </w:rPr>
      </w:pPr>
      <w:bookmarkStart w:id="19" w:name="_Toc12503511"/>
      <w:r w:rsidRPr="009249D1">
        <w:rPr>
          <w:i/>
          <w:sz w:val="24"/>
          <w:szCs w:val="24"/>
        </w:rPr>
        <w:t>MSMEs is the private sector in the Philippines</w:t>
      </w:r>
      <w:bookmarkEnd w:id="19"/>
    </w:p>
    <w:p w14:paraId="07ECBB81" w14:textId="77777777" w:rsidR="003C752C" w:rsidRPr="009249D1" w:rsidRDefault="003C752C" w:rsidP="009249D1">
      <w:pPr>
        <w:pStyle w:val="ListParagraph"/>
        <w:jc w:val="both"/>
        <w:rPr>
          <w:rFonts w:cs="Times New Roman"/>
          <w:bCs/>
          <w:i/>
          <w:color w:val="002060"/>
        </w:rPr>
      </w:pPr>
    </w:p>
    <w:p w14:paraId="57FCFDAA" w14:textId="2509884D" w:rsidR="003C752C" w:rsidRDefault="00B3138E">
      <w:pPr>
        <w:pStyle w:val="ListParagraph"/>
        <w:numPr>
          <w:ilvl w:val="0"/>
          <w:numId w:val="50"/>
        </w:numPr>
        <w:jc w:val="both"/>
        <w:rPr>
          <w:rFonts w:cs="Times New Roman"/>
          <w:bCs/>
        </w:rPr>
      </w:pPr>
      <w:r w:rsidRPr="009249D1">
        <w:rPr>
          <w:rFonts w:cs="Times New Roman"/>
          <w:b/>
          <w:bCs/>
        </w:rPr>
        <w:t>MSME development is a call for strengthening private sector.</w:t>
      </w:r>
      <w:r w:rsidRPr="00FB42BB">
        <w:rPr>
          <w:rFonts w:cs="Times New Roman"/>
          <w:bCs/>
        </w:rPr>
        <w:t xml:space="preserve"> Comprising over 99.5 percent of all enterprises in the Philippines, MSMEs development is effectively about private sector development</w:t>
      </w:r>
      <w:r w:rsidR="008D5CB4">
        <w:rPr>
          <w:rFonts w:cs="Times New Roman"/>
          <w:bCs/>
        </w:rPr>
        <w:t xml:space="preserve"> (Fig</w:t>
      </w:r>
      <w:r w:rsidR="004A56FB">
        <w:rPr>
          <w:rFonts w:cs="Times New Roman"/>
          <w:bCs/>
        </w:rPr>
        <w:t>.</w:t>
      </w:r>
      <w:r w:rsidR="008D5CB4">
        <w:rPr>
          <w:rFonts w:cs="Times New Roman"/>
          <w:bCs/>
        </w:rPr>
        <w:t xml:space="preserve"> </w:t>
      </w:r>
      <w:r w:rsidR="003C752C">
        <w:rPr>
          <w:rFonts w:cs="Times New Roman"/>
          <w:bCs/>
        </w:rPr>
        <w:t>3</w:t>
      </w:r>
      <w:r w:rsidR="008D5CB4">
        <w:rPr>
          <w:rFonts w:cs="Times New Roman"/>
          <w:bCs/>
        </w:rPr>
        <w:t>)</w:t>
      </w:r>
      <w:r w:rsidRPr="00FB42BB">
        <w:rPr>
          <w:rFonts w:cs="Times New Roman"/>
          <w:bCs/>
        </w:rPr>
        <w:t xml:space="preserve">. </w:t>
      </w:r>
      <w:r w:rsidR="007B008C" w:rsidRPr="00FB42BB">
        <w:rPr>
          <w:rFonts w:cs="Times New Roman"/>
          <w:bCs/>
        </w:rPr>
        <w:t xml:space="preserve">The government’s focus on MSMEs stem from its significant contribution </w:t>
      </w:r>
      <w:r w:rsidR="003C752C">
        <w:rPr>
          <w:rFonts w:cs="Times New Roman"/>
          <w:bCs/>
        </w:rPr>
        <w:t xml:space="preserve">to the total employment </w:t>
      </w:r>
      <w:r w:rsidR="00FB42BB" w:rsidRPr="00FB42BB">
        <w:rPr>
          <w:rFonts w:cs="Times New Roman"/>
          <w:bCs/>
        </w:rPr>
        <w:t xml:space="preserve">as well as </w:t>
      </w:r>
      <w:r w:rsidR="003C752C">
        <w:rPr>
          <w:rFonts w:cs="Times New Roman"/>
          <w:bCs/>
        </w:rPr>
        <w:t>the</w:t>
      </w:r>
      <w:r w:rsidR="00FB42BB" w:rsidRPr="00FB42BB">
        <w:rPr>
          <w:rFonts w:cs="Times New Roman"/>
          <w:bCs/>
        </w:rPr>
        <w:t xml:space="preserve"> potential</w:t>
      </w:r>
      <w:r w:rsidR="003C752C">
        <w:rPr>
          <w:rFonts w:cs="Times New Roman"/>
          <w:bCs/>
        </w:rPr>
        <w:t xml:space="preserve"> to enhance the quality</w:t>
      </w:r>
      <w:r w:rsidR="003C752C" w:rsidRPr="003C752C">
        <w:t xml:space="preserve"> </w:t>
      </w:r>
      <w:r w:rsidR="003C752C">
        <w:rPr>
          <w:rFonts w:cs="Times New Roman"/>
          <w:bCs/>
        </w:rPr>
        <w:t>of</w:t>
      </w:r>
      <w:r w:rsidR="003C752C" w:rsidRPr="003C752C">
        <w:rPr>
          <w:rFonts w:cs="Times New Roman"/>
          <w:bCs/>
        </w:rPr>
        <w:t xml:space="preserve"> jobs.</w:t>
      </w:r>
      <w:r w:rsidR="00FB42BB" w:rsidRPr="00FB42BB">
        <w:rPr>
          <w:rFonts w:cs="Times New Roman"/>
          <w:bCs/>
        </w:rPr>
        <w:t xml:space="preserve"> Most new firms enter markets as MSMEs and are typically the engine of net employment growth. </w:t>
      </w:r>
    </w:p>
    <w:p w14:paraId="1F74FC51" w14:textId="77777777" w:rsidR="0017690B" w:rsidRPr="009249D1" w:rsidRDefault="0017690B" w:rsidP="009249D1">
      <w:pPr>
        <w:pStyle w:val="ListParagraph"/>
        <w:ind w:left="360"/>
        <w:jc w:val="both"/>
        <w:rPr>
          <w:rFonts w:cs="Times New Roman"/>
          <w:bCs/>
        </w:rPr>
      </w:pPr>
    </w:p>
    <w:p w14:paraId="6600673F" w14:textId="396C3334" w:rsidR="0017690B" w:rsidRDefault="0017690B" w:rsidP="0017690B">
      <w:pPr>
        <w:pStyle w:val="ListParagraph"/>
        <w:rPr>
          <w:rFonts w:cs="Times New Roman"/>
          <w:b/>
          <w:bCs/>
        </w:rPr>
      </w:pPr>
      <w:r>
        <w:rPr>
          <w:rFonts w:cs="Times New Roman"/>
          <w:b/>
          <w:bCs/>
        </w:rPr>
        <w:t>Figure 3:</w:t>
      </w:r>
      <w:r w:rsidR="009F58D6" w:rsidRPr="009F58D6">
        <w:t xml:space="preserve"> </w:t>
      </w:r>
      <w:r w:rsidR="009F58D6" w:rsidRPr="006F7EA6">
        <w:rPr>
          <w:b/>
        </w:rPr>
        <w:t>MSMEs</w:t>
      </w:r>
      <w:r w:rsidR="006F7EA6">
        <w:rPr>
          <w:b/>
        </w:rPr>
        <w:t xml:space="preserve">’ </w:t>
      </w:r>
      <w:r w:rsidR="006F7EA6">
        <w:rPr>
          <w:rFonts w:cs="Times New Roman"/>
          <w:b/>
          <w:bCs/>
        </w:rPr>
        <w:t>c</w:t>
      </w:r>
      <w:r w:rsidR="009F58D6" w:rsidRPr="009F58D6">
        <w:rPr>
          <w:rFonts w:cs="Times New Roman"/>
          <w:b/>
          <w:bCs/>
        </w:rPr>
        <w:t>ontribution to the economy by size segment share (%) in 2015</w:t>
      </w:r>
    </w:p>
    <w:p w14:paraId="6084F3FA" w14:textId="5A94C0AB" w:rsidR="0017690B" w:rsidRDefault="0017690B" w:rsidP="0017690B">
      <w:pPr>
        <w:pStyle w:val="ListParagraph"/>
        <w:rPr>
          <w:rFonts w:cs="Times New Roman"/>
          <w:b/>
          <w:bCs/>
        </w:rPr>
      </w:pPr>
      <w:r w:rsidRPr="008B6276">
        <w:rPr>
          <w:noProof/>
          <w:lang w:eastAsia="zh-CN"/>
        </w:rPr>
        <w:drawing>
          <wp:inline distT="0" distB="0" distL="0" distR="0" wp14:anchorId="15279715" wp14:editId="2ADBCDA8">
            <wp:extent cx="5202820" cy="1655179"/>
            <wp:effectExtent l="0" t="0" r="17145" b="254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D1D7A9" w14:textId="600DF421" w:rsidR="0017690B" w:rsidRPr="009249D1" w:rsidRDefault="00DF684A" w:rsidP="009249D1">
      <w:pPr>
        <w:pStyle w:val="ListParagraph"/>
        <w:rPr>
          <w:rFonts w:cs="Times New Roman"/>
          <w:bCs/>
          <w:i/>
          <w:sz w:val="18"/>
          <w:szCs w:val="18"/>
        </w:rPr>
      </w:pPr>
      <w:r>
        <w:rPr>
          <w:rFonts w:cs="Times New Roman"/>
          <w:b/>
          <w:bCs/>
        </w:rPr>
        <w:tab/>
      </w:r>
      <w:r w:rsidRPr="009249D1">
        <w:rPr>
          <w:rFonts w:cs="Times New Roman"/>
          <w:bCs/>
          <w:i/>
          <w:sz w:val="18"/>
          <w:szCs w:val="18"/>
        </w:rPr>
        <w:t>Source: Philippine Statistical Authority</w:t>
      </w:r>
    </w:p>
    <w:p w14:paraId="2BD03392" w14:textId="77777777" w:rsidR="00DF684A" w:rsidRDefault="00DF684A" w:rsidP="00DF684A">
      <w:pPr>
        <w:pStyle w:val="ListParagraph"/>
        <w:ind w:left="360"/>
        <w:jc w:val="both"/>
        <w:rPr>
          <w:rFonts w:cs="Times New Roman"/>
          <w:bCs/>
        </w:rPr>
      </w:pPr>
    </w:p>
    <w:p w14:paraId="6D573750" w14:textId="02E31B7C" w:rsidR="00DF684A" w:rsidRPr="00FB42BB" w:rsidRDefault="00DF684A" w:rsidP="00DF684A">
      <w:pPr>
        <w:pStyle w:val="ListParagraph"/>
        <w:numPr>
          <w:ilvl w:val="0"/>
          <w:numId w:val="50"/>
        </w:numPr>
        <w:jc w:val="both"/>
        <w:rPr>
          <w:rFonts w:cs="Times New Roman"/>
          <w:bCs/>
        </w:rPr>
      </w:pPr>
      <w:r w:rsidRPr="009249D1">
        <w:rPr>
          <w:rFonts w:cs="Times New Roman"/>
          <w:b/>
          <w:bCs/>
        </w:rPr>
        <w:t>The distribution of MSMEs var</w:t>
      </w:r>
      <w:r w:rsidR="000C2A34">
        <w:rPr>
          <w:rFonts w:cs="Times New Roman"/>
          <w:b/>
          <w:bCs/>
        </w:rPr>
        <w:t>y</w:t>
      </w:r>
      <w:r w:rsidR="0065782D">
        <w:rPr>
          <w:rFonts w:cs="Times New Roman"/>
          <w:b/>
          <w:bCs/>
        </w:rPr>
        <w:t xml:space="preserve"> </w:t>
      </w:r>
      <w:r w:rsidRPr="009249D1">
        <w:rPr>
          <w:rFonts w:cs="Times New Roman"/>
          <w:b/>
          <w:bCs/>
        </w:rPr>
        <w:t>across sectors as does the contribution to employment</w:t>
      </w:r>
      <w:r>
        <w:rPr>
          <w:rFonts w:cs="Times New Roman"/>
          <w:bCs/>
        </w:rPr>
        <w:t xml:space="preserve"> </w:t>
      </w:r>
      <w:r w:rsidRPr="00FB42BB">
        <w:rPr>
          <w:rFonts w:cs="Times New Roman"/>
          <w:bCs/>
        </w:rPr>
        <w:t xml:space="preserve">(Figure </w:t>
      </w:r>
      <w:r>
        <w:rPr>
          <w:rFonts w:cs="Times New Roman"/>
          <w:bCs/>
        </w:rPr>
        <w:t>4</w:t>
      </w:r>
      <w:r w:rsidRPr="00FB42BB">
        <w:rPr>
          <w:rFonts w:cs="Times New Roman"/>
          <w:bCs/>
        </w:rPr>
        <w:t xml:space="preserve">). The sectoral shift away from agriculture is reflected in a lower share of employment by MSMEs in the agricultural sector. While MSME contribution to total employment in the industry subsectors is relatively small, its contribution to total employment is greatest in the service sector, with transportation, and other service sectors at 94 percent and 97 percent respectively. </w:t>
      </w:r>
    </w:p>
    <w:p w14:paraId="017C0A3D" w14:textId="77777777" w:rsidR="00371F17" w:rsidRDefault="00371F17">
      <w:pPr>
        <w:pStyle w:val="ListParagraph"/>
        <w:ind w:left="360"/>
        <w:jc w:val="center"/>
        <w:rPr>
          <w:rFonts w:cs="Times New Roman"/>
          <w:b/>
        </w:rPr>
      </w:pPr>
    </w:p>
    <w:p w14:paraId="5E5314F1" w14:textId="77777777" w:rsidR="00C61984" w:rsidRDefault="00C61984" w:rsidP="009249D1">
      <w:pPr>
        <w:pStyle w:val="ListParagraph"/>
        <w:ind w:left="360"/>
        <w:jc w:val="center"/>
        <w:rPr>
          <w:b/>
        </w:rPr>
      </w:pPr>
    </w:p>
    <w:p w14:paraId="143D3E18" w14:textId="77777777" w:rsidR="00C61984" w:rsidRDefault="00C61984" w:rsidP="009249D1">
      <w:pPr>
        <w:pStyle w:val="ListParagraph"/>
        <w:ind w:left="360"/>
        <w:jc w:val="center"/>
        <w:rPr>
          <w:b/>
        </w:rPr>
      </w:pPr>
    </w:p>
    <w:p w14:paraId="39F26504" w14:textId="77777777" w:rsidR="00C61984" w:rsidRDefault="00C61984" w:rsidP="009249D1">
      <w:pPr>
        <w:pStyle w:val="ListParagraph"/>
        <w:ind w:left="360"/>
        <w:jc w:val="center"/>
        <w:rPr>
          <w:b/>
        </w:rPr>
      </w:pPr>
    </w:p>
    <w:p w14:paraId="3B2BD739" w14:textId="77777777" w:rsidR="00C61984" w:rsidRDefault="00C61984" w:rsidP="009249D1">
      <w:pPr>
        <w:pStyle w:val="ListParagraph"/>
        <w:ind w:left="360"/>
        <w:jc w:val="center"/>
        <w:rPr>
          <w:b/>
        </w:rPr>
      </w:pPr>
    </w:p>
    <w:p w14:paraId="5A0E593B" w14:textId="77777777" w:rsidR="00C61984" w:rsidRDefault="00C61984" w:rsidP="009249D1">
      <w:pPr>
        <w:pStyle w:val="ListParagraph"/>
        <w:ind w:left="360"/>
        <w:jc w:val="center"/>
        <w:rPr>
          <w:b/>
        </w:rPr>
      </w:pPr>
    </w:p>
    <w:p w14:paraId="5E799A20" w14:textId="77777777" w:rsidR="00C61984" w:rsidRDefault="00C61984" w:rsidP="009249D1">
      <w:pPr>
        <w:pStyle w:val="ListParagraph"/>
        <w:ind w:left="360"/>
        <w:jc w:val="center"/>
        <w:rPr>
          <w:b/>
        </w:rPr>
      </w:pPr>
    </w:p>
    <w:p w14:paraId="6C2E1F80" w14:textId="77777777" w:rsidR="00C61984" w:rsidRDefault="00C61984" w:rsidP="009249D1">
      <w:pPr>
        <w:pStyle w:val="ListParagraph"/>
        <w:ind w:left="360"/>
        <w:jc w:val="center"/>
        <w:rPr>
          <w:b/>
        </w:rPr>
      </w:pPr>
    </w:p>
    <w:p w14:paraId="57677EEF" w14:textId="77777777" w:rsidR="00C61984" w:rsidRDefault="00C61984" w:rsidP="009249D1">
      <w:pPr>
        <w:pStyle w:val="ListParagraph"/>
        <w:ind w:left="360"/>
        <w:jc w:val="center"/>
        <w:rPr>
          <w:b/>
        </w:rPr>
      </w:pPr>
    </w:p>
    <w:p w14:paraId="419F812D" w14:textId="77777777" w:rsidR="00C61984" w:rsidRDefault="00C61984" w:rsidP="009249D1">
      <w:pPr>
        <w:pStyle w:val="ListParagraph"/>
        <w:ind w:left="360"/>
        <w:jc w:val="center"/>
        <w:rPr>
          <w:b/>
        </w:rPr>
      </w:pPr>
    </w:p>
    <w:p w14:paraId="6246D815" w14:textId="77777777" w:rsidR="00C61984" w:rsidRDefault="00C61984" w:rsidP="009249D1">
      <w:pPr>
        <w:pStyle w:val="ListParagraph"/>
        <w:ind w:left="360"/>
        <w:jc w:val="center"/>
        <w:rPr>
          <w:b/>
        </w:rPr>
      </w:pPr>
    </w:p>
    <w:p w14:paraId="6EDD2864" w14:textId="77777777" w:rsidR="00C61984" w:rsidRDefault="00C61984" w:rsidP="009249D1">
      <w:pPr>
        <w:pStyle w:val="ListParagraph"/>
        <w:ind w:left="360"/>
        <w:jc w:val="center"/>
        <w:rPr>
          <w:b/>
        </w:rPr>
      </w:pPr>
    </w:p>
    <w:p w14:paraId="466D00BE" w14:textId="77777777" w:rsidR="00C61984" w:rsidRDefault="00C61984" w:rsidP="009249D1">
      <w:pPr>
        <w:pStyle w:val="ListParagraph"/>
        <w:ind w:left="360"/>
        <w:jc w:val="center"/>
        <w:rPr>
          <w:b/>
        </w:rPr>
      </w:pPr>
    </w:p>
    <w:p w14:paraId="5E5C6C31" w14:textId="77777777" w:rsidR="00C61984" w:rsidRDefault="00C61984" w:rsidP="009249D1">
      <w:pPr>
        <w:pStyle w:val="ListParagraph"/>
        <w:ind w:left="360"/>
        <w:jc w:val="center"/>
        <w:rPr>
          <w:b/>
        </w:rPr>
      </w:pPr>
    </w:p>
    <w:p w14:paraId="57D45553" w14:textId="77777777" w:rsidR="00C61984" w:rsidRDefault="00C61984" w:rsidP="009249D1">
      <w:pPr>
        <w:pStyle w:val="ListParagraph"/>
        <w:ind w:left="360"/>
        <w:jc w:val="center"/>
        <w:rPr>
          <w:b/>
        </w:rPr>
      </w:pPr>
    </w:p>
    <w:p w14:paraId="4CB55B37" w14:textId="03C3836D" w:rsidR="00B762E8" w:rsidRPr="00B762E8" w:rsidRDefault="00B762E8" w:rsidP="009249D1">
      <w:pPr>
        <w:pStyle w:val="ListParagraph"/>
        <w:ind w:left="360"/>
        <w:jc w:val="center"/>
        <w:rPr>
          <w:rFonts w:ascii="Times" w:hAnsi="Times" w:cs="Calibri"/>
          <w:b/>
        </w:rPr>
      </w:pPr>
      <w:r w:rsidRPr="00B762E8">
        <w:rPr>
          <w:b/>
        </w:rPr>
        <w:t xml:space="preserve">Figure </w:t>
      </w:r>
      <w:r w:rsidR="003C752C">
        <w:rPr>
          <w:b/>
        </w:rPr>
        <w:t>4</w:t>
      </w:r>
      <w:r w:rsidRPr="00B762E8">
        <w:rPr>
          <w:b/>
        </w:rPr>
        <w:t>:</w:t>
      </w:r>
      <w:r w:rsidRPr="00B762E8">
        <w:rPr>
          <w:rFonts w:ascii="Times" w:hAnsi="Times" w:cs="Calibri"/>
          <w:b/>
          <w:color w:val="000000" w:themeColor="text1"/>
        </w:rPr>
        <w:t xml:space="preserve"> </w:t>
      </w:r>
      <w:r w:rsidRPr="00B762E8">
        <w:rPr>
          <w:rFonts w:ascii="Times" w:hAnsi="Times" w:cs="Calibri"/>
          <w:b/>
        </w:rPr>
        <w:t>Contribution to total employment according to firm size, 2014</w:t>
      </w:r>
    </w:p>
    <w:tbl>
      <w:tblPr>
        <w:tblW w:w="9810" w:type="dxa"/>
        <w:tblLook w:val="04A0" w:firstRow="1" w:lastRow="0" w:firstColumn="1" w:lastColumn="0" w:noHBand="0" w:noVBand="1"/>
      </w:tblPr>
      <w:tblGrid>
        <w:gridCol w:w="9810"/>
      </w:tblGrid>
      <w:tr w:rsidR="00B762E8" w:rsidRPr="00FF6DF5" w14:paraId="14C50FA1" w14:textId="77777777" w:rsidTr="00C15C7F">
        <w:tc>
          <w:tcPr>
            <w:tcW w:w="9810" w:type="dxa"/>
            <w:hideMark/>
          </w:tcPr>
          <w:p w14:paraId="6479191B" w14:textId="77777777" w:rsidR="00B762E8" w:rsidRPr="00FF6DF5" w:rsidRDefault="00B762E8" w:rsidP="00C15C7F">
            <w:pPr>
              <w:spacing w:after="0"/>
              <w:jc w:val="center"/>
              <w:rPr>
                <w:rFonts w:ascii="Times" w:hAnsi="Times" w:cs="Calibri"/>
              </w:rPr>
            </w:pPr>
            <w:r w:rsidRPr="004638F4">
              <w:rPr>
                <w:rFonts w:ascii="Times" w:hAnsi="Times"/>
                <w:noProof/>
                <w:sz w:val="18"/>
              </w:rPr>
              <w:drawing>
                <wp:inline distT="0" distB="0" distL="0" distR="0" wp14:anchorId="5DA68DB4" wp14:editId="59971991">
                  <wp:extent cx="4110355" cy="2706624"/>
                  <wp:effectExtent l="0" t="0" r="4445" b="0"/>
                  <wp:docPr id="52" name="Chart 52">
                    <a:extLst xmlns:a="http://schemas.openxmlformats.org/drawingml/2006/main">
                      <a:ext uri="{FF2B5EF4-FFF2-40B4-BE49-F238E27FC236}">
                        <a16:creationId xmlns:a16="http://schemas.microsoft.com/office/drawing/2014/main" id="{C80052F4-AE86-E947-9166-D3BDFEF44B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B762E8" w:rsidRPr="00FF6DF5" w14:paraId="6E67B898" w14:textId="77777777" w:rsidTr="00C15C7F">
        <w:tc>
          <w:tcPr>
            <w:tcW w:w="9810" w:type="dxa"/>
            <w:hideMark/>
          </w:tcPr>
          <w:p w14:paraId="66F55FC3" w14:textId="77777777" w:rsidR="00B762E8" w:rsidRPr="00FF6DF5" w:rsidRDefault="00B762E8" w:rsidP="00C15C7F">
            <w:pPr>
              <w:keepNext/>
              <w:ind w:left="360"/>
              <w:jc w:val="center"/>
              <w:rPr>
                <w:rFonts w:ascii="Times" w:hAnsi="Times" w:cs="Calibri"/>
                <w:sz w:val="18"/>
                <w:szCs w:val="18"/>
              </w:rPr>
            </w:pPr>
            <w:r w:rsidRPr="00FF6DF5">
              <w:rPr>
                <w:rFonts w:ascii="Times" w:hAnsi="Times" w:cs="Calibri"/>
                <w:i/>
                <w:sz w:val="18"/>
                <w:szCs w:val="18"/>
              </w:rPr>
              <w:t>Source: Staff calculations based on PSA data.</w:t>
            </w:r>
          </w:p>
        </w:tc>
      </w:tr>
    </w:tbl>
    <w:p w14:paraId="445F08F6" w14:textId="39DCFE2C" w:rsidR="00DF684A" w:rsidRPr="00CB3946" w:rsidRDefault="00DF684A" w:rsidP="009249D1">
      <w:pPr>
        <w:pStyle w:val="ListParagraph"/>
        <w:numPr>
          <w:ilvl w:val="0"/>
          <w:numId w:val="50"/>
        </w:numPr>
        <w:jc w:val="both"/>
        <w:rPr>
          <w:rFonts w:cs="Times New Roman"/>
          <w:bCs/>
        </w:rPr>
      </w:pPr>
      <w:r w:rsidRPr="003C1784">
        <w:rPr>
          <w:rFonts w:cs="Times New Roman"/>
          <w:b/>
          <w:bCs/>
        </w:rPr>
        <w:t>Gains from structural transformation—workers moving from lower-productivity agriculture to higher productivity manufacturing and services—have not fully transpired in the Philippines.</w:t>
      </w:r>
      <w:r w:rsidRPr="003C752C">
        <w:rPr>
          <w:rFonts w:cs="Times New Roman"/>
          <w:bCs/>
        </w:rPr>
        <w:t xml:space="preserve"> The stylized structural transformation story, where increases in agricultural productivity facilitate the transition into more productive jobs, has not occurred in the Philippines to the extent required to significantly reduce poverty and create well-paying jobs. As a result, most Filipino workers that transition out of agriculture generally end up in low-end service jobs, unlike their counterparts in neighboring, high-performing East Asian countries with booming manufacturing sectors that provide large numbers of labor-intensive jobs. </w:t>
      </w:r>
    </w:p>
    <w:p w14:paraId="0954D28C" w14:textId="600C061A" w:rsidR="008D2134" w:rsidRPr="00A44A8E" w:rsidRDefault="008D2134" w:rsidP="009249D1">
      <w:pPr>
        <w:pStyle w:val="ListParagraph"/>
        <w:ind w:left="360"/>
        <w:jc w:val="both"/>
        <w:rPr>
          <w:rFonts w:cs="Times New Roman"/>
          <w:i/>
          <w:sz w:val="18"/>
        </w:rPr>
      </w:pPr>
    </w:p>
    <w:p w14:paraId="161DF797" w14:textId="5314B630" w:rsidR="003F15F8" w:rsidRDefault="00353E76" w:rsidP="00D829A5">
      <w:pPr>
        <w:pStyle w:val="Heading2"/>
      </w:pPr>
      <w:bookmarkStart w:id="20" w:name="_Toc10740036"/>
      <w:r>
        <w:rPr>
          <w:i/>
          <w:sz w:val="24"/>
          <w:szCs w:val="24"/>
        </w:rPr>
        <w:tab/>
      </w:r>
      <w:bookmarkStart w:id="21" w:name="_Toc12503512"/>
      <w:r w:rsidR="00363065">
        <w:rPr>
          <w:i/>
          <w:sz w:val="24"/>
          <w:szCs w:val="24"/>
        </w:rPr>
        <w:t>P</w:t>
      </w:r>
      <w:r w:rsidR="00D829A5" w:rsidRPr="009249D1">
        <w:rPr>
          <w:i/>
          <w:sz w:val="24"/>
          <w:szCs w:val="24"/>
        </w:rPr>
        <w:t xml:space="preserve">roductivity </w:t>
      </w:r>
      <w:r w:rsidR="00363065" w:rsidRPr="009249D1">
        <w:rPr>
          <w:i/>
          <w:sz w:val="24"/>
          <w:szCs w:val="24"/>
        </w:rPr>
        <w:t>is key for improving MSMEs performance</w:t>
      </w:r>
      <w:r w:rsidR="00A95E77">
        <w:rPr>
          <w:rStyle w:val="EndnoteReference"/>
        </w:rPr>
        <w:endnoteReference w:id="10"/>
      </w:r>
      <w:bookmarkEnd w:id="20"/>
      <w:bookmarkEnd w:id="21"/>
    </w:p>
    <w:p w14:paraId="5DB31BB0" w14:textId="77777777" w:rsidR="00E15331" w:rsidRDefault="00E15331" w:rsidP="001665D6">
      <w:pPr>
        <w:pStyle w:val="ListParagraph"/>
        <w:ind w:left="360"/>
        <w:jc w:val="both"/>
        <w:rPr>
          <w:rFonts w:cs="Times New Roman"/>
        </w:rPr>
      </w:pPr>
      <w:bookmarkStart w:id="22" w:name="_Hlk518028897"/>
    </w:p>
    <w:p w14:paraId="5DF6CC55" w14:textId="3683BAC6" w:rsidR="0023326D" w:rsidRDefault="00DE13CA" w:rsidP="009249D1">
      <w:pPr>
        <w:pStyle w:val="ListParagraph"/>
        <w:numPr>
          <w:ilvl w:val="0"/>
          <w:numId w:val="50"/>
        </w:numPr>
        <w:jc w:val="both"/>
        <w:rPr>
          <w:rFonts w:cs="Times New Roman"/>
        </w:rPr>
      </w:pPr>
      <w:r w:rsidRPr="002A010E">
        <w:rPr>
          <w:rFonts w:ascii="Times" w:hAnsi="Times" w:cs="Calibri"/>
          <w:b/>
        </w:rPr>
        <w:t>MSMEs development is effectively about improving the productivity of the private sector.</w:t>
      </w:r>
      <w:r w:rsidRPr="002A010E">
        <w:rPr>
          <w:rFonts w:ascii="Times" w:hAnsi="Times" w:cs="Calibri"/>
        </w:rPr>
        <w:t xml:space="preserve"> </w:t>
      </w:r>
      <w:r w:rsidR="002A010E">
        <w:rPr>
          <w:rFonts w:ascii="Times" w:hAnsi="Times" w:cs="Calibri"/>
        </w:rPr>
        <w:t xml:space="preserve">Low </w:t>
      </w:r>
      <w:r w:rsidR="002A010E" w:rsidRPr="002A010E">
        <w:rPr>
          <w:rFonts w:ascii="Times" w:hAnsi="Times" w:cs="Calibri"/>
        </w:rPr>
        <w:t xml:space="preserve">productivity </w:t>
      </w:r>
      <w:bookmarkEnd w:id="22"/>
      <w:r w:rsidR="00CB37CE" w:rsidRPr="009249D1">
        <w:rPr>
          <w:rFonts w:cs="Times New Roman"/>
        </w:rPr>
        <w:t xml:space="preserve">growth affects the ability of </w:t>
      </w:r>
      <w:r w:rsidR="00EE196A" w:rsidRPr="009249D1">
        <w:rPr>
          <w:rFonts w:cs="Times New Roman"/>
        </w:rPr>
        <w:t xml:space="preserve">existing </w:t>
      </w:r>
      <w:r w:rsidR="00CB37CE" w:rsidRPr="009249D1">
        <w:rPr>
          <w:rFonts w:cs="Times New Roman"/>
        </w:rPr>
        <w:t>MSMEs to generate good-quality jobs.</w:t>
      </w:r>
      <w:r w:rsidR="00CB37CE" w:rsidRPr="001665D6">
        <w:rPr>
          <w:rFonts w:cs="Times New Roman"/>
          <w:b/>
        </w:rPr>
        <w:t xml:space="preserve"> </w:t>
      </w:r>
      <w:r w:rsidR="00CB37CE" w:rsidRPr="00CC0D3B">
        <w:rPr>
          <w:rFonts w:cs="Times New Roman"/>
        </w:rPr>
        <w:t xml:space="preserve">Small firms </w:t>
      </w:r>
      <w:proofErr w:type="gramStart"/>
      <w:r w:rsidR="00CB37CE" w:rsidRPr="00CC0D3B">
        <w:rPr>
          <w:rFonts w:cs="Times New Roman"/>
        </w:rPr>
        <w:t>lag behind</w:t>
      </w:r>
      <w:proofErr w:type="gramEnd"/>
      <w:r w:rsidR="00CB37CE" w:rsidRPr="00CC0D3B">
        <w:rPr>
          <w:rFonts w:cs="Times New Roman"/>
        </w:rPr>
        <w:t xml:space="preserve"> large firms, especially in higher productivity </w:t>
      </w:r>
      <w:r w:rsidR="00CB37CE" w:rsidRPr="00222CBA">
        <w:rPr>
          <w:rFonts w:cs="Times New Roman"/>
        </w:rPr>
        <w:t>sectors such as manufacturing and services. In manufacturing, large firms are 21 percent more productive than micro firms. The gaps between large firms and small and medium enterprises in manufacturing are 7.4 and 8.3 percent (</w:t>
      </w:r>
      <w:r w:rsidR="00282181" w:rsidRPr="001665D6">
        <w:rPr>
          <w:rFonts w:cs="Times New Roman"/>
        </w:rPr>
        <w:t xml:space="preserve">Figure </w:t>
      </w:r>
      <w:r w:rsidR="002112B1" w:rsidRPr="001665D6">
        <w:rPr>
          <w:rFonts w:cs="Times New Roman"/>
        </w:rPr>
        <w:t>5</w:t>
      </w:r>
      <w:r w:rsidR="00CB5ED1" w:rsidRPr="001665D6">
        <w:rPr>
          <w:rFonts w:cs="Times New Roman"/>
        </w:rPr>
        <w:t>). A smaller difference in productivity can also be seen in the services sector</w:t>
      </w:r>
      <w:r w:rsidR="00CB37CE" w:rsidRPr="00CC0D3B">
        <w:rPr>
          <w:rFonts w:cs="Times New Roman"/>
        </w:rPr>
        <w:t>, where productivity of large firms are 7 percent, 2.7 percent, and 6.6 percent higher than micro, small, and medium enterprises, respectively (</w:t>
      </w:r>
      <w:r w:rsidR="002112B1" w:rsidRPr="001665D6">
        <w:rPr>
          <w:rFonts w:cs="Times New Roman"/>
        </w:rPr>
        <w:t>Figure 6</w:t>
      </w:r>
      <w:r w:rsidR="00CB37CE" w:rsidRPr="00CC0D3B">
        <w:rPr>
          <w:rFonts w:cs="Times New Roman"/>
        </w:rPr>
        <w:t>).</w:t>
      </w:r>
      <w:r w:rsidR="002A010E">
        <w:rPr>
          <w:rFonts w:cs="Times New Roman"/>
        </w:rPr>
        <w:t xml:space="preserve"> </w:t>
      </w:r>
    </w:p>
    <w:p w14:paraId="2D8F841E" w14:textId="41FA1ED6" w:rsidR="00E030DD" w:rsidRDefault="00E030DD" w:rsidP="001665D6">
      <w:pPr>
        <w:pStyle w:val="ListParagraph"/>
        <w:ind w:left="360"/>
        <w:jc w:val="both"/>
      </w:pPr>
      <w:bookmarkStart w:id="23" w:name="_Ref515099014"/>
      <w:bookmarkStart w:id="24" w:name="OLE_LINK15"/>
      <w:bookmarkStart w:id="25" w:name="OLE_LINK14"/>
    </w:p>
    <w:tbl>
      <w:tblPr>
        <w:tblW w:w="9550" w:type="dxa"/>
        <w:jc w:val="center"/>
        <w:tblLook w:val="04A0" w:firstRow="1" w:lastRow="0" w:firstColumn="1" w:lastColumn="0" w:noHBand="0" w:noVBand="1"/>
      </w:tblPr>
      <w:tblGrid>
        <w:gridCol w:w="4696"/>
        <w:gridCol w:w="4854"/>
      </w:tblGrid>
      <w:tr w:rsidR="0042355C" w:rsidRPr="00EA45C3" w14:paraId="4E3EFBF0" w14:textId="77777777" w:rsidTr="006146E4">
        <w:trPr>
          <w:trHeight w:val="552"/>
          <w:jc w:val="center"/>
        </w:trPr>
        <w:tc>
          <w:tcPr>
            <w:tcW w:w="4696" w:type="dxa"/>
            <w:hideMark/>
          </w:tcPr>
          <w:p w14:paraId="3434C52E" w14:textId="337DD5A1" w:rsidR="0042355C" w:rsidRPr="001665D6" w:rsidRDefault="0042355C" w:rsidP="003D4071">
            <w:pPr>
              <w:spacing w:after="0"/>
              <w:ind w:left="360"/>
              <w:rPr>
                <w:rFonts w:cs="Times New Roman"/>
                <w:b/>
                <w:bCs/>
              </w:rPr>
            </w:pPr>
            <w:r w:rsidRPr="000456A4">
              <w:rPr>
                <w:rFonts w:cs="Times New Roman"/>
                <w:b/>
              </w:rPr>
              <w:t>F</w:t>
            </w:r>
            <w:r w:rsidRPr="00CC0D3B">
              <w:rPr>
                <w:rFonts w:cs="Times New Roman"/>
                <w:b/>
              </w:rPr>
              <w:t xml:space="preserve">igure </w:t>
            </w:r>
            <w:bookmarkEnd w:id="23"/>
            <w:r w:rsidR="00282CDF" w:rsidRPr="001665D6">
              <w:rPr>
                <w:rFonts w:cs="Times New Roman"/>
                <w:b/>
              </w:rPr>
              <w:t>5</w:t>
            </w:r>
            <w:r w:rsidRPr="001665D6">
              <w:rPr>
                <w:rFonts w:cs="Times New Roman"/>
                <w:b/>
                <w:bCs/>
              </w:rPr>
              <w:t xml:space="preserve">: Productivity by Firm Size in Manufacturing (Log of VA per worker) </w:t>
            </w:r>
          </w:p>
        </w:tc>
        <w:tc>
          <w:tcPr>
            <w:tcW w:w="4854" w:type="dxa"/>
            <w:hideMark/>
          </w:tcPr>
          <w:p w14:paraId="677D5551" w14:textId="7D794BD0" w:rsidR="0042355C" w:rsidRPr="001665D6" w:rsidRDefault="0042355C" w:rsidP="003D4071">
            <w:pPr>
              <w:spacing w:after="0"/>
              <w:ind w:left="360"/>
              <w:rPr>
                <w:rFonts w:cs="Times New Roman"/>
                <w:b/>
                <w:bCs/>
              </w:rPr>
            </w:pPr>
            <w:bookmarkStart w:id="26" w:name="_Ref7078210"/>
            <w:r w:rsidRPr="000456A4">
              <w:rPr>
                <w:rFonts w:cs="Times New Roman"/>
                <w:b/>
              </w:rPr>
              <w:t xml:space="preserve">Figure </w:t>
            </w:r>
            <w:bookmarkEnd w:id="26"/>
            <w:r w:rsidR="00282CDF" w:rsidRPr="001665D6">
              <w:rPr>
                <w:rFonts w:cs="Times New Roman"/>
                <w:b/>
              </w:rPr>
              <w:t>6</w:t>
            </w:r>
            <w:r w:rsidRPr="001665D6">
              <w:rPr>
                <w:rFonts w:cs="Times New Roman"/>
                <w:b/>
                <w:bCs/>
              </w:rPr>
              <w:t>: Productivity by Firm Size in Services (Log of VA per worker)</w:t>
            </w:r>
          </w:p>
        </w:tc>
      </w:tr>
      <w:tr w:rsidR="0042355C" w:rsidRPr="00FF6DF5" w14:paraId="7724C339" w14:textId="77777777" w:rsidTr="003D4071">
        <w:trPr>
          <w:trHeight w:val="3375"/>
          <w:jc w:val="center"/>
        </w:trPr>
        <w:tc>
          <w:tcPr>
            <w:tcW w:w="4696" w:type="dxa"/>
            <w:hideMark/>
          </w:tcPr>
          <w:p w14:paraId="6153F529" w14:textId="77777777" w:rsidR="0042355C" w:rsidRPr="00FF6DF5" w:rsidRDefault="0042355C" w:rsidP="003D4071">
            <w:pPr>
              <w:spacing w:after="0"/>
              <w:ind w:left="360"/>
              <w:rPr>
                <w:rFonts w:ascii="Times" w:hAnsi="Times"/>
                <w:b/>
              </w:rPr>
            </w:pPr>
            <w:r w:rsidRPr="00FF6DF5">
              <w:rPr>
                <w:rFonts w:ascii="Times" w:hAnsi="Times"/>
                <w:noProof/>
              </w:rPr>
              <w:drawing>
                <wp:inline distT="0" distB="0" distL="0" distR="0" wp14:anchorId="4221FA9D" wp14:editId="2C9839D8">
                  <wp:extent cx="2598420" cy="2062480"/>
                  <wp:effectExtent l="0" t="0" r="11430" b="13970"/>
                  <wp:docPr id="17" name="Chart 17">
                    <a:extLst xmlns:a="http://schemas.openxmlformats.org/drawingml/2006/main">
                      <a:ext uri="{FF2B5EF4-FFF2-40B4-BE49-F238E27FC236}">
                        <a16:creationId xmlns:a16="http://schemas.microsoft.com/office/drawing/2014/main" id="{7E49EB6A-A71E-CE49-8524-578D4E47E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854" w:type="dxa"/>
            <w:hideMark/>
          </w:tcPr>
          <w:p w14:paraId="6CF110F7" w14:textId="77777777" w:rsidR="0042355C" w:rsidRPr="00FF6DF5" w:rsidRDefault="0042355C" w:rsidP="003D4071">
            <w:pPr>
              <w:spacing w:after="0"/>
              <w:ind w:left="360"/>
              <w:rPr>
                <w:rFonts w:ascii="Times" w:hAnsi="Times"/>
                <w:b/>
              </w:rPr>
            </w:pPr>
            <w:r w:rsidRPr="00FF6DF5">
              <w:rPr>
                <w:rFonts w:ascii="Times" w:hAnsi="Times"/>
                <w:noProof/>
              </w:rPr>
              <w:drawing>
                <wp:inline distT="0" distB="0" distL="0" distR="0" wp14:anchorId="66EFE104" wp14:editId="1B985695">
                  <wp:extent cx="2461895" cy="2062887"/>
                  <wp:effectExtent l="0" t="0" r="14605" b="13970"/>
                  <wp:docPr id="16" name="Chart 16">
                    <a:extLst xmlns:a="http://schemas.openxmlformats.org/drawingml/2006/main">
                      <a:ext uri="{FF2B5EF4-FFF2-40B4-BE49-F238E27FC236}">
                        <a16:creationId xmlns:a16="http://schemas.microsoft.com/office/drawing/2014/main" id="{01142F01-AC11-BD40-BB96-E5B979CC44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42355C" w:rsidRPr="00FF6DF5" w14:paraId="71FE19EB" w14:textId="77777777" w:rsidTr="006146E4">
        <w:trPr>
          <w:trHeight w:val="81"/>
          <w:jc w:val="center"/>
        </w:trPr>
        <w:tc>
          <w:tcPr>
            <w:tcW w:w="4696" w:type="dxa"/>
          </w:tcPr>
          <w:p w14:paraId="58624656" w14:textId="77777777" w:rsidR="0042355C" w:rsidRPr="00FF6DF5" w:rsidRDefault="0042355C" w:rsidP="006146E4">
            <w:pPr>
              <w:ind w:left="360"/>
              <w:rPr>
                <w:rFonts w:ascii="Times" w:hAnsi="Times"/>
                <w:i/>
                <w:sz w:val="18"/>
                <w:szCs w:val="18"/>
              </w:rPr>
            </w:pPr>
            <w:r w:rsidRPr="00FF6DF5">
              <w:rPr>
                <w:rFonts w:ascii="Times" w:hAnsi="Times"/>
                <w:i/>
                <w:sz w:val="18"/>
                <w:szCs w:val="18"/>
              </w:rPr>
              <w:t>Source: Staff calculations based on PSA data.</w:t>
            </w:r>
          </w:p>
        </w:tc>
        <w:tc>
          <w:tcPr>
            <w:tcW w:w="4854" w:type="dxa"/>
          </w:tcPr>
          <w:p w14:paraId="4D3128FC" w14:textId="77777777" w:rsidR="0042355C" w:rsidRPr="00FF6DF5" w:rsidRDefault="0042355C" w:rsidP="006146E4">
            <w:pPr>
              <w:ind w:left="360"/>
              <w:rPr>
                <w:rFonts w:ascii="Times" w:hAnsi="Times"/>
                <w:i/>
                <w:sz w:val="18"/>
                <w:szCs w:val="18"/>
              </w:rPr>
            </w:pPr>
            <w:r w:rsidRPr="00FF6DF5">
              <w:rPr>
                <w:rFonts w:ascii="Times" w:hAnsi="Times"/>
                <w:i/>
                <w:sz w:val="18"/>
                <w:szCs w:val="18"/>
              </w:rPr>
              <w:t>Source: Staff calculations based on PSA data.</w:t>
            </w:r>
          </w:p>
        </w:tc>
      </w:tr>
      <w:bookmarkEnd w:id="24"/>
      <w:bookmarkEnd w:id="25"/>
    </w:tbl>
    <w:p w14:paraId="11144622" w14:textId="0A196419" w:rsidR="00BD0246" w:rsidRDefault="00BD0246" w:rsidP="001665D6">
      <w:pPr>
        <w:jc w:val="both"/>
        <w:rPr>
          <w:rFonts w:cs="Times New Roman"/>
        </w:rPr>
      </w:pPr>
    </w:p>
    <w:p w14:paraId="0B21D1F3" w14:textId="4D192681" w:rsidR="00DE13CA" w:rsidRPr="000456A4" w:rsidRDefault="00DE13CA" w:rsidP="009249D1">
      <w:pPr>
        <w:pStyle w:val="ListParagraph"/>
        <w:numPr>
          <w:ilvl w:val="0"/>
          <w:numId w:val="50"/>
        </w:numPr>
        <w:jc w:val="both"/>
      </w:pPr>
      <w:r>
        <w:rPr>
          <w:rFonts w:cs="Times New Roman"/>
          <w:b/>
        </w:rPr>
        <w:t xml:space="preserve">New firm entry, a potential driver of productivity growth and innovation, </w:t>
      </w:r>
      <w:r w:rsidRPr="0075056B">
        <w:rPr>
          <w:rFonts w:eastAsia="Times New Roman" w:cs="Times New Roman"/>
          <w:b/>
          <w:color w:val="000000"/>
        </w:rPr>
        <w:t xml:space="preserve">is restricted </w:t>
      </w:r>
      <w:r>
        <w:rPr>
          <w:rFonts w:eastAsia="Times New Roman" w:cs="Times New Roman"/>
          <w:b/>
          <w:color w:val="000000"/>
        </w:rPr>
        <w:t>in the Philip</w:t>
      </w:r>
      <w:r w:rsidR="002A010E">
        <w:rPr>
          <w:rFonts w:eastAsia="Times New Roman" w:cs="Times New Roman"/>
          <w:b/>
          <w:color w:val="000000"/>
        </w:rPr>
        <w:t>p</w:t>
      </w:r>
      <w:r>
        <w:rPr>
          <w:rFonts w:eastAsia="Times New Roman" w:cs="Times New Roman"/>
          <w:b/>
          <w:color w:val="000000"/>
        </w:rPr>
        <w:t>ines.</w:t>
      </w:r>
      <w:r w:rsidRPr="003A57A5">
        <w:rPr>
          <w:rFonts w:eastAsia="Times New Roman" w:cs="Times New Roman"/>
          <w:color w:val="000000"/>
        </w:rPr>
        <w:t xml:space="preserve"> New firms are typically responsible for most nations’ net job growth</w:t>
      </w:r>
      <w:r>
        <w:rPr>
          <w:rFonts w:eastAsia="Times New Roman" w:cs="Times New Roman"/>
          <w:color w:val="000000"/>
        </w:rPr>
        <w:t xml:space="preserve"> as well as a source of innovation through the introduction of new products and services</w:t>
      </w:r>
      <w:r w:rsidRPr="003A57A5">
        <w:rPr>
          <w:rFonts w:eastAsia="Times New Roman" w:cs="Times New Roman"/>
          <w:color w:val="000000"/>
        </w:rPr>
        <w:t xml:space="preserve">. </w:t>
      </w:r>
      <w:r>
        <w:rPr>
          <w:rFonts w:eastAsia="Times New Roman" w:cs="Times New Roman"/>
          <w:color w:val="000000"/>
        </w:rPr>
        <w:t xml:space="preserve">Furthermore, they can inject competitive pressure on existing enterprises and thereby boost productivity. </w:t>
      </w:r>
      <w:r w:rsidRPr="003A57A5">
        <w:rPr>
          <w:rFonts w:eastAsia="Times New Roman" w:cs="Times New Roman"/>
          <w:color w:val="000000"/>
        </w:rPr>
        <w:t>However,</w:t>
      </w:r>
      <w:r>
        <w:rPr>
          <w:rFonts w:eastAsia="Times New Roman" w:cs="Times New Roman"/>
          <w:color w:val="000000"/>
        </w:rPr>
        <w:t xml:space="preserve"> firm birth rates are low in the Philippines.</w:t>
      </w:r>
      <w:r w:rsidRPr="003A57A5">
        <w:rPr>
          <w:rFonts w:eastAsia="Times New Roman" w:cs="Times New Roman"/>
          <w:color w:val="000000"/>
        </w:rPr>
        <w:t xml:space="preserve"> </w:t>
      </w:r>
      <w:r>
        <w:rPr>
          <w:rFonts w:eastAsia="Times New Roman" w:cs="Times New Roman"/>
          <w:color w:val="000000"/>
        </w:rPr>
        <w:t>I</w:t>
      </w:r>
      <w:r w:rsidRPr="003A57A5">
        <w:rPr>
          <w:rFonts w:eastAsia="Times New Roman" w:cs="Times New Roman"/>
          <w:color w:val="000000"/>
        </w:rPr>
        <w:t xml:space="preserve">n 2016 only 300 new firms were registered per 1 million in the working-age population, compared to Thailand with 1,000 and Malaysia with 2,300 </w:t>
      </w:r>
      <w:r>
        <w:rPr>
          <w:rFonts w:cs="Times New Roman"/>
        </w:rPr>
        <w:t>(Figure 7</w:t>
      </w:r>
      <w:r w:rsidRPr="003A57A5">
        <w:rPr>
          <w:rFonts w:cs="Times New Roman"/>
        </w:rPr>
        <w:t>).</w:t>
      </w:r>
      <w:r w:rsidRPr="003A57A5">
        <w:rPr>
          <w:rFonts w:cs="Times New Roman"/>
          <w:vertAlign w:val="superscript"/>
        </w:rPr>
        <w:endnoteReference w:id="11"/>
      </w:r>
      <w:r w:rsidRPr="003A57A5">
        <w:rPr>
          <w:rFonts w:cs="Times New Roman"/>
        </w:rPr>
        <w:t xml:space="preserve"> This lagging business density is an indication of </w:t>
      </w:r>
      <w:r w:rsidRPr="0075056B">
        <w:rPr>
          <w:rFonts w:cs="Times New Roman"/>
        </w:rPr>
        <w:t>the complexity of regulatory procedures</w:t>
      </w:r>
      <w:r>
        <w:rPr>
          <w:rFonts w:cs="Times New Roman"/>
        </w:rPr>
        <w:t xml:space="preserve"> including </w:t>
      </w:r>
      <w:r w:rsidRPr="00D26027">
        <w:rPr>
          <w:rFonts w:cs="Times New Roman"/>
        </w:rPr>
        <w:t>regulatory protection of incumbents</w:t>
      </w:r>
      <w:r>
        <w:rPr>
          <w:rFonts w:cs="Times New Roman"/>
        </w:rPr>
        <w:t>, as part of the</w:t>
      </w:r>
      <w:r w:rsidRPr="0075056B">
        <w:rPr>
          <w:rFonts w:cs="Times New Roman"/>
        </w:rPr>
        <w:t xml:space="preserve"> </w:t>
      </w:r>
      <w:r>
        <w:rPr>
          <w:rFonts w:cs="Times New Roman"/>
        </w:rPr>
        <w:t>overall weaknesses in the</w:t>
      </w:r>
      <w:r w:rsidRPr="003A57A5">
        <w:rPr>
          <w:rFonts w:cs="Times New Roman"/>
        </w:rPr>
        <w:t xml:space="preserve"> entrepreneurship ecosystem in the Philippines.</w:t>
      </w:r>
      <w:r w:rsidRPr="003A57A5">
        <w:rPr>
          <w:rFonts w:cs="Times New Roman"/>
          <w:vertAlign w:val="superscript"/>
        </w:rPr>
        <w:endnoteReference w:id="12"/>
      </w:r>
      <w:r w:rsidRPr="003A57A5">
        <w:rPr>
          <w:rFonts w:eastAsia="Times New Roman" w:cs="Times New Roman"/>
          <w:color w:val="000000"/>
        </w:rPr>
        <w:t xml:space="preserve"> </w:t>
      </w:r>
    </w:p>
    <w:p w14:paraId="25A95B49" w14:textId="6A6A7999" w:rsidR="0056214E" w:rsidRDefault="00A3439B" w:rsidP="00200A17">
      <w:pPr>
        <w:jc w:val="center"/>
        <w:rPr>
          <w:rFonts w:eastAsia="PMingLiU" w:cs="Times New Roman"/>
          <w:b/>
          <w:lang w:eastAsia="zh-TW"/>
        </w:rPr>
      </w:pPr>
      <w:bookmarkStart w:id="27" w:name="_Ref7790912"/>
      <w:r w:rsidRPr="00EA45C3">
        <w:rPr>
          <w:b/>
        </w:rPr>
        <w:t xml:space="preserve">Figure </w:t>
      </w:r>
      <w:bookmarkEnd w:id="27"/>
      <w:r w:rsidR="007C599B">
        <w:rPr>
          <w:b/>
        </w:rPr>
        <w:t>7</w:t>
      </w:r>
      <w:r w:rsidRPr="00EA45C3">
        <w:rPr>
          <w:rFonts w:ascii="Times" w:hAnsi="Times"/>
          <w:b/>
          <w:bCs/>
        </w:rPr>
        <w:t xml:space="preserve">: </w:t>
      </w:r>
      <w:r w:rsidR="0056214E">
        <w:rPr>
          <w:rFonts w:eastAsia="PMingLiU" w:cs="Times New Roman"/>
          <w:b/>
          <w:lang w:eastAsia="zh-TW"/>
        </w:rPr>
        <w:t xml:space="preserve">New </w:t>
      </w:r>
      <w:r w:rsidR="00DD7A60">
        <w:rPr>
          <w:rFonts w:eastAsia="PMingLiU" w:cs="Times New Roman"/>
          <w:b/>
          <w:lang w:eastAsia="zh-TW"/>
        </w:rPr>
        <w:t>F</w:t>
      </w:r>
      <w:r w:rsidR="0056214E">
        <w:rPr>
          <w:rFonts w:eastAsia="PMingLiU" w:cs="Times New Roman"/>
          <w:b/>
          <w:lang w:eastAsia="zh-TW"/>
        </w:rPr>
        <w:t xml:space="preserve">irm </w:t>
      </w:r>
      <w:r w:rsidR="00DD7A60">
        <w:rPr>
          <w:rFonts w:eastAsia="PMingLiU" w:cs="Times New Roman"/>
          <w:b/>
          <w:lang w:eastAsia="zh-TW"/>
        </w:rPr>
        <w:t>E</w:t>
      </w:r>
      <w:r w:rsidR="00356AB0">
        <w:rPr>
          <w:rFonts w:eastAsia="PMingLiU" w:cs="Times New Roman"/>
          <w:b/>
          <w:lang w:eastAsia="zh-TW"/>
        </w:rPr>
        <w:t>ntry</w:t>
      </w:r>
      <w:r w:rsidR="00DD7A60">
        <w:rPr>
          <w:rFonts w:eastAsia="PMingLiU" w:cs="Times New Roman"/>
          <w:b/>
          <w:lang w:eastAsia="zh-TW"/>
        </w:rPr>
        <w:t xml:space="preserve"> and Density</w:t>
      </w:r>
      <w:r w:rsidR="0056214E">
        <w:rPr>
          <w:rFonts w:eastAsia="PMingLiU" w:cs="Times New Roman"/>
          <w:b/>
          <w:lang w:eastAsia="zh-TW"/>
        </w:rPr>
        <w:t xml:space="preserve"> - Philippines vis a vis its peers</w:t>
      </w:r>
    </w:p>
    <w:tbl>
      <w:tblPr>
        <w:tblStyle w:val="TableGrid11"/>
        <w:tblW w:w="0" w:type="auto"/>
        <w:tblInd w:w="0" w:type="dxa"/>
        <w:tblLook w:val="04A0" w:firstRow="1" w:lastRow="0" w:firstColumn="1" w:lastColumn="0" w:noHBand="0" w:noVBand="1"/>
      </w:tblPr>
      <w:tblGrid>
        <w:gridCol w:w="5032"/>
        <w:gridCol w:w="4318"/>
      </w:tblGrid>
      <w:tr w:rsidR="0056214E" w14:paraId="2BB06263" w14:textId="77777777" w:rsidTr="009249D1">
        <w:trPr>
          <w:trHeight w:val="4706"/>
        </w:trPr>
        <w:tc>
          <w:tcPr>
            <w:tcW w:w="5034" w:type="dxa"/>
            <w:tcBorders>
              <w:top w:val="single" w:sz="4" w:space="0" w:color="auto"/>
              <w:left w:val="single" w:sz="4" w:space="0" w:color="auto"/>
              <w:bottom w:val="single" w:sz="4" w:space="0" w:color="auto"/>
              <w:right w:val="single" w:sz="4" w:space="0" w:color="auto"/>
            </w:tcBorders>
            <w:hideMark/>
          </w:tcPr>
          <w:p w14:paraId="6D1FCABF" w14:textId="77777777" w:rsidR="0056214E" w:rsidRDefault="0056214E">
            <w:pPr>
              <w:jc w:val="both"/>
              <w:rPr>
                <w:rFonts w:ascii="Calibri" w:hAnsi="Calibri" w:cs="Times New Roman"/>
                <w:b/>
                <w:i/>
                <w:sz w:val="20"/>
                <w:szCs w:val="20"/>
              </w:rPr>
            </w:pPr>
            <w:r>
              <w:rPr>
                <w:rFonts w:ascii="Calibri" w:hAnsi="Calibri" w:cs="Times New Roman"/>
                <w:b/>
                <w:i/>
                <w:sz w:val="20"/>
                <w:szCs w:val="20"/>
              </w:rPr>
              <w:t>Number of new limited liability companies, 2006-2016</w:t>
            </w:r>
          </w:p>
          <w:p w14:paraId="77B1E94F" w14:textId="2C10A277" w:rsidR="0056214E" w:rsidRDefault="0056214E">
            <w:pPr>
              <w:jc w:val="both"/>
              <w:rPr>
                <w:rFonts w:ascii="Calibri" w:hAnsi="Calibri" w:cs="Times New Roman"/>
              </w:rPr>
            </w:pPr>
            <w:r>
              <w:rPr>
                <w:rFonts w:ascii="Calibri" w:hAnsi="Calibri" w:cs="Times New Roman"/>
                <w:noProof/>
                <w:lang w:eastAsia="zh-CN"/>
              </w:rPr>
              <w:drawing>
                <wp:inline distT="0" distB="0" distL="0" distR="0" wp14:anchorId="2C9374F2" wp14:editId="3D777D59">
                  <wp:extent cx="3077845" cy="2750185"/>
                  <wp:effectExtent l="0" t="0" r="8255" b="1206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316" w:type="dxa"/>
            <w:tcBorders>
              <w:top w:val="single" w:sz="4" w:space="0" w:color="auto"/>
              <w:left w:val="single" w:sz="4" w:space="0" w:color="auto"/>
              <w:bottom w:val="single" w:sz="4" w:space="0" w:color="auto"/>
              <w:right w:val="single" w:sz="4" w:space="0" w:color="auto"/>
            </w:tcBorders>
          </w:tcPr>
          <w:p w14:paraId="7F507980" w14:textId="77777777" w:rsidR="0056214E" w:rsidRDefault="0056214E">
            <w:pPr>
              <w:jc w:val="both"/>
              <w:rPr>
                <w:rFonts w:ascii="Calibri" w:hAnsi="Calibri" w:cs="Times New Roman"/>
                <w:b/>
                <w:i/>
                <w:sz w:val="20"/>
                <w:szCs w:val="20"/>
              </w:rPr>
            </w:pPr>
            <w:r>
              <w:rPr>
                <w:rFonts w:ascii="Calibri" w:hAnsi="Calibri" w:cs="Times New Roman"/>
                <w:b/>
                <w:i/>
                <w:sz w:val="20"/>
                <w:szCs w:val="20"/>
              </w:rPr>
              <w:t>New Business Density, 2006-2016</w:t>
            </w:r>
          </w:p>
          <w:p w14:paraId="4D5222CD" w14:textId="77777777" w:rsidR="0056214E" w:rsidRDefault="0056214E">
            <w:pPr>
              <w:jc w:val="both"/>
              <w:rPr>
                <w:rFonts w:ascii="Calibri" w:hAnsi="Calibri" w:cs="Times New Roman"/>
                <w:b/>
                <w:i/>
              </w:rPr>
            </w:pPr>
          </w:p>
          <w:p w14:paraId="630E03B0" w14:textId="5E8CF445" w:rsidR="0056214E" w:rsidRDefault="0056214E">
            <w:pPr>
              <w:jc w:val="both"/>
              <w:rPr>
                <w:rFonts w:ascii="Calibri" w:hAnsi="Calibri" w:cs="Times New Roman"/>
                <w:b/>
                <w:i/>
              </w:rPr>
            </w:pPr>
            <w:r>
              <w:rPr>
                <w:rFonts w:ascii="Calibri" w:hAnsi="Calibri" w:cs="Times New Roman"/>
                <w:noProof/>
                <w:lang w:eastAsia="zh-CN"/>
              </w:rPr>
              <w:drawing>
                <wp:inline distT="0" distB="0" distL="0" distR="0" wp14:anchorId="2FFA4128" wp14:editId="7E09F1C4">
                  <wp:extent cx="2620645" cy="2750185"/>
                  <wp:effectExtent l="0" t="0" r="8255" b="1206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28BB3593" w14:textId="77777777" w:rsidR="0056214E" w:rsidRPr="009249D1" w:rsidRDefault="0056214E" w:rsidP="00D919B6">
      <w:pPr>
        <w:spacing w:after="0" w:line="240" w:lineRule="auto"/>
        <w:rPr>
          <w:rFonts w:eastAsia="PMingLiU" w:cs="Times New Roman"/>
          <w:i/>
          <w:sz w:val="18"/>
          <w:szCs w:val="18"/>
          <w:lang w:eastAsia="zh-TW"/>
        </w:rPr>
      </w:pPr>
      <w:r w:rsidRPr="009249D1">
        <w:rPr>
          <w:rFonts w:eastAsia="PMingLiU" w:cs="Times New Roman"/>
          <w:i/>
          <w:sz w:val="18"/>
          <w:szCs w:val="18"/>
          <w:lang w:eastAsia="zh-TW"/>
        </w:rPr>
        <w:t xml:space="preserve">Source: </w:t>
      </w:r>
      <w:r w:rsidRPr="005E6BDB">
        <w:rPr>
          <w:rFonts w:eastAsia="PMingLiU" w:cs="Times New Roman"/>
          <w:i/>
          <w:sz w:val="18"/>
          <w:szCs w:val="18"/>
          <w:lang w:eastAsia="zh-TW"/>
        </w:rPr>
        <w:t>World Bank Doing Business Entrepreneurship Database.</w:t>
      </w:r>
    </w:p>
    <w:p w14:paraId="4ED51584" w14:textId="5C00F16F" w:rsidR="00795944" w:rsidRPr="00895C66" w:rsidRDefault="0056214E" w:rsidP="00895C66">
      <w:pPr>
        <w:spacing w:after="0" w:line="240" w:lineRule="auto"/>
        <w:rPr>
          <w:rFonts w:eastAsia="PMingLiU" w:cs="Times New Roman"/>
          <w:sz w:val="18"/>
          <w:szCs w:val="18"/>
          <w:lang w:eastAsia="zh-TW"/>
        </w:rPr>
      </w:pPr>
      <w:r w:rsidRPr="00D919B6">
        <w:rPr>
          <w:rFonts w:eastAsia="PMingLiU" w:cs="Times New Roman"/>
          <w:sz w:val="18"/>
          <w:szCs w:val="18"/>
          <w:lang w:eastAsia="zh-TW"/>
        </w:rPr>
        <w:t xml:space="preserve">Note: New business </w:t>
      </w:r>
      <w:r w:rsidR="00DD7A60" w:rsidRPr="00D919B6">
        <w:rPr>
          <w:rFonts w:eastAsia="PMingLiU" w:cs="Times New Roman"/>
          <w:sz w:val="18"/>
          <w:szCs w:val="18"/>
          <w:lang w:eastAsia="zh-TW"/>
        </w:rPr>
        <w:t xml:space="preserve">entry </w:t>
      </w:r>
      <w:r w:rsidRPr="00D919B6">
        <w:rPr>
          <w:rFonts w:eastAsia="PMingLiU" w:cs="Times New Roman"/>
          <w:sz w:val="18"/>
          <w:szCs w:val="18"/>
          <w:lang w:eastAsia="zh-TW"/>
        </w:rPr>
        <w:t>density</w:t>
      </w:r>
      <w:r w:rsidR="00F05F00" w:rsidRPr="00D919B6">
        <w:rPr>
          <w:rFonts w:eastAsia="PMingLiU" w:cs="Times New Roman"/>
          <w:sz w:val="18"/>
          <w:szCs w:val="18"/>
          <w:lang w:eastAsia="zh-TW"/>
        </w:rPr>
        <w:t xml:space="preserve"> is defined as</w:t>
      </w:r>
      <w:r w:rsidRPr="00D919B6">
        <w:rPr>
          <w:rFonts w:eastAsia="PMingLiU" w:cs="Times New Roman"/>
          <w:sz w:val="18"/>
          <w:szCs w:val="18"/>
          <w:lang w:eastAsia="zh-TW"/>
        </w:rPr>
        <w:t xml:space="preserve"> the </w:t>
      </w:r>
      <w:r w:rsidRPr="00D919B6">
        <w:rPr>
          <w:rFonts w:eastAsia="PMingLiU" w:cs="Times New Roman"/>
          <w:sz w:val="18"/>
          <w:szCs w:val="18"/>
          <w:shd w:val="clear" w:color="auto" w:fill="FFFFFF"/>
          <w:lang w:eastAsia="zh-TW"/>
        </w:rPr>
        <w:t xml:space="preserve">number of newly registered corporations per 1,000 working-age </w:t>
      </w:r>
      <w:r w:rsidRPr="00D919B6">
        <w:rPr>
          <w:rFonts w:eastAsia="PMingLiU" w:cs="Times New Roman"/>
          <w:sz w:val="18"/>
          <w:szCs w:val="18"/>
          <w:lang w:eastAsia="zh-TW"/>
        </w:rPr>
        <w:t>people (aged 15–64). Corporations are private, formal sector companies with limited liability.</w:t>
      </w:r>
    </w:p>
    <w:p w14:paraId="5FA7585F" w14:textId="5C782129" w:rsidR="00795944" w:rsidRPr="00276A9B" w:rsidRDefault="00795944" w:rsidP="00276A9B">
      <w:pPr>
        <w:pStyle w:val="Heading1"/>
        <w:rPr>
          <w:i/>
          <w:sz w:val="24"/>
          <w:szCs w:val="24"/>
        </w:rPr>
      </w:pPr>
      <w:bookmarkStart w:id="28" w:name="_Toc10740038"/>
      <w:bookmarkStart w:id="29" w:name="_Toc12503513"/>
      <w:r w:rsidRPr="00276A9B">
        <w:rPr>
          <w:i/>
          <w:sz w:val="24"/>
          <w:szCs w:val="24"/>
        </w:rPr>
        <w:t xml:space="preserve">Entrepreneurship and </w:t>
      </w:r>
      <w:r w:rsidR="00451A91">
        <w:rPr>
          <w:i/>
          <w:sz w:val="24"/>
          <w:szCs w:val="24"/>
        </w:rPr>
        <w:t xml:space="preserve">emerging </w:t>
      </w:r>
      <w:r w:rsidRPr="00276A9B">
        <w:rPr>
          <w:i/>
          <w:sz w:val="24"/>
          <w:szCs w:val="24"/>
        </w:rPr>
        <w:t>startup</w:t>
      </w:r>
      <w:bookmarkEnd w:id="28"/>
      <w:r w:rsidR="00D33037">
        <w:rPr>
          <w:i/>
          <w:sz w:val="24"/>
          <w:szCs w:val="24"/>
        </w:rPr>
        <w:t xml:space="preserve"> ecosystem</w:t>
      </w:r>
      <w:bookmarkEnd w:id="29"/>
    </w:p>
    <w:p w14:paraId="3F93CDB3" w14:textId="4B9D4553" w:rsidR="00795944" w:rsidRPr="00802B46" w:rsidRDefault="00795944" w:rsidP="00795944">
      <w:pPr>
        <w:pStyle w:val="ListParagraph"/>
        <w:numPr>
          <w:ilvl w:val="0"/>
          <w:numId w:val="50"/>
        </w:numPr>
        <w:jc w:val="both"/>
        <w:rPr>
          <w:rFonts w:cs="Times New Roman"/>
          <w:b/>
        </w:rPr>
      </w:pPr>
      <w:r w:rsidRPr="00D84993">
        <w:rPr>
          <w:rFonts w:cs="Times New Roman"/>
          <w:b/>
        </w:rPr>
        <w:t xml:space="preserve">Entrepreneurship represents an important channel for creating new jobs in the Philippines. </w:t>
      </w:r>
      <w:r w:rsidRPr="008F38E1">
        <w:rPr>
          <w:rFonts w:cs="Times New Roman"/>
        </w:rPr>
        <w:t>According to</w:t>
      </w:r>
      <w:r w:rsidRPr="008F38E1">
        <w:rPr>
          <w:rFonts w:cs="Times New Roman"/>
          <w:b/>
        </w:rPr>
        <w:t xml:space="preserve"> </w:t>
      </w:r>
      <w:r w:rsidRPr="008F38E1">
        <w:rPr>
          <w:rFonts w:cs="Times New Roman"/>
        </w:rPr>
        <w:t xml:space="preserve">the </w:t>
      </w:r>
      <w:r w:rsidRPr="008F38E1">
        <w:rPr>
          <w:rFonts w:cs="Times New Roman"/>
          <w:i/>
        </w:rPr>
        <w:t>Global Entrepreneurship Monitor</w:t>
      </w:r>
      <w:r w:rsidRPr="008F38E1">
        <w:rPr>
          <w:rFonts w:cs="Times New Roman"/>
        </w:rPr>
        <w:t xml:space="preserve"> (GEM),</w:t>
      </w:r>
      <w:r w:rsidRPr="00380BAA">
        <w:rPr>
          <w:rFonts w:cs="Times New Roman"/>
          <w:vertAlign w:val="superscript"/>
        </w:rPr>
        <w:endnoteReference w:id="13"/>
      </w:r>
      <w:r w:rsidRPr="008F38E1">
        <w:rPr>
          <w:rFonts w:cs="Times New Roman"/>
        </w:rPr>
        <w:t xml:space="preserve"> over 17 percent of total working population is involved in</w:t>
      </w:r>
      <w:r w:rsidRPr="008F38E1">
        <w:rPr>
          <w:rFonts w:cs="Times New Roman"/>
          <w:b/>
        </w:rPr>
        <w:t xml:space="preserve"> </w:t>
      </w:r>
      <w:r w:rsidRPr="008F38E1">
        <w:rPr>
          <w:rFonts w:cs="Times New Roman"/>
        </w:rPr>
        <w:t>early-stage entrepreneurial activity in the Philippines compared to 13 percent in Thailand and Vietnam and less than 3 percent in Malaysia (</w:t>
      </w:r>
      <w:r w:rsidRPr="008F38E1">
        <w:rPr>
          <w:rFonts w:cs="Times New Roman"/>
        </w:rPr>
        <w:fldChar w:fldCharType="begin"/>
      </w:r>
      <w:r w:rsidRPr="008F38E1">
        <w:rPr>
          <w:rFonts w:cs="Times New Roman"/>
        </w:rPr>
        <w:instrText xml:space="preserve"> REF _Ref7791369 \h  \* MERGEFORMAT </w:instrText>
      </w:r>
      <w:r w:rsidRPr="004B3562">
        <w:rPr>
          <w:rFonts w:cs="Times New Roman"/>
        </w:rPr>
      </w:r>
      <w:r w:rsidRPr="008F38E1">
        <w:rPr>
          <w:rFonts w:cs="Times New Roman"/>
        </w:rPr>
        <w:fldChar w:fldCharType="separate"/>
      </w:r>
      <w:r w:rsidR="00450958" w:rsidRPr="00450958">
        <w:t xml:space="preserve">Figure </w:t>
      </w:r>
      <w:r w:rsidRPr="008F38E1">
        <w:rPr>
          <w:rFonts w:cs="Times New Roman"/>
        </w:rPr>
        <w:fldChar w:fldCharType="end"/>
      </w:r>
      <w:r w:rsidR="008D5977">
        <w:rPr>
          <w:rFonts w:cs="Times New Roman"/>
        </w:rPr>
        <w:t>8</w:t>
      </w:r>
      <w:r w:rsidRPr="008F38E1">
        <w:rPr>
          <w:rFonts w:cs="Times New Roman"/>
        </w:rPr>
        <w:t xml:space="preserve">). </w:t>
      </w:r>
      <w:r w:rsidR="00E615D5" w:rsidRPr="008F38E1">
        <w:rPr>
          <w:rFonts w:cs="Times New Roman"/>
        </w:rPr>
        <w:t>Despite promising entrepreneurial outlook - indicated by high rate of entry into entrepreneurial activity - the rate of failure rate is the highest in the ASEAN leading to very low established business rate.</w:t>
      </w:r>
      <w:r w:rsidR="002F4FAB">
        <w:rPr>
          <w:rStyle w:val="EndnoteReference"/>
          <w:rFonts w:cs="Times New Roman"/>
        </w:rPr>
        <w:endnoteReference w:id="14"/>
      </w:r>
    </w:p>
    <w:p w14:paraId="244723FF" w14:textId="07822824" w:rsidR="00795944" w:rsidRDefault="00795944" w:rsidP="00795944">
      <w:pPr>
        <w:ind w:left="360"/>
        <w:contextualSpacing/>
        <w:jc w:val="both"/>
        <w:rPr>
          <w:rFonts w:cs="Times New Roman"/>
          <w:b/>
        </w:rPr>
      </w:pPr>
      <w:r>
        <w:rPr>
          <w:rFonts w:cs="Times New Roman"/>
          <w:b/>
        </w:rPr>
        <w:tab/>
      </w:r>
      <w:bookmarkStart w:id="30" w:name="_Ref7791369"/>
      <w:r w:rsidRPr="00D92710">
        <w:rPr>
          <w:b/>
        </w:rPr>
        <w:t xml:space="preserve">Figure </w:t>
      </w:r>
      <w:bookmarkEnd w:id="30"/>
      <w:r w:rsidR="008D5977">
        <w:rPr>
          <w:b/>
        </w:rPr>
        <w:t>8</w:t>
      </w:r>
      <w:r>
        <w:rPr>
          <w:rFonts w:cs="Times New Roman"/>
          <w:b/>
        </w:rPr>
        <w:t>. Early Stage Entrepreneurship – Philippines vis a vis its Peers</w:t>
      </w:r>
    </w:p>
    <w:tbl>
      <w:tblPr>
        <w:tblStyle w:val="TableGrid3"/>
        <w:tblW w:w="9678" w:type="dxa"/>
        <w:jc w:val="center"/>
        <w:tblInd w:w="0" w:type="dxa"/>
        <w:tblLook w:val="04A0" w:firstRow="1" w:lastRow="0" w:firstColumn="1" w:lastColumn="0" w:noHBand="0" w:noVBand="1"/>
      </w:tblPr>
      <w:tblGrid>
        <w:gridCol w:w="4975"/>
        <w:gridCol w:w="4703"/>
      </w:tblGrid>
      <w:tr w:rsidR="00795944" w14:paraId="3BF08304" w14:textId="77777777" w:rsidTr="00356557">
        <w:trPr>
          <w:trHeight w:val="186"/>
          <w:jc w:val="center"/>
        </w:trPr>
        <w:tc>
          <w:tcPr>
            <w:tcW w:w="4975" w:type="dxa"/>
            <w:tcBorders>
              <w:top w:val="single" w:sz="4" w:space="0" w:color="auto"/>
              <w:left w:val="single" w:sz="4" w:space="0" w:color="auto"/>
              <w:bottom w:val="single" w:sz="4" w:space="0" w:color="auto"/>
              <w:right w:val="single" w:sz="4" w:space="0" w:color="auto"/>
            </w:tcBorders>
            <w:hideMark/>
          </w:tcPr>
          <w:p w14:paraId="583CAA8D" w14:textId="77777777" w:rsidR="00795944" w:rsidRDefault="00795944" w:rsidP="000D1EBD">
            <w:pPr>
              <w:jc w:val="both"/>
              <w:rPr>
                <w:rFonts w:ascii="Calibri" w:hAnsi="Calibri" w:cs="Times New Roman"/>
              </w:rPr>
            </w:pPr>
            <w:r>
              <w:rPr>
                <w:rFonts w:ascii="Calibri" w:hAnsi="Calibri" w:cs="Times New Roman"/>
                <w:b/>
                <w:bCs/>
                <w:i/>
                <w:iCs/>
              </w:rPr>
              <w:t xml:space="preserve">Total early-stage Entrepreneurial Activity (TEA) </w:t>
            </w:r>
          </w:p>
          <w:p w14:paraId="2A67D6EA" w14:textId="77777777" w:rsidR="00795944" w:rsidRDefault="00795944" w:rsidP="000D1EBD">
            <w:pPr>
              <w:jc w:val="both"/>
              <w:rPr>
                <w:rFonts w:ascii="Calibri" w:hAnsi="Calibri" w:cs="Times New Roman"/>
              </w:rPr>
            </w:pPr>
            <w:r>
              <w:rPr>
                <w:rFonts w:ascii="Calibri" w:hAnsi="Calibri" w:cs="Times New Roman"/>
                <w:noProof/>
                <w:lang w:eastAsia="zh-CN"/>
              </w:rPr>
              <w:drawing>
                <wp:inline distT="0" distB="0" distL="0" distR="0" wp14:anchorId="01FD201D" wp14:editId="08ECE5CF">
                  <wp:extent cx="2954655" cy="2094865"/>
                  <wp:effectExtent l="0" t="0" r="17145" b="63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702" w:type="dxa"/>
            <w:tcBorders>
              <w:top w:val="single" w:sz="4" w:space="0" w:color="auto"/>
              <w:left w:val="single" w:sz="4" w:space="0" w:color="auto"/>
              <w:bottom w:val="single" w:sz="4" w:space="0" w:color="auto"/>
              <w:right w:val="single" w:sz="4" w:space="0" w:color="auto"/>
            </w:tcBorders>
            <w:hideMark/>
          </w:tcPr>
          <w:p w14:paraId="6CAC93DD" w14:textId="77777777" w:rsidR="00795944" w:rsidRDefault="00795944" w:rsidP="000D1EBD">
            <w:pPr>
              <w:jc w:val="both"/>
              <w:rPr>
                <w:rFonts w:ascii="Calibri" w:hAnsi="Calibri" w:cs="Times New Roman"/>
                <w:b/>
                <w:bCs/>
                <w:i/>
                <w:iCs/>
              </w:rPr>
            </w:pPr>
            <w:r>
              <w:rPr>
                <w:rFonts w:ascii="Calibri" w:hAnsi="Calibri" w:cs="Times New Roman"/>
                <w:b/>
                <w:bCs/>
                <w:i/>
                <w:iCs/>
              </w:rPr>
              <w:t>Perceived opportunities</w:t>
            </w:r>
          </w:p>
          <w:p w14:paraId="33B182B7" w14:textId="77777777" w:rsidR="00795944" w:rsidRDefault="00795944" w:rsidP="000D1EBD">
            <w:pPr>
              <w:jc w:val="both"/>
              <w:rPr>
                <w:rFonts w:ascii="Calibri" w:hAnsi="Calibri" w:cs="Times New Roman"/>
              </w:rPr>
            </w:pPr>
            <w:r>
              <w:rPr>
                <w:rFonts w:ascii="Calibri" w:hAnsi="Calibri" w:cs="Times New Roman"/>
                <w:noProof/>
                <w:lang w:eastAsia="zh-CN"/>
              </w:rPr>
              <w:drawing>
                <wp:inline distT="0" distB="0" distL="0" distR="0" wp14:anchorId="47568CEC" wp14:editId="5E690782">
                  <wp:extent cx="2790825" cy="2094865"/>
                  <wp:effectExtent l="0" t="0" r="9525" b="63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404833" w14:paraId="315C61A0" w14:textId="77777777" w:rsidTr="00356557">
        <w:trPr>
          <w:trHeight w:val="189"/>
          <w:jc w:val="center"/>
        </w:trPr>
        <w:tc>
          <w:tcPr>
            <w:tcW w:w="9678" w:type="dxa"/>
            <w:gridSpan w:val="2"/>
            <w:tcBorders>
              <w:top w:val="single" w:sz="4" w:space="0" w:color="auto"/>
              <w:left w:val="single" w:sz="4" w:space="0" w:color="auto"/>
              <w:bottom w:val="single" w:sz="4" w:space="0" w:color="auto"/>
              <w:right w:val="single" w:sz="4" w:space="0" w:color="auto"/>
            </w:tcBorders>
          </w:tcPr>
          <w:p w14:paraId="252C58EE" w14:textId="13FAA505" w:rsidR="00404833" w:rsidRDefault="00404833" w:rsidP="000D1EBD">
            <w:pPr>
              <w:jc w:val="both"/>
              <w:rPr>
                <w:rFonts w:ascii="Calibri" w:hAnsi="Calibri" w:cs="Times New Roman"/>
              </w:rPr>
            </w:pPr>
          </w:p>
        </w:tc>
      </w:tr>
    </w:tbl>
    <w:p w14:paraId="75037DCA" w14:textId="77777777" w:rsidR="00356557" w:rsidRPr="00356557" w:rsidRDefault="00356557" w:rsidP="00356557">
      <w:pPr>
        <w:pStyle w:val="ListParagraph"/>
        <w:ind w:left="360"/>
        <w:jc w:val="both"/>
        <w:rPr>
          <w:rFonts w:cs="Times New Roman"/>
          <w:sz w:val="18"/>
          <w:szCs w:val="18"/>
        </w:rPr>
      </w:pPr>
      <w:r w:rsidRPr="00356557">
        <w:rPr>
          <w:rFonts w:cs="Times New Roman"/>
          <w:sz w:val="18"/>
          <w:szCs w:val="18"/>
        </w:rPr>
        <w:t>Source: Global Entrepreneurship Monitor (GEM) 2015</w:t>
      </w:r>
    </w:p>
    <w:p w14:paraId="084561AD" w14:textId="17D6EE39" w:rsidR="003B12F1" w:rsidRDefault="00356557" w:rsidP="002001D7">
      <w:pPr>
        <w:pStyle w:val="ListParagraph"/>
        <w:ind w:left="360"/>
        <w:jc w:val="both"/>
        <w:rPr>
          <w:rFonts w:cs="Times New Roman"/>
          <w:sz w:val="18"/>
          <w:szCs w:val="18"/>
        </w:rPr>
      </w:pPr>
      <w:r w:rsidRPr="00356557">
        <w:rPr>
          <w:rFonts w:cs="Times New Roman"/>
          <w:sz w:val="18"/>
          <w:szCs w:val="18"/>
        </w:rPr>
        <w:tab/>
        <w:t xml:space="preserve">Note: (1) Percentage of 18-64 population who are either a nascent entrepreneur or owner-manager of a new business, (2) </w:t>
      </w:r>
      <w:r w:rsidRPr="00356557">
        <w:rPr>
          <w:rFonts w:cs="Times New Roman"/>
          <w:sz w:val="18"/>
          <w:szCs w:val="18"/>
        </w:rPr>
        <w:tab/>
        <w:t xml:space="preserve">Percentage of 18-64 population who see good opportunities to start a firm in the area where they </w:t>
      </w:r>
      <w:r w:rsidR="003B12F1">
        <w:rPr>
          <w:rFonts w:cs="Times New Roman"/>
          <w:sz w:val="18"/>
          <w:szCs w:val="18"/>
        </w:rPr>
        <w:t>live.</w:t>
      </w:r>
    </w:p>
    <w:p w14:paraId="1C8A63F7" w14:textId="0429BE9F" w:rsidR="003B12F1" w:rsidRDefault="003B12F1" w:rsidP="002001D7">
      <w:pPr>
        <w:pStyle w:val="ListParagraph"/>
        <w:ind w:left="360"/>
        <w:jc w:val="both"/>
        <w:rPr>
          <w:rFonts w:cs="Times New Roman"/>
          <w:sz w:val="18"/>
          <w:szCs w:val="18"/>
        </w:rPr>
      </w:pPr>
    </w:p>
    <w:p w14:paraId="50827C9A" w14:textId="38F30B8B" w:rsidR="003B12F1" w:rsidRDefault="003B12F1" w:rsidP="002001D7">
      <w:pPr>
        <w:pStyle w:val="ListParagraph"/>
        <w:ind w:left="360"/>
        <w:jc w:val="both"/>
        <w:rPr>
          <w:rFonts w:cs="Times New Roman"/>
          <w:sz w:val="18"/>
          <w:szCs w:val="18"/>
        </w:rPr>
      </w:pPr>
    </w:p>
    <w:p w14:paraId="228D66F7" w14:textId="37844530" w:rsidR="00DD5C07" w:rsidRPr="00DD5C07" w:rsidRDefault="003B12F1" w:rsidP="00DD5C07">
      <w:pPr>
        <w:pStyle w:val="ListParagraph"/>
        <w:numPr>
          <w:ilvl w:val="0"/>
          <w:numId w:val="50"/>
        </w:numPr>
        <w:jc w:val="both"/>
        <w:rPr>
          <w:rFonts w:cs="Times New Roman"/>
          <w:b/>
          <w:szCs w:val="24"/>
        </w:rPr>
      </w:pPr>
      <w:r w:rsidRPr="008F38E1">
        <w:rPr>
          <w:rFonts w:cs="Times New Roman"/>
          <w:b/>
          <w:szCs w:val="24"/>
        </w:rPr>
        <w:t xml:space="preserve">There is scope for strengthening the nascent </w:t>
      </w:r>
      <w:r>
        <w:rPr>
          <w:rFonts w:cs="Times New Roman"/>
          <w:b/>
          <w:szCs w:val="24"/>
        </w:rPr>
        <w:t xml:space="preserve">startup </w:t>
      </w:r>
      <w:r w:rsidRPr="008F38E1">
        <w:rPr>
          <w:rFonts w:cs="Times New Roman"/>
          <w:b/>
          <w:szCs w:val="24"/>
        </w:rPr>
        <w:t xml:space="preserve">ecosystem in the Philippines. </w:t>
      </w:r>
      <w:r w:rsidRPr="008F38E1">
        <w:rPr>
          <w:rFonts w:cs="Times New Roman"/>
          <w:szCs w:val="24"/>
        </w:rPr>
        <w:t>Firms using new technologies and business models will become increasingly important, in the backdrop of the global shifts and technological advances (Hallward-Driemeier and Nayyar, 2017).</w:t>
      </w:r>
      <w:r>
        <w:rPr>
          <w:rFonts w:cs="Times New Roman"/>
          <w:szCs w:val="24"/>
        </w:rPr>
        <w:t xml:space="preserve"> </w:t>
      </w:r>
      <w:r w:rsidRPr="008F38E1">
        <w:rPr>
          <w:rFonts w:cs="Times New Roman"/>
          <w:szCs w:val="24"/>
        </w:rPr>
        <w:t xml:space="preserve">Recognizing the opportunities and challenges, the </w:t>
      </w:r>
      <w:proofErr w:type="spellStart"/>
      <w:r w:rsidRPr="008F38E1">
        <w:rPr>
          <w:rFonts w:cs="Times New Roman"/>
          <w:szCs w:val="24"/>
        </w:rPr>
        <w:t>GoP</w:t>
      </w:r>
      <w:proofErr w:type="spellEnd"/>
      <w:r w:rsidRPr="008F38E1">
        <w:rPr>
          <w:rFonts w:cs="Times New Roman"/>
          <w:szCs w:val="24"/>
        </w:rPr>
        <w:t xml:space="preserve"> has prioritized</w:t>
      </w:r>
      <w:r>
        <w:rPr>
          <w:rFonts w:cs="Times New Roman"/>
          <w:szCs w:val="24"/>
        </w:rPr>
        <w:t xml:space="preserve"> strengthening</w:t>
      </w:r>
      <w:r w:rsidRPr="008F38E1">
        <w:rPr>
          <w:rFonts w:cs="Times New Roman"/>
          <w:szCs w:val="24"/>
        </w:rPr>
        <w:t xml:space="preserve"> the </w:t>
      </w:r>
      <w:r>
        <w:rPr>
          <w:rFonts w:cs="Times New Roman"/>
          <w:szCs w:val="24"/>
        </w:rPr>
        <w:t xml:space="preserve">ecosystem – through </w:t>
      </w:r>
      <w:r w:rsidRPr="008F38E1">
        <w:rPr>
          <w:rFonts w:cs="Times New Roman"/>
          <w:szCs w:val="24"/>
        </w:rPr>
        <w:t>policy and regulatory environment a</w:t>
      </w:r>
      <w:r>
        <w:rPr>
          <w:rFonts w:cs="Times New Roman"/>
          <w:szCs w:val="24"/>
        </w:rPr>
        <w:t>s well as</w:t>
      </w:r>
      <w:r w:rsidRPr="008F38E1">
        <w:rPr>
          <w:rFonts w:cs="Times New Roman"/>
          <w:szCs w:val="24"/>
        </w:rPr>
        <w:t xml:space="preserve"> introducing new mechanisms to support </w:t>
      </w:r>
      <w:proofErr w:type="spellStart"/>
      <w:r w:rsidRPr="008F38E1">
        <w:rPr>
          <w:rFonts w:cs="Times New Roman"/>
          <w:szCs w:val="24"/>
        </w:rPr>
        <w:t>technopreneurs</w:t>
      </w:r>
      <w:proofErr w:type="spellEnd"/>
      <w:r w:rsidR="00DD5C07">
        <w:rPr>
          <w:rFonts w:cs="Times New Roman"/>
          <w:szCs w:val="24"/>
        </w:rPr>
        <w:t>,</w:t>
      </w:r>
      <w:r w:rsidRPr="008F38E1">
        <w:rPr>
          <w:rFonts w:cs="Times New Roman"/>
          <w:szCs w:val="24"/>
        </w:rPr>
        <w:t xml:space="preserve"> and start-ups in its strategic plans.  </w:t>
      </w:r>
    </w:p>
    <w:p w14:paraId="534D4533" w14:textId="009E1E66" w:rsidR="00795944" w:rsidRPr="00CC0D3B" w:rsidRDefault="00795944" w:rsidP="00795944">
      <w:pPr>
        <w:pStyle w:val="ListParagraph"/>
        <w:ind w:left="360"/>
        <w:jc w:val="both"/>
        <w:rPr>
          <w:rFonts w:cs="Times New Roman"/>
        </w:rPr>
      </w:pPr>
    </w:p>
    <w:p w14:paraId="0A95AA1A" w14:textId="610AC8A1" w:rsidR="00795944" w:rsidRPr="00065329" w:rsidRDefault="00795944" w:rsidP="00795944">
      <w:pPr>
        <w:pStyle w:val="ListParagraph"/>
        <w:numPr>
          <w:ilvl w:val="0"/>
          <w:numId w:val="50"/>
        </w:numPr>
        <w:jc w:val="both"/>
      </w:pPr>
      <w:r w:rsidRPr="007444B7">
        <w:rPr>
          <w:b/>
        </w:rPr>
        <w:t xml:space="preserve">The startup ecosystem is evolving with </w:t>
      </w:r>
      <w:r w:rsidRPr="00CC0D3B">
        <w:rPr>
          <w:rFonts w:cs="Times New Roman"/>
          <w:b/>
        </w:rPr>
        <w:t>public and private support institutions on</w:t>
      </w:r>
      <w:r w:rsidRPr="007444B7">
        <w:rPr>
          <w:b/>
        </w:rPr>
        <w:t xml:space="preserve"> the rise</w:t>
      </w:r>
      <w:r w:rsidRPr="007444B7">
        <w:t>. The startup ecosystem jump-started in the Philippines around 2012 with the entry of private-sector led incubators, and funds</w:t>
      </w:r>
      <w:r w:rsidRPr="007444B7">
        <w:rPr>
          <w:vertAlign w:val="superscript"/>
        </w:rPr>
        <w:endnoteReference w:id="15"/>
      </w:r>
      <w:r w:rsidRPr="007444B7">
        <w:t xml:space="preserve"> to support startups (</w:t>
      </w:r>
      <w:r w:rsidR="00672B36">
        <w:t>Annex</w:t>
      </w:r>
      <w:r w:rsidR="00784CCC">
        <w:t xml:space="preserve"> </w:t>
      </w:r>
      <w:r w:rsidR="00672B36">
        <w:t>1</w:t>
      </w:r>
      <w:r w:rsidRPr="007444B7">
        <w:t>). Established by the two primary telecommunications industry players - Philippine Long-Distance Telephone (PDLT) and Globe – the incubators were set up with the dual purpose of supporting startups and to strategically support innovations that aligned with telecom interests and operations. Prior to 2012, startup support in the Philippines was largely led by three incubators: Ayala Foundation Incubator, University of the Philippines Enterprise Center, and Ayala Tech Incubator.</w:t>
      </w:r>
      <w:r w:rsidRPr="007444B7">
        <w:rPr>
          <w:rFonts w:eastAsia="PMingLiU"/>
          <w:vertAlign w:val="superscript"/>
          <w:lang w:eastAsia="zh-TW"/>
        </w:rPr>
        <w:endnoteReference w:id="16"/>
      </w:r>
      <w:r w:rsidRPr="007444B7">
        <w:t xml:space="preserve"> As </w:t>
      </w:r>
      <w:r w:rsidR="009A3C2B">
        <w:t>figure 9</w:t>
      </w:r>
      <w:r>
        <w:t xml:space="preserve"> shows</w:t>
      </w:r>
      <w:r w:rsidR="00B51BF4">
        <w:t xml:space="preserve"> </w:t>
      </w:r>
      <w:r w:rsidRPr="007444B7">
        <w:t xml:space="preserve">the </w:t>
      </w:r>
      <w:r w:rsidRPr="00B51BF4">
        <w:t xml:space="preserve">Philippines Software Industry Association, global networks (such as Endeavor and </w:t>
      </w:r>
      <w:proofErr w:type="spellStart"/>
      <w:r w:rsidRPr="00B51BF4">
        <w:t>Ideatech</w:t>
      </w:r>
      <w:proofErr w:type="spellEnd"/>
      <w:r w:rsidRPr="00B51BF4">
        <w:t>), multinationals (such as Google and Facebook) to homegrown institutions such as the Young Entrepreneurs Society (YES) Philippines,</w:t>
      </w:r>
      <w:r w:rsidRPr="00B51BF4">
        <w:rPr>
          <w:vertAlign w:val="superscript"/>
        </w:rPr>
        <w:endnoteReference w:id="17"/>
      </w:r>
      <w:r w:rsidRPr="00B51BF4">
        <w:t xml:space="preserve"> and the QBO Innovation Hub which is a private-public partnership.</w:t>
      </w:r>
      <w:r w:rsidRPr="00B51BF4">
        <w:rPr>
          <w:vertAlign w:val="superscript"/>
        </w:rPr>
        <w:endnoteReference w:id="18"/>
      </w:r>
      <w:r w:rsidRPr="00B51BF4">
        <w:t>According to estimates by</w:t>
      </w:r>
      <w:r w:rsidRPr="007444B7">
        <w:t xml:space="preserve"> </w:t>
      </w:r>
      <w:proofErr w:type="spellStart"/>
      <w:r w:rsidRPr="00B51BF4">
        <w:rPr>
          <w:i/>
        </w:rPr>
        <w:t>Mouvement</w:t>
      </w:r>
      <w:proofErr w:type="spellEnd"/>
      <w:r w:rsidRPr="00B51BF4">
        <w:rPr>
          <w:i/>
        </w:rPr>
        <w:t xml:space="preserve"> des </w:t>
      </w:r>
      <w:proofErr w:type="spellStart"/>
      <w:r w:rsidRPr="00B51BF4">
        <w:rPr>
          <w:i/>
        </w:rPr>
        <w:t>Entreprises</w:t>
      </w:r>
      <w:proofErr w:type="spellEnd"/>
      <w:r w:rsidRPr="00B51BF4">
        <w:rPr>
          <w:i/>
        </w:rPr>
        <w:t xml:space="preserve"> de France</w:t>
      </w:r>
      <w:r w:rsidRPr="007444B7">
        <w:t xml:space="preserve"> by 2014, 15 venture capitalists (VCs) were active in the Philippines. Networking events with the primary focus of supporting entrepreneurs have also been rolled out. Several competitions and hackathons, including the Philippine Startup Challenge are taking place. </w:t>
      </w:r>
    </w:p>
    <w:p w14:paraId="2AAB58D3" w14:textId="4E9C8D54" w:rsidR="00795944" w:rsidRDefault="00795944" w:rsidP="00795944">
      <w:pPr>
        <w:ind w:left="360"/>
        <w:contextualSpacing/>
        <w:jc w:val="both"/>
        <w:rPr>
          <w:rFonts w:cs="Times New Roman"/>
          <w:sz w:val="24"/>
          <w:szCs w:val="24"/>
        </w:rPr>
      </w:pPr>
      <w:bookmarkStart w:id="31" w:name="_Ref7791427"/>
      <w:bookmarkStart w:id="32" w:name="_Hlk7791792"/>
      <w:r w:rsidRPr="00D92710">
        <w:rPr>
          <w:b/>
        </w:rPr>
        <w:t xml:space="preserve">Figure </w:t>
      </w:r>
      <w:bookmarkEnd w:id="31"/>
      <w:r w:rsidR="009A3C2B">
        <w:rPr>
          <w:b/>
        </w:rPr>
        <w:t>9</w:t>
      </w:r>
      <w:r>
        <w:rPr>
          <w:rFonts w:cs="Times New Roman"/>
          <w:b/>
        </w:rPr>
        <w:t xml:space="preserve">: </w:t>
      </w:r>
      <w:bookmarkEnd w:id="32"/>
      <w:r>
        <w:rPr>
          <w:rFonts w:cs="Times New Roman"/>
          <w:b/>
        </w:rPr>
        <w:t>Public and private sector support mechanisms have increased over time</w:t>
      </w:r>
    </w:p>
    <w:p w14:paraId="0A7B6508" w14:textId="77777777" w:rsidR="00795944" w:rsidRDefault="00795944" w:rsidP="00795944">
      <w:pPr>
        <w:contextualSpacing/>
        <w:jc w:val="center"/>
        <w:rPr>
          <w:rFonts w:cs="Times New Roman"/>
          <w:sz w:val="24"/>
          <w:szCs w:val="24"/>
        </w:rPr>
      </w:pPr>
      <w:r>
        <w:rPr>
          <w:noProof/>
        </w:rPr>
        <w:drawing>
          <wp:inline distT="0" distB="0" distL="0" distR="0" wp14:anchorId="253D64D9" wp14:editId="3F52966C">
            <wp:extent cx="6175375" cy="40398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5375" cy="4039870"/>
                    </a:xfrm>
                    <a:prstGeom prst="rect">
                      <a:avLst/>
                    </a:prstGeom>
                    <a:noFill/>
                    <a:ln>
                      <a:noFill/>
                    </a:ln>
                  </pic:spPr>
                </pic:pic>
              </a:graphicData>
            </a:graphic>
          </wp:inline>
        </w:drawing>
      </w:r>
    </w:p>
    <w:p w14:paraId="3ADF973C" w14:textId="77777777" w:rsidR="00795944" w:rsidRDefault="00795944" w:rsidP="00795944">
      <w:pPr>
        <w:rPr>
          <w:rFonts w:ascii="Arial Narrow" w:hAnsi="Arial Narrow" w:cs="Tahoma"/>
          <w:sz w:val="16"/>
          <w:szCs w:val="16"/>
        </w:rPr>
      </w:pPr>
      <w:r>
        <w:rPr>
          <w:rFonts w:ascii="Arial Narrow" w:hAnsi="Arial Narrow" w:cs="Tahoma"/>
          <w:sz w:val="16"/>
          <w:szCs w:val="16"/>
        </w:rPr>
        <w:tab/>
        <w:t xml:space="preserve">Sources: Authors’ elaboration based on information provided in the QBO/PWC “Off to a great start: 2017 Philippine Startup Survey”, VMWare Cloud </w:t>
      </w:r>
      <w:r>
        <w:rPr>
          <w:rFonts w:ascii="Arial Narrow" w:hAnsi="Arial Narrow" w:cs="Tahoma"/>
          <w:sz w:val="16"/>
          <w:szCs w:val="16"/>
        </w:rPr>
        <w:tab/>
        <w:t>Index, and data collection.</w:t>
      </w:r>
    </w:p>
    <w:p w14:paraId="2EB99C89" w14:textId="77777777" w:rsidR="00795944" w:rsidRDefault="00795944" w:rsidP="00795944">
      <w:pPr>
        <w:spacing w:line="256" w:lineRule="auto"/>
        <w:contextualSpacing/>
        <w:jc w:val="both"/>
        <w:rPr>
          <w:rFonts w:cs="Times New Roman"/>
          <w:b/>
          <w:szCs w:val="24"/>
        </w:rPr>
      </w:pPr>
    </w:p>
    <w:p w14:paraId="1FCFC871" w14:textId="36CDFD63" w:rsidR="006A21B6" w:rsidRDefault="00795944" w:rsidP="00795944">
      <w:pPr>
        <w:pStyle w:val="ListParagraph"/>
        <w:numPr>
          <w:ilvl w:val="0"/>
          <w:numId w:val="50"/>
        </w:numPr>
        <w:spacing w:line="256" w:lineRule="auto"/>
        <w:jc w:val="both"/>
        <w:rPr>
          <w:rFonts w:cs="Times New Roman"/>
          <w:szCs w:val="24"/>
        </w:rPr>
      </w:pPr>
      <w:r w:rsidRPr="0031325C">
        <w:rPr>
          <w:rFonts w:cs="Times New Roman"/>
          <w:b/>
          <w:szCs w:val="24"/>
        </w:rPr>
        <w:t xml:space="preserve">Despite the recent growth of startups, the potential remains untapped. </w:t>
      </w:r>
      <w:r w:rsidRPr="0031325C">
        <w:rPr>
          <w:rFonts w:cs="Times New Roman"/>
          <w:szCs w:val="24"/>
        </w:rPr>
        <w:t>It is estimated that there are currently about 400-450 active startups in the Philippines with a total valuation of US$120 million (Startup Genome, 2018).</w:t>
      </w:r>
      <w:r w:rsidRPr="007444B7">
        <w:rPr>
          <w:vertAlign w:val="superscript"/>
        </w:rPr>
        <w:endnoteReference w:id="19"/>
      </w:r>
      <w:r w:rsidRPr="0031325C">
        <w:rPr>
          <w:rFonts w:cs="Times New Roman"/>
          <w:szCs w:val="24"/>
        </w:rPr>
        <w:t xml:space="preserve"> </w:t>
      </w:r>
      <w:r w:rsidR="0022555F" w:rsidRPr="00A04EC7">
        <w:rPr>
          <w:rFonts w:cs="Times New Roman"/>
          <w:szCs w:val="24"/>
        </w:rPr>
        <w:t xml:space="preserve">Policymakers expect these startups to reach a total transaction value of $10.5 billion by 2022. </w:t>
      </w:r>
      <w:r w:rsidRPr="0031325C">
        <w:rPr>
          <w:rFonts w:cs="Times New Roman"/>
          <w:szCs w:val="24"/>
        </w:rPr>
        <w:t>According to a 2017 startup survey in the Philippines,</w:t>
      </w:r>
      <w:r w:rsidRPr="007444B7">
        <w:rPr>
          <w:vertAlign w:val="superscript"/>
        </w:rPr>
        <w:endnoteReference w:id="20"/>
      </w:r>
      <w:r w:rsidRPr="0031325C">
        <w:rPr>
          <w:rFonts w:cs="Times New Roman"/>
          <w:szCs w:val="24"/>
        </w:rPr>
        <w:t xml:space="preserve"> over half (54 percent) of founders launched their startups between 2016 and 2017, with the majority (87 percent) indicating to have either worked as employees in other firms (prior to becoming entrepreneurs) and to have started other businesses before operating current startups (66 percent). </w:t>
      </w:r>
    </w:p>
    <w:p w14:paraId="73BCEEB6" w14:textId="77777777" w:rsidR="006A21B6" w:rsidRDefault="006A21B6" w:rsidP="006A21B6">
      <w:pPr>
        <w:pStyle w:val="ListParagraph"/>
        <w:spacing w:line="256" w:lineRule="auto"/>
        <w:ind w:left="360"/>
        <w:jc w:val="both"/>
        <w:rPr>
          <w:rFonts w:cs="Times New Roman"/>
          <w:szCs w:val="24"/>
        </w:rPr>
      </w:pPr>
    </w:p>
    <w:p w14:paraId="21B6EF0A" w14:textId="3AB359BA" w:rsidR="00795944" w:rsidRDefault="00795944" w:rsidP="00795944">
      <w:pPr>
        <w:pStyle w:val="ListParagraph"/>
        <w:numPr>
          <w:ilvl w:val="0"/>
          <w:numId w:val="50"/>
        </w:numPr>
        <w:spacing w:line="256" w:lineRule="auto"/>
        <w:jc w:val="both"/>
        <w:rPr>
          <w:rFonts w:cs="Times New Roman"/>
          <w:szCs w:val="24"/>
        </w:rPr>
      </w:pPr>
      <w:r w:rsidRPr="0022555F">
        <w:rPr>
          <w:rFonts w:cs="Times New Roman"/>
          <w:b/>
          <w:szCs w:val="24"/>
        </w:rPr>
        <w:t xml:space="preserve">The </w:t>
      </w:r>
      <w:r w:rsidR="006A21B6" w:rsidRPr="0022555F">
        <w:rPr>
          <w:rFonts w:cs="Times New Roman"/>
          <w:b/>
          <w:szCs w:val="24"/>
        </w:rPr>
        <w:t>profile</w:t>
      </w:r>
      <w:r w:rsidRPr="0022555F">
        <w:rPr>
          <w:rFonts w:cs="Times New Roman"/>
          <w:b/>
          <w:szCs w:val="24"/>
        </w:rPr>
        <w:t xml:space="preserve"> of startups emerging from the Philippines range from IT and software firms, food delivery, logistics, real estate, education to the current increasing focus on more high-tech innovation sectors such as financial technology (fintech), enterprise applications, artificial intelligence (AI), and machine learning.</w:t>
      </w:r>
      <w:r w:rsidRPr="0031325C">
        <w:rPr>
          <w:rFonts w:cs="Times New Roman"/>
          <w:szCs w:val="24"/>
        </w:rPr>
        <w:t xml:space="preserve"> There are about 100 fintech startups based in Manila that focus on mobile payments and alternative financing.</w:t>
      </w:r>
      <w:r w:rsidRPr="007444B7">
        <w:rPr>
          <w:vertAlign w:val="superscript"/>
        </w:rPr>
        <w:endnoteReference w:id="21"/>
      </w:r>
      <w:r w:rsidRPr="0031325C">
        <w:rPr>
          <w:rFonts w:cs="Times New Roman"/>
          <w:szCs w:val="24"/>
        </w:rPr>
        <w:t xml:space="preserve"> Most of these startups are in the pre-seed or seed stages and only a handful have made their exits.</w:t>
      </w:r>
      <w:r w:rsidRPr="007444B7">
        <w:rPr>
          <w:vertAlign w:val="superscript"/>
        </w:rPr>
        <w:endnoteReference w:id="22"/>
      </w:r>
      <w:r w:rsidRPr="0031325C">
        <w:rPr>
          <w:rFonts w:cs="Times New Roman"/>
          <w:szCs w:val="24"/>
        </w:rPr>
        <w:t xml:space="preserve"> One notable “unicorn” is the </w:t>
      </w:r>
      <w:r w:rsidRPr="0031325C">
        <w:rPr>
          <w:rFonts w:cs="Times New Roman"/>
          <w:i/>
          <w:szCs w:val="24"/>
        </w:rPr>
        <w:t xml:space="preserve">Revolution </w:t>
      </w:r>
      <w:proofErr w:type="spellStart"/>
      <w:r w:rsidRPr="0031325C">
        <w:rPr>
          <w:rFonts w:cs="Times New Roman"/>
          <w:i/>
          <w:szCs w:val="24"/>
        </w:rPr>
        <w:t>Precrafted</w:t>
      </w:r>
      <w:proofErr w:type="spellEnd"/>
      <w:r w:rsidRPr="0031325C">
        <w:rPr>
          <w:rFonts w:cs="Times New Roman"/>
          <w:i/>
          <w:szCs w:val="24"/>
        </w:rPr>
        <w:t>,</w:t>
      </w:r>
      <w:r w:rsidRPr="0031325C">
        <w:rPr>
          <w:rFonts w:cs="Times New Roman"/>
          <w:szCs w:val="24"/>
        </w:rPr>
        <w:t xml:space="preserve"> a real-estate startup focused on designer home development which has recently raised Series B round of investments. Early stage funding per startup is US$68,000 compared to global average of US252,000.</w:t>
      </w:r>
      <w:r w:rsidRPr="007444B7">
        <w:rPr>
          <w:rFonts w:eastAsia="PMingLiU"/>
          <w:vertAlign w:val="superscript"/>
          <w:lang w:eastAsia="zh-TW"/>
        </w:rPr>
        <w:endnoteReference w:id="23"/>
      </w:r>
      <w:r w:rsidRPr="0031325C">
        <w:rPr>
          <w:rFonts w:cs="Times New Roman"/>
          <w:szCs w:val="24"/>
        </w:rPr>
        <w:t xml:space="preserve">  </w:t>
      </w:r>
    </w:p>
    <w:p w14:paraId="67B3488B" w14:textId="77777777" w:rsidR="00182897" w:rsidRPr="00182897" w:rsidRDefault="00182897" w:rsidP="00182897">
      <w:pPr>
        <w:pStyle w:val="ListParagraph"/>
        <w:rPr>
          <w:rFonts w:cs="Times New Roman"/>
          <w:szCs w:val="24"/>
        </w:rPr>
      </w:pPr>
    </w:p>
    <w:p w14:paraId="2C1AF87B" w14:textId="1B4A4ABA" w:rsidR="00C36D85" w:rsidRPr="00C36D85" w:rsidRDefault="00C36D85" w:rsidP="00C36D85">
      <w:pPr>
        <w:pStyle w:val="ListParagraph"/>
        <w:numPr>
          <w:ilvl w:val="0"/>
          <w:numId w:val="50"/>
        </w:numPr>
        <w:spacing w:line="256" w:lineRule="auto"/>
        <w:jc w:val="both"/>
        <w:rPr>
          <w:rFonts w:cs="Times New Roman"/>
          <w:szCs w:val="24"/>
        </w:rPr>
      </w:pPr>
      <w:r w:rsidRPr="003D5837">
        <w:rPr>
          <w:rFonts w:cs="Times New Roman"/>
          <w:b/>
          <w:szCs w:val="24"/>
        </w:rPr>
        <w:t xml:space="preserve">Most startups </w:t>
      </w:r>
      <w:proofErr w:type="gramStart"/>
      <w:r w:rsidRPr="003D5837">
        <w:rPr>
          <w:rFonts w:cs="Times New Roman"/>
          <w:b/>
          <w:szCs w:val="24"/>
        </w:rPr>
        <w:t>are located in</w:t>
      </w:r>
      <w:proofErr w:type="gramEnd"/>
      <w:r w:rsidRPr="003D5837">
        <w:rPr>
          <w:rFonts w:cs="Times New Roman"/>
          <w:b/>
          <w:szCs w:val="24"/>
        </w:rPr>
        <w:t xml:space="preserve"> Manila but there is an increasing concentration of startup firms in Cebu.</w:t>
      </w:r>
      <w:r w:rsidRPr="00C36D85">
        <w:rPr>
          <w:rFonts w:cs="Times New Roman"/>
          <w:szCs w:val="24"/>
        </w:rPr>
        <w:t xml:space="preserve"> The Startup Ecosystem Rankings 2019 identify Manila and Cebu as the top startup ecosystems in the Philippines. In 2019, the global ranking of both cities is at 84 and 293, respectively, significantly improving from their 2017 rankings.  Thus, identifying the constraints faced by startups in both cities can provide good insights on the possible gaps in the Philippine </w:t>
      </w:r>
      <w:r w:rsidR="00FA0660" w:rsidRPr="00FA0660">
        <w:rPr>
          <w:rFonts w:cs="Times New Roman"/>
          <w:szCs w:val="24"/>
        </w:rPr>
        <w:t>entrepreneurship</w:t>
      </w:r>
      <w:r w:rsidR="00182897">
        <w:rPr>
          <w:rFonts w:cs="Times New Roman"/>
          <w:szCs w:val="24"/>
        </w:rPr>
        <w:t>/</w:t>
      </w:r>
      <w:r w:rsidRPr="00C36D85">
        <w:rPr>
          <w:rFonts w:cs="Times New Roman"/>
          <w:szCs w:val="24"/>
        </w:rPr>
        <w:t xml:space="preserve">startup </w:t>
      </w:r>
      <w:proofErr w:type="gramStart"/>
      <w:r w:rsidRPr="00C36D85">
        <w:rPr>
          <w:rFonts w:cs="Times New Roman"/>
          <w:szCs w:val="24"/>
        </w:rPr>
        <w:t>ecosystem as a whole</w:t>
      </w:r>
      <w:proofErr w:type="gramEnd"/>
      <w:r w:rsidRPr="00C36D85">
        <w:rPr>
          <w:rFonts w:cs="Times New Roman"/>
          <w:szCs w:val="24"/>
        </w:rPr>
        <w:t xml:space="preserve">. </w:t>
      </w:r>
    </w:p>
    <w:p w14:paraId="21BB3E82" w14:textId="77777777" w:rsidR="00C36D85" w:rsidRPr="00C36D85" w:rsidRDefault="00C36D85" w:rsidP="00C36D85">
      <w:pPr>
        <w:pStyle w:val="ListParagraph"/>
        <w:spacing w:line="256" w:lineRule="auto"/>
        <w:ind w:left="360"/>
        <w:jc w:val="both"/>
        <w:rPr>
          <w:rFonts w:cs="Times New Roman"/>
          <w:szCs w:val="24"/>
        </w:rPr>
      </w:pPr>
    </w:p>
    <w:p w14:paraId="37EF0491" w14:textId="77777777" w:rsidR="00795944" w:rsidRDefault="00795944" w:rsidP="00795944">
      <w:pPr>
        <w:pStyle w:val="ListParagraph"/>
        <w:ind w:left="360"/>
        <w:jc w:val="both"/>
        <w:rPr>
          <w:rFonts w:cs="Times New Roman"/>
          <w:b/>
        </w:rPr>
      </w:pPr>
    </w:p>
    <w:p w14:paraId="3CC8B8C0" w14:textId="5577DF00" w:rsidR="003A5A47" w:rsidRPr="00F9404B" w:rsidRDefault="005E6BDB" w:rsidP="009249D1">
      <w:pPr>
        <w:pStyle w:val="ListParagraph"/>
        <w:numPr>
          <w:ilvl w:val="0"/>
          <w:numId w:val="50"/>
        </w:numPr>
        <w:jc w:val="both"/>
        <w:rPr>
          <w:rFonts w:cs="Times New Roman"/>
          <w:b/>
        </w:rPr>
      </w:pPr>
      <w:r w:rsidRPr="009249D1">
        <w:rPr>
          <w:rFonts w:cs="Times New Roman"/>
          <w:b/>
        </w:rPr>
        <w:t xml:space="preserve">Understanding the firm-level constraints and weaknesses in the entrepreneurship </w:t>
      </w:r>
      <w:r w:rsidRPr="00F9404B">
        <w:rPr>
          <w:rFonts w:cs="Times New Roman"/>
          <w:b/>
        </w:rPr>
        <w:t>eco</w:t>
      </w:r>
      <w:r w:rsidRPr="009249D1">
        <w:rPr>
          <w:rFonts w:cs="Times New Roman"/>
          <w:b/>
        </w:rPr>
        <w:t xml:space="preserve">system </w:t>
      </w:r>
      <w:r w:rsidRPr="00F9404B">
        <w:rPr>
          <w:rFonts w:cs="Times New Roman"/>
          <w:b/>
        </w:rPr>
        <w:t xml:space="preserve">that hold back </w:t>
      </w:r>
      <w:r w:rsidRPr="009249D1">
        <w:rPr>
          <w:rFonts w:cs="Times New Roman"/>
          <w:b/>
        </w:rPr>
        <w:t>the productivity of MSMEs</w:t>
      </w:r>
      <w:r w:rsidR="00C80AA0">
        <w:rPr>
          <w:rFonts w:cs="Times New Roman"/>
          <w:b/>
        </w:rPr>
        <w:t xml:space="preserve"> </w:t>
      </w:r>
      <w:r w:rsidRPr="00F9404B">
        <w:rPr>
          <w:rFonts w:cs="Times New Roman"/>
          <w:b/>
        </w:rPr>
        <w:t xml:space="preserve">is a </w:t>
      </w:r>
      <w:r w:rsidR="00EC60E0" w:rsidRPr="00F9404B">
        <w:rPr>
          <w:rFonts w:cs="Times New Roman"/>
          <w:b/>
        </w:rPr>
        <w:t>p</w:t>
      </w:r>
      <w:r w:rsidRPr="00F9404B">
        <w:rPr>
          <w:rFonts w:cs="Times New Roman"/>
          <w:b/>
        </w:rPr>
        <w:t xml:space="preserve">e-requisite to </w:t>
      </w:r>
      <w:r w:rsidR="00EC60E0" w:rsidRPr="00F9404B">
        <w:rPr>
          <w:rFonts w:cs="Times New Roman"/>
          <w:b/>
        </w:rPr>
        <w:t xml:space="preserve">identifying the </w:t>
      </w:r>
      <w:r w:rsidR="00147857" w:rsidRPr="00F9404B">
        <w:rPr>
          <w:rFonts w:cs="Times New Roman"/>
          <w:b/>
        </w:rPr>
        <w:t xml:space="preserve">appropriate </w:t>
      </w:r>
      <w:r w:rsidR="00EC60E0" w:rsidRPr="00F9404B">
        <w:rPr>
          <w:rFonts w:cs="Times New Roman"/>
          <w:b/>
        </w:rPr>
        <w:t xml:space="preserve">policy responses. </w:t>
      </w:r>
      <w:r w:rsidR="00FA7862" w:rsidRPr="00F9404B">
        <w:rPr>
          <w:rFonts w:cs="Times New Roman"/>
        </w:rPr>
        <w:t xml:space="preserve">Building on its recent achievements, Philippine has an opportunity to create a more dynamic entrepreneurship environment and improve the productivity of the MSMEs. </w:t>
      </w:r>
      <w:r w:rsidR="009D6EDD" w:rsidRPr="00F9404B">
        <w:rPr>
          <w:rFonts w:cs="Times New Roman"/>
        </w:rPr>
        <w:t xml:space="preserve">This requires on one hand identifying the right market failures and constraints </w:t>
      </w:r>
      <w:r w:rsidR="00EC60E0" w:rsidRPr="00F9404B">
        <w:rPr>
          <w:rFonts w:cs="Times New Roman"/>
        </w:rPr>
        <w:t xml:space="preserve">that MSMEs face </w:t>
      </w:r>
      <w:r w:rsidR="009D6EDD" w:rsidRPr="00F9404B">
        <w:rPr>
          <w:rFonts w:cs="Times New Roman"/>
        </w:rPr>
        <w:t xml:space="preserve">and then responding with the </w:t>
      </w:r>
      <w:r w:rsidR="00147857" w:rsidRPr="00F9404B">
        <w:rPr>
          <w:rFonts w:cs="Times New Roman"/>
        </w:rPr>
        <w:t xml:space="preserve">appropriate policies that address these constraints. </w:t>
      </w:r>
      <w:r w:rsidR="00FA7862" w:rsidRPr="00F9404B">
        <w:rPr>
          <w:rFonts w:cs="Times New Roman"/>
        </w:rPr>
        <w:t xml:space="preserve">The next section </w:t>
      </w:r>
      <w:r w:rsidR="00EC60E0" w:rsidRPr="00F9404B">
        <w:rPr>
          <w:rFonts w:cs="Times New Roman"/>
        </w:rPr>
        <w:t xml:space="preserve">presents the </w:t>
      </w:r>
      <w:r w:rsidR="0037258C" w:rsidRPr="00F9404B">
        <w:rPr>
          <w:rFonts w:cs="Times New Roman"/>
        </w:rPr>
        <w:t xml:space="preserve">overarching approach adopted in </w:t>
      </w:r>
      <w:r w:rsidR="00284895" w:rsidRPr="00F9404B">
        <w:rPr>
          <w:rFonts w:cs="Times New Roman"/>
        </w:rPr>
        <w:t xml:space="preserve">the report for </w:t>
      </w:r>
      <w:r w:rsidR="003A5A47" w:rsidRPr="00F9404B">
        <w:rPr>
          <w:rFonts w:cs="Times New Roman"/>
        </w:rPr>
        <w:t>undertaking t</w:t>
      </w:r>
      <w:r w:rsidR="0037258C" w:rsidRPr="00F9404B">
        <w:rPr>
          <w:rFonts w:cs="Times New Roman"/>
        </w:rPr>
        <w:t xml:space="preserve">he </w:t>
      </w:r>
      <w:r w:rsidR="003A5A47" w:rsidRPr="00F9404B">
        <w:rPr>
          <w:rFonts w:cs="Times New Roman"/>
        </w:rPr>
        <w:t xml:space="preserve">demand and supply side analysis. </w:t>
      </w:r>
    </w:p>
    <w:p w14:paraId="6078C827" w14:textId="14A3743C" w:rsidR="003A5A47" w:rsidRDefault="003A5A47" w:rsidP="003A5A47">
      <w:pPr>
        <w:pStyle w:val="ListParagraph"/>
        <w:ind w:left="360"/>
        <w:jc w:val="both"/>
        <w:rPr>
          <w:rFonts w:cs="Times New Roman"/>
          <w:b/>
        </w:rPr>
      </w:pPr>
    </w:p>
    <w:p w14:paraId="149BC18D" w14:textId="3DD06EF8" w:rsidR="00A136F9" w:rsidRDefault="00A136F9" w:rsidP="009249D1">
      <w:pPr>
        <w:pStyle w:val="ListParagraph"/>
        <w:ind w:left="360"/>
        <w:jc w:val="both"/>
        <w:rPr>
          <w:rFonts w:asciiTheme="majorHAnsi" w:eastAsiaTheme="majorEastAsia" w:hAnsiTheme="majorHAnsi" w:cstheme="majorBidi"/>
          <w:color w:val="2F5496" w:themeColor="accent1" w:themeShade="BF"/>
          <w:sz w:val="32"/>
          <w:szCs w:val="32"/>
        </w:rPr>
      </w:pPr>
      <w:r>
        <w:br w:type="page"/>
      </w:r>
    </w:p>
    <w:p w14:paraId="63C1B568" w14:textId="2B8FF600" w:rsidR="00886EAF" w:rsidRPr="00A22D4B" w:rsidRDefault="00F07686" w:rsidP="0006683D">
      <w:pPr>
        <w:pStyle w:val="Heading1"/>
        <w:numPr>
          <w:ilvl w:val="0"/>
          <w:numId w:val="6"/>
        </w:numPr>
        <w:rPr>
          <w:b/>
          <w:sz w:val="28"/>
          <w:szCs w:val="28"/>
        </w:rPr>
      </w:pPr>
      <w:bookmarkStart w:id="33" w:name="_Toc10740037"/>
      <w:bookmarkStart w:id="34" w:name="_Toc12503514"/>
      <w:r w:rsidRPr="00A22D4B">
        <w:rPr>
          <w:b/>
          <w:sz w:val="28"/>
          <w:szCs w:val="28"/>
        </w:rPr>
        <w:t>The</w:t>
      </w:r>
      <w:r w:rsidR="000C5751" w:rsidRPr="00A22D4B">
        <w:rPr>
          <w:b/>
          <w:sz w:val="28"/>
          <w:szCs w:val="28"/>
        </w:rPr>
        <w:t xml:space="preserve"> </w:t>
      </w:r>
      <w:r w:rsidR="00CB4E49" w:rsidRPr="00A22D4B">
        <w:rPr>
          <w:b/>
          <w:sz w:val="28"/>
          <w:szCs w:val="28"/>
        </w:rPr>
        <w:t xml:space="preserve">Analytical </w:t>
      </w:r>
      <w:r w:rsidR="00A80DDC" w:rsidRPr="00A22D4B">
        <w:rPr>
          <w:b/>
          <w:sz w:val="28"/>
          <w:szCs w:val="28"/>
        </w:rPr>
        <w:t>Framework</w:t>
      </w:r>
      <w:bookmarkEnd w:id="34"/>
      <w:r w:rsidR="00A80DDC" w:rsidRPr="00A22D4B">
        <w:rPr>
          <w:b/>
          <w:sz w:val="28"/>
          <w:szCs w:val="28"/>
        </w:rPr>
        <w:t xml:space="preserve"> </w:t>
      </w:r>
      <w:bookmarkEnd w:id="33"/>
    </w:p>
    <w:p w14:paraId="1C8BA88F" w14:textId="77777777" w:rsidR="001F6E4B" w:rsidRDefault="001F6E4B" w:rsidP="009249D1">
      <w:pPr>
        <w:pStyle w:val="ListParagraph"/>
        <w:ind w:left="360"/>
        <w:jc w:val="both"/>
      </w:pPr>
    </w:p>
    <w:p w14:paraId="3571444A" w14:textId="14A145B9" w:rsidR="009042C0" w:rsidRPr="00F83218" w:rsidRDefault="00602CCA" w:rsidP="009042C0">
      <w:pPr>
        <w:pStyle w:val="ListParagraph"/>
        <w:numPr>
          <w:ilvl w:val="0"/>
          <w:numId w:val="50"/>
        </w:numPr>
        <w:jc w:val="both"/>
      </w:pPr>
      <w:r w:rsidRPr="00870CEB">
        <w:rPr>
          <w:b/>
        </w:rPr>
        <w:t xml:space="preserve">In undertaking the analysis, the report </w:t>
      </w:r>
      <w:r w:rsidR="00D8408A" w:rsidRPr="00870CEB">
        <w:rPr>
          <w:b/>
        </w:rPr>
        <w:t>adopt</w:t>
      </w:r>
      <w:r w:rsidRPr="00870CEB">
        <w:rPr>
          <w:b/>
        </w:rPr>
        <w:t>s an integrated demand and supply side approach</w:t>
      </w:r>
      <w:r w:rsidRPr="00602CCA">
        <w:t xml:space="preserve">. </w:t>
      </w:r>
      <w:r w:rsidR="00A62F30" w:rsidRPr="00A62F30">
        <w:t>On the demand side, the analytical framework first examines the drivers behind firm productivity</w:t>
      </w:r>
      <w:r w:rsidR="00B63902">
        <w:t xml:space="preserve"> (Fig. </w:t>
      </w:r>
      <w:r w:rsidR="004B4DA0">
        <w:t>10</w:t>
      </w:r>
      <w:r w:rsidR="00B63902">
        <w:t>)</w:t>
      </w:r>
      <w:r w:rsidR="00B85BF0">
        <w:t xml:space="preserve">. </w:t>
      </w:r>
      <w:r w:rsidR="00A62F30" w:rsidRPr="00A62F30">
        <w:t xml:space="preserve"> </w:t>
      </w:r>
      <w:r w:rsidR="00C629E0">
        <w:t>F</w:t>
      </w:r>
      <w:r w:rsidR="00A62F30" w:rsidRPr="00A62F30">
        <w:t>ocus</w:t>
      </w:r>
      <w:r w:rsidR="00C629E0">
        <w:t>ing</w:t>
      </w:r>
      <w:r w:rsidR="00A62F30" w:rsidRPr="00A62F30">
        <w:t xml:space="preserve"> on two channels of productivity growth </w:t>
      </w:r>
      <w:r w:rsidR="00DB7423">
        <w:t xml:space="preserve">- </w:t>
      </w:r>
      <w:r w:rsidR="00A62F30" w:rsidRPr="00A62F30">
        <w:t>i.e. upgrading of existing MSMEs and entry of new firms</w:t>
      </w:r>
      <w:r w:rsidR="00A4185F">
        <w:t xml:space="preserve"> or</w:t>
      </w:r>
      <w:r w:rsidR="00A4185F" w:rsidRPr="00A4185F">
        <w:t xml:space="preserve"> early stage entrepreneurs</w:t>
      </w:r>
      <w:r w:rsidR="00DB7423">
        <w:t xml:space="preserve"> - </w:t>
      </w:r>
      <w:r w:rsidR="00870CEB">
        <w:t xml:space="preserve">the report </w:t>
      </w:r>
      <w:r w:rsidR="00C629E0">
        <w:t>sheds light on key</w:t>
      </w:r>
      <w:r w:rsidR="00DB7423" w:rsidRPr="00DB7423">
        <w:t xml:space="preserve"> productivity</w:t>
      </w:r>
      <w:r w:rsidR="00C629E0">
        <w:t xml:space="preserve"> constraints</w:t>
      </w:r>
      <w:r w:rsidR="00DB7423">
        <w:t>.</w:t>
      </w:r>
      <w:r w:rsidR="00870CEB">
        <w:t xml:space="preserve"> </w:t>
      </w:r>
      <w:bookmarkStart w:id="35" w:name="_Hlk12452954"/>
      <w:r w:rsidR="00A62F30" w:rsidRPr="00A62F30">
        <w:t>T</w:t>
      </w:r>
      <w:r w:rsidR="00E04BF4">
        <w:t>he supply</w:t>
      </w:r>
      <w:r w:rsidR="00115A9E">
        <w:t xml:space="preserve"> </w:t>
      </w:r>
      <w:r w:rsidR="00E04BF4">
        <w:t>side anal</w:t>
      </w:r>
      <w:r w:rsidR="00115A9E">
        <w:t>ysis</w:t>
      </w:r>
      <w:r w:rsidR="00A62F30" w:rsidRPr="00A62F30">
        <w:t xml:space="preserve"> </w:t>
      </w:r>
      <w:r w:rsidR="00115A9E">
        <w:t xml:space="preserve">focuses on the set of </w:t>
      </w:r>
      <w:r w:rsidR="00A62F30" w:rsidRPr="00A62F30">
        <w:t xml:space="preserve">policies and </w:t>
      </w:r>
      <w:r w:rsidR="003D51FF">
        <w:t xml:space="preserve">program interventions that are deployed to address the demand constraints and </w:t>
      </w:r>
      <w:r w:rsidR="00A62F30" w:rsidRPr="00A62F30">
        <w:t>needs of the MSME</w:t>
      </w:r>
      <w:r w:rsidR="00B71FE6">
        <w:t>s</w:t>
      </w:r>
      <w:r w:rsidR="003D51FF">
        <w:t>.</w:t>
      </w:r>
      <w:r w:rsidR="008211F9">
        <w:t xml:space="preserve"> In undertaking this analysis, t</w:t>
      </w:r>
      <w:r w:rsidR="00A62F30" w:rsidRPr="00A62F30">
        <w:t xml:space="preserve">he report deploys the Policy </w:t>
      </w:r>
      <w:r w:rsidR="008211F9">
        <w:t>E</w:t>
      </w:r>
      <w:r w:rsidR="00A62F30" w:rsidRPr="00A62F30">
        <w:t xml:space="preserve">ffectiveness </w:t>
      </w:r>
      <w:r w:rsidR="008211F9">
        <w:t>R</w:t>
      </w:r>
      <w:r w:rsidR="00A62F30" w:rsidRPr="00A62F30">
        <w:t xml:space="preserve">eview (PER) methodology developed by the World Bank. After presenting the overarching policy framework for MSMEs and entrepreneurship and the priorities set by the </w:t>
      </w:r>
      <w:proofErr w:type="spellStart"/>
      <w:r w:rsidR="00A62F30" w:rsidRPr="00A62F30">
        <w:t>GoP</w:t>
      </w:r>
      <w:proofErr w:type="spellEnd"/>
      <w:r w:rsidR="00A62F30" w:rsidRPr="00A62F30">
        <w:t xml:space="preserve">, the PER focuses on the MSME programs currently under </w:t>
      </w:r>
      <w:r w:rsidR="00593522">
        <w:t xml:space="preserve">implementation </w:t>
      </w:r>
      <w:r w:rsidR="00EB4381">
        <w:t xml:space="preserve">by </w:t>
      </w:r>
      <w:r w:rsidR="00A62F30" w:rsidRPr="00A62F30">
        <w:t xml:space="preserve">the Department of Trade and Industry (DTI), and the Department of Science and Technology (DOST).  The first component of the PER undertakes a policy mix analysis to assess if the current policy framework for entrepreneurship and MSMEs is in line with government priorities as well as the needs of the MSMEs. The focus is on the alignment between programs and outcomes. Thereafter, the functional review undertakes a detailed analysis of the design and implementation of selected programs under </w:t>
      </w:r>
      <w:r w:rsidR="008A734A">
        <w:t>the two departments</w:t>
      </w:r>
      <w:r w:rsidR="00A62F30" w:rsidRPr="00A62F30">
        <w:t>. Based on the above analysis, key findings are presented along with a menu of policy options for strengthening the effectiveness of MSMEs policies. In doing so, it highlights lessons learnt from other countries.</w:t>
      </w:r>
    </w:p>
    <w:p w14:paraId="5555888C" w14:textId="1652C2E7" w:rsidR="009042C0" w:rsidRPr="00E124BD" w:rsidRDefault="009042C0" w:rsidP="009042C0">
      <w:pPr>
        <w:jc w:val="center"/>
        <w:rPr>
          <w:rFonts w:ascii="Times" w:eastAsia="Calibri" w:hAnsi="Times" w:cs="Times New Roman"/>
          <w:b/>
          <w:noProof/>
        </w:rPr>
      </w:pPr>
      <w:r w:rsidRPr="00E124BD">
        <w:rPr>
          <w:b/>
        </w:rPr>
        <w:t xml:space="preserve">Figure </w:t>
      </w:r>
      <w:r w:rsidR="004B4DA0">
        <w:rPr>
          <w:b/>
        </w:rPr>
        <w:t>10</w:t>
      </w:r>
      <w:r w:rsidRPr="00E124BD">
        <w:rPr>
          <w:rFonts w:ascii="Times" w:eastAsia="Calibri" w:hAnsi="Times" w:cs="Times New Roman"/>
          <w:b/>
        </w:rPr>
        <w:t>: Drivers of Productivity Growth</w:t>
      </w:r>
    </w:p>
    <w:p w14:paraId="4D644F81" w14:textId="77777777" w:rsidR="009042C0" w:rsidRPr="00E124BD" w:rsidRDefault="009042C0" w:rsidP="009042C0">
      <w:pPr>
        <w:ind w:left="360"/>
        <w:contextualSpacing/>
        <w:jc w:val="both"/>
        <w:rPr>
          <w:rFonts w:cs="Times New Roman"/>
          <w:sz w:val="24"/>
          <w:szCs w:val="24"/>
        </w:rPr>
      </w:pPr>
      <w:r w:rsidRPr="00E124BD">
        <w:rPr>
          <w:rFonts w:asciiTheme="minorHAnsi" w:hAnsiTheme="minorHAnsi"/>
          <w:noProof/>
        </w:rPr>
        <mc:AlternateContent>
          <mc:Choice Requires="wps">
            <w:drawing>
              <wp:anchor distT="0" distB="0" distL="114300" distR="114300" simplePos="0" relativeHeight="251682816" behindDoc="0" locked="0" layoutInCell="1" allowOverlap="1" wp14:anchorId="01EF2EFA" wp14:editId="4FE9E5FD">
                <wp:simplePos x="0" y="0"/>
                <wp:positionH relativeFrom="column">
                  <wp:posOffset>3479800</wp:posOffset>
                </wp:positionH>
                <wp:positionV relativeFrom="paragraph">
                  <wp:posOffset>288925</wp:posOffset>
                </wp:positionV>
                <wp:extent cx="1606550" cy="1485900"/>
                <wp:effectExtent l="0" t="0" r="12700" b="19050"/>
                <wp:wrapNone/>
                <wp:docPr id="12" name="Double Bracket 12"/>
                <wp:cNvGraphicFramePr/>
                <a:graphic xmlns:a="http://schemas.openxmlformats.org/drawingml/2006/main">
                  <a:graphicData uri="http://schemas.microsoft.com/office/word/2010/wordprocessingShape">
                    <wps:wsp>
                      <wps:cNvSpPr/>
                      <wps:spPr>
                        <a:xfrm>
                          <a:off x="0" y="0"/>
                          <a:ext cx="1606550" cy="1485900"/>
                        </a:xfrm>
                        <a:prstGeom prst="bracketPair">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BC13AE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2" o:spid="_x0000_s1026" type="#_x0000_t185" style="position:absolute;margin-left:274pt;margin-top:22.75pt;width:126.5pt;height:1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Y7dAIAANYEAAAOAAAAZHJzL2Uyb0RvYy54bWysVE1v2zAMvQ/YfxB0X+1kTtoGcYosQYcB&#10;RRugLXpmZCkWpq9JSpzu14+SnbbrdhqWgyKKFCk+vuf51VErcuA+SGtqOjorKeGG2UaaXU0fH64/&#10;XVASIpgGlDW8ps880KvFxw/zzs342LZWNdwTTGLCrHM1bWN0s6IIrOUawpl13KBTWK8houl3ReOh&#10;w+xaFeOynBad9Y3zlvEQ8HTdO+ki5xeCs3gnROCRqJri22JefV63aS0Wc5jtPLhWsuEZ8A+v0CAN&#10;Fn1JtYYIZO/lH6m0ZN4GK+IZs7qwQkjGcw/Yzah81819C47nXhCc4F5gCv8vLbs9bDyRDc5uTIkB&#10;jTNa2/1WcfLFA/uOyKEDUepcmGHwvdv4wQq4TS0fhdfpH5shx4zs8wuy/BgJw8PRtJxOJjgAhr5R&#10;dTG5LDP2xet150P8yq0maVPTbV99A9JnYOFwEyJWxhunyFTU2GupVJ6iMqSr6fRzLgPIJaEgYkXt&#10;sLtgdpSA2iFJWewzBqtkk26nPMHvtivlyQGQKFV1Pl5VqWus9ltYKr2G0PZx2dVTSMuIPFZS1/Si&#10;TL/htjIpO89MHBpISPbYpd3WNs84AW97agbHriUWuYEQN+CRiwga6ive4SKUxQ7tsKOktf7n385T&#10;PFIEvZR0yG1s/8cePKdEfTNInstRVSUxZKOanI/R8G8927ces9cri6iMUMmO5W2Kj+q0Fd7qJ5Th&#10;MlVFFxiGtXugB2MVe82hkBlfLnMYCsBBvDH3jqXkCacE78PxCbwbWBCRQLf2pAOYvWNBH9vzYLmP&#10;VshMkVdccYLJQPHkWQ5CT+p8a+eo18/R4hcAAAD//wMAUEsDBBQABgAIAAAAIQANbRX13wAAAAoB&#10;AAAPAAAAZHJzL2Rvd25yZXYueG1sTI/NTsMwEITvSLyDtUjcqNOoTkOIUyHEz4ELNDyAGy9JILaj&#10;eJuGt2c50ePsjGa/KXeLG8SMU+yD17BeJSDQN8H2vtXwUT/d5CAiGW/NEDxq+MEIu+ryojSFDSf/&#10;jvOeWsElPhZGQ0c0FlLGpkNn4iqM6Nn7DJMzxHJqpZ3MicvdINMkyaQzvecPnRnxocPme390GrJn&#10;K7OxflH99jWjFB/rt5m+tL6+Wu7vQBAu9B+GP3xGh4qZDuHobRSDBrXJeQtp2CgFggN5subDQUO6&#10;vVUgq1KeT6h+AQAA//8DAFBLAQItABQABgAIAAAAIQC2gziS/gAAAOEBAAATAAAAAAAAAAAAAAAA&#10;AAAAAABbQ29udGVudF9UeXBlc10ueG1sUEsBAi0AFAAGAAgAAAAhADj9If/WAAAAlAEAAAsAAAAA&#10;AAAAAAAAAAAALwEAAF9yZWxzLy5yZWxzUEsBAi0AFAAGAAgAAAAhAB0E1jt0AgAA1gQAAA4AAAAA&#10;AAAAAAAAAAAALgIAAGRycy9lMm9Eb2MueG1sUEsBAi0AFAAGAAgAAAAhAA1tFfXfAAAACgEAAA8A&#10;AAAAAAAAAAAAAAAAzgQAAGRycy9kb3ducmV2LnhtbFBLBQYAAAAABAAEAPMAAADaBQAAAAA=&#10;" strokecolor="#4472c4" strokeweight=".5pt">
                <v:stroke joinstyle="miter"/>
              </v:shape>
            </w:pict>
          </mc:Fallback>
        </mc:AlternateContent>
      </w:r>
      <w:r w:rsidRPr="00E124BD">
        <w:rPr>
          <w:rFonts w:cs="Times New Roman"/>
          <w:noProof/>
          <w:sz w:val="24"/>
          <w:szCs w:val="24"/>
        </w:rPr>
        <w:drawing>
          <wp:inline distT="0" distB="0" distL="0" distR="0" wp14:anchorId="5B290B74" wp14:editId="50A94B3D">
            <wp:extent cx="4906645" cy="202663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4502"/>
                    <a:stretch/>
                  </pic:blipFill>
                  <pic:spPr bwMode="auto">
                    <a:xfrm>
                      <a:off x="0" y="0"/>
                      <a:ext cx="4906645" cy="2026635"/>
                    </a:xfrm>
                    <a:prstGeom prst="rect">
                      <a:avLst/>
                    </a:prstGeom>
                    <a:noFill/>
                    <a:ln>
                      <a:noFill/>
                    </a:ln>
                    <a:extLst>
                      <a:ext uri="{53640926-AAD7-44D8-BBD7-CCE9431645EC}">
                        <a14:shadowObscured xmlns:a14="http://schemas.microsoft.com/office/drawing/2010/main"/>
                      </a:ext>
                    </a:extLst>
                  </pic:spPr>
                </pic:pic>
              </a:graphicData>
            </a:graphic>
          </wp:inline>
        </w:drawing>
      </w:r>
    </w:p>
    <w:p w14:paraId="1C4AF03E" w14:textId="77777777" w:rsidR="009042C0" w:rsidRDefault="009042C0" w:rsidP="009042C0">
      <w:pPr>
        <w:ind w:left="360"/>
        <w:contextualSpacing/>
        <w:jc w:val="center"/>
        <w:rPr>
          <w:rFonts w:cs="Times New Roman"/>
          <w:sz w:val="18"/>
          <w:szCs w:val="18"/>
        </w:rPr>
      </w:pPr>
      <w:r w:rsidRPr="00E124BD">
        <w:rPr>
          <w:rFonts w:cs="Times New Roman"/>
          <w:sz w:val="18"/>
          <w:szCs w:val="18"/>
        </w:rPr>
        <w:t>Source: Cusolito, A.P., and W.F. Maloney. 2018.</w:t>
      </w:r>
    </w:p>
    <w:p w14:paraId="6E41B4E4" w14:textId="77777777" w:rsidR="009042C0" w:rsidRDefault="009042C0" w:rsidP="009042C0">
      <w:pPr>
        <w:jc w:val="both"/>
      </w:pPr>
    </w:p>
    <w:bookmarkEnd w:id="35"/>
    <w:p w14:paraId="28D01360" w14:textId="066D429C" w:rsidR="003E6BFD" w:rsidRPr="00EE0507" w:rsidRDefault="00EE0507" w:rsidP="009249D1">
      <w:pPr>
        <w:pStyle w:val="Heading1"/>
        <w:rPr>
          <w:i/>
          <w:sz w:val="24"/>
          <w:szCs w:val="24"/>
        </w:rPr>
      </w:pPr>
      <w:r>
        <w:rPr>
          <w:sz w:val="24"/>
          <w:szCs w:val="24"/>
        </w:rPr>
        <w:tab/>
      </w:r>
      <w:bookmarkStart w:id="36" w:name="_Toc12503515"/>
      <w:r w:rsidR="00DE13CA" w:rsidRPr="00EE0507">
        <w:rPr>
          <w:i/>
          <w:sz w:val="24"/>
          <w:szCs w:val="24"/>
        </w:rPr>
        <w:t>Drivers of firm productivity growth</w:t>
      </w:r>
      <w:bookmarkEnd w:id="36"/>
      <w:r w:rsidR="00DE13CA" w:rsidRPr="00EE0507">
        <w:rPr>
          <w:i/>
          <w:sz w:val="24"/>
          <w:szCs w:val="24"/>
        </w:rPr>
        <w:t xml:space="preserve"> </w:t>
      </w:r>
    </w:p>
    <w:p w14:paraId="318CF9AE" w14:textId="77777777" w:rsidR="00363065" w:rsidRPr="009249D1" w:rsidRDefault="00363065" w:rsidP="00363065">
      <w:pPr>
        <w:pStyle w:val="ListParagraph"/>
        <w:ind w:left="360"/>
        <w:jc w:val="both"/>
        <w:rPr>
          <w:rFonts w:cs="Times New Roman"/>
          <w:b/>
          <w:bCs/>
        </w:rPr>
      </w:pPr>
    </w:p>
    <w:p w14:paraId="6379F368" w14:textId="41D987DE" w:rsidR="00363065" w:rsidRPr="00301657" w:rsidRDefault="00363065">
      <w:pPr>
        <w:pStyle w:val="ListParagraph"/>
        <w:numPr>
          <w:ilvl w:val="0"/>
          <w:numId w:val="50"/>
        </w:numPr>
        <w:jc w:val="both"/>
        <w:rPr>
          <w:rFonts w:cs="Times New Roman"/>
          <w:bCs/>
        </w:rPr>
      </w:pPr>
      <w:r w:rsidRPr="009249D1">
        <w:rPr>
          <w:rFonts w:cs="Times New Roman"/>
          <w:b/>
          <w:bCs/>
        </w:rPr>
        <w:t>Framework for understanding the drivers behind firm productivity.</w:t>
      </w:r>
      <w:r w:rsidRPr="009249D1">
        <w:rPr>
          <w:rFonts w:cs="Times New Roman"/>
          <w:bCs/>
        </w:rPr>
        <w:t xml:space="preserve"> </w:t>
      </w:r>
      <w:r w:rsidR="00677C62" w:rsidRPr="00677C62">
        <w:rPr>
          <w:rFonts w:cs="Times New Roman"/>
          <w:bCs/>
        </w:rPr>
        <w:t xml:space="preserve">Understanding what constrains productivity of enterprises is critical for improving performance. </w:t>
      </w:r>
      <w:r w:rsidR="00FE4411">
        <w:rPr>
          <w:rFonts w:cs="Times New Roman"/>
          <w:bCs/>
        </w:rPr>
        <w:t>As f</w:t>
      </w:r>
      <w:r w:rsidRPr="009249D1">
        <w:rPr>
          <w:rFonts w:cs="Times New Roman"/>
          <w:bCs/>
        </w:rPr>
        <w:t>igure</w:t>
      </w:r>
      <w:r w:rsidR="004B4DA0">
        <w:rPr>
          <w:rFonts w:cs="Times New Roman"/>
          <w:bCs/>
        </w:rPr>
        <w:t xml:space="preserve">10 </w:t>
      </w:r>
      <w:r w:rsidRPr="009249D1">
        <w:rPr>
          <w:rFonts w:cs="Times New Roman"/>
          <w:bCs/>
        </w:rPr>
        <w:t>indicates</w:t>
      </w:r>
      <w:r w:rsidR="00FE4411">
        <w:rPr>
          <w:rFonts w:cs="Times New Roman"/>
          <w:bCs/>
        </w:rPr>
        <w:t xml:space="preserve"> </w:t>
      </w:r>
      <w:r w:rsidR="000A3497">
        <w:rPr>
          <w:rFonts w:cs="Times New Roman"/>
          <w:bCs/>
        </w:rPr>
        <w:t>above</w:t>
      </w:r>
      <w:r w:rsidR="00FE4411">
        <w:rPr>
          <w:rFonts w:cs="Times New Roman"/>
          <w:bCs/>
        </w:rPr>
        <w:t xml:space="preserve">, </w:t>
      </w:r>
      <w:r w:rsidRPr="009249D1">
        <w:rPr>
          <w:rFonts w:cs="Times New Roman"/>
          <w:bCs/>
        </w:rPr>
        <w:t>productivity growth can be decomposed in three main components: the reallocation of resources from low-productivity firms to high-productivity firms (the “between” component); increases in productivity through upgrading within existing firms (the “within” component); and entry of high-productivity and exit of low-productivity firms (the “selection” component).</w:t>
      </w:r>
      <w:r w:rsidR="0060522F">
        <w:rPr>
          <w:rStyle w:val="EndnoteReference"/>
          <w:rFonts w:cs="Times New Roman"/>
          <w:bCs/>
        </w:rPr>
        <w:endnoteReference w:id="24"/>
      </w:r>
      <w:r w:rsidRPr="009249D1">
        <w:rPr>
          <w:rFonts w:cs="Times New Roman"/>
          <w:bCs/>
        </w:rPr>
        <w:t>All three channels of productivity are influenced by external factors that pertain to government policies and market conditions, and are deemed outside the control of individual firms.</w:t>
      </w:r>
      <w:r w:rsidR="00051622">
        <w:rPr>
          <w:rStyle w:val="EndnoteReference"/>
          <w:rFonts w:cs="Times New Roman"/>
          <w:bCs/>
        </w:rPr>
        <w:endnoteReference w:id="25"/>
      </w:r>
      <w:r w:rsidRPr="009249D1">
        <w:rPr>
          <w:rFonts w:cs="Times New Roman"/>
          <w:bCs/>
          <w:vertAlign w:val="superscript"/>
        </w:rPr>
        <w:t xml:space="preserve"> </w:t>
      </w:r>
      <w:r w:rsidRPr="009249D1">
        <w:rPr>
          <w:rFonts w:cs="Times New Roman"/>
          <w:bCs/>
        </w:rPr>
        <w:t xml:space="preserve">For upgrading of existing firms and entry of new firms - in addition to the external factors - internal factors related to entrepreneurial and managerial capabilities and technology adoption/innovation are considered central.  In other words, while improving the operating environment of the firms (resolving market failures, removing distortions, and opening to trade) is necessary, it may not be </w:t>
      </w:r>
      <w:proofErr w:type="gramStart"/>
      <w:r w:rsidRPr="009249D1">
        <w:rPr>
          <w:rFonts w:cs="Times New Roman"/>
          <w:bCs/>
        </w:rPr>
        <w:t>sufficient</w:t>
      </w:r>
      <w:proofErr w:type="gramEnd"/>
      <w:r w:rsidRPr="009249D1">
        <w:rPr>
          <w:rFonts w:cs="Times New Roman"/>
          <w:bCs/>
        </w:rPr>
        <w:t xml:space="preserve"> unless internal firm level human capital weaknesses under the control of individual firms are not addressed.</w:t>
      </w:r>
    </w:p>
    <w:p w14:paraId="6DB65F80" w14:textId="0829097C" w:rsidR="00363065" w:rsidRPr="000A3497" w:rsidRDefault="003E6BFD" w:rsidP="000A3497">
      <w:pPr>
        <w:pStyle w:val="ListParagraph"/>
        <w:ind w:left="360"/>
        <w:jc w:val="both"/>
      </w:pPr>
      <w:r w:rsidRPr="0006683D">
        <w:t xml:space="preserve"> </w:t>
      </w:r>
    </w:p>
    <w:p w14:paraId="1C957F27" w14:textId="1E00B6A2" w:rsidR="000F35E7" w:rsidRPr="00DE100F" w:rsidRDefault="00D50489" w:rsidP="00DE100F">
      <w:pPr>
        <w:pStyle w:val="ListParagraph"/>
        <w:numPr>
          <w:ilvl w:val="0"/>
          <w:numId w:val="50"/>
        </w:numPr>
        <w:jc w:val="both"/>
        <w:rPr>
          <w:rFonts w:cs="Times New Roman"/>
          <w:bCs/>
          <w:sz w:val="24"/>
          <w:szCs w:val="24"/>
        </w:rPr>
      </w:pPr>
      <w:r>
        <w:rPr>
          <w:rFonts w:cs="Times New Roman"/>
          <w:b/>
        </w:rPr>
        <w:t>F</w:t>
      </w:r>
      <w:r w:rsidR="00363065" w:rsidRPr="009249D1">
        <w:rPr>
          <w:rFonts w:cs="Times New Roman"/>
          <w:b/>
        </w:rPr>
        <w:t>actors</w:t>
      </w:r>
      <w:r w:rsidR="00A26481">
        <w:rPr>
          <w:rFonts w:cs="Times New Roman"/>
          <w:b/>
        </w:rPr>
        <w:t xml:space="preserve"> constraining</w:t>
      </w:r>
      <w:r w:rsidR="00363065" w:rsidRPr="009249D1">
        <w:rPr>
          <w:rFonts w:cs="Times New Roman"/>
          <w:b/>
        </w:rPr>
        <w:t xml:space="preserve"> productivity in </w:t>
      </w:r>
      <w:r w:rsidR="004558E2">
        <w:rPr>
          <w:rFonts w:cs="Times New Roman"/>
          <w:b/>
        </w:rPr>
        <w:t xml:space="preserve">the </w:t>
      </w:r>
      <w:r w:rsidR="00363065" w:rsidRPr="009249D1">
        <w:rPr>
          <w:rFonts w:cs="Times New Roman"/>
          <w:b/>
        </w:rPr>
        <w:t>Philippines.</w:t>
      </w:r>
      <w:r w:rsidR="00F556B9">
        <w:rPr>
          <w:rStyle w:val="EndnoteReference"/>
          <w:rFonts w:cs="Times New Roman"/>
          <w:b/>
        </w:rPr>
        <w:endnoteReference w:id="26"/>
      </w:r>
      <w:r w:rsidR="00F556B9">
        <w:rPr>
          <w:rFonts w:cs="Times New Roman"/>
          <w:b/>
        </w:rPr>
        <w:t xml:space="preserve"> </w:t>
      </w:r>
      <w:r w:rsidR="00CC6BC0">
        <w:rPr>
          <w:rFonts w:cs="Times New Roman"/>
        </w:rPr>
        <w:t>R</w:t>
      </w:r>
      <w:r w:rsidR="00C13EBA" w:rsidRPr="009249D1">
        <w:rPr>
          <w:rFonts w:cs="Times New Roman"/>
        </w:rPr>
        <w:t xml:space="preserve">ecent </w:t>
      </w:r>
      <w:r w:rsidR="00CC6BC0">
        <w:rPr>
          <w:rFonts w:cs="Times New Roman"/>
        </w:rPr>
        <w:t xml:space="preserve">empirical work </w:t>
      </w:r>
      <w:r w:rsidR="00B07024">
        <w:rPr>
          <w:rFonts w:cs="Times New Roman"/>
        </w:rPr>
        <w:t xml:space="preserve">that has </w:t>
      </w:r>
      <w:r w:rsidR="00B07024" w:rsidRPr="00B07024">
        <w:rPr>
          <w:rFonts w:cs="Times New Roman"/>
        </w:rPr>
        <w:t>analyze</w:t>
      </w:r>
      <w:r w:rsidR="00B07024">
        <w:rPr>
          <w:rFonts w:cs="Times New Roman"/>
        </w:rPr>
        <w:t>d</w:t>
      </w:r>
      <w:r w:rsidR="00B07024" w:rsidRPr="00B07024">
        <w:rPr>
          <w:rFonts w:cs="Times New Roman"/>
        </w:rPr>
        <w:t xml:space="preserve"> productivity and growth in the Philippines </w:t>
      </w:r>
      <w:r w:rsidR="000836D5">
        <w:rPr>
          <w:rFonts w:cs="Times New Roman"/>
        </w:rPr>
        <w:t xml:space="preserve">has </w:t>
      </w:r>
      <w:r w:rsidR="00CC6BC0">
        <w:rPr>
          <w:rFonts w:cs="Times New Roman"/>
        </w:rPr>
        <w:t xml:space="preserve">identified the following </w:t>
      </w:r>
      <w:r w:rsidR="00C13EBA" w:rsidRPr="009249D1">
        <w:rPr>
          <w:rFonts w:cs="Times New Roman"/>
        </w:rPr>
        <w:t>key constraints that enterprises face include cumbersome business environment, informality, poor access to markets, weak access to finance, particularly early stage financing, access to technology and skills, and deficient infrastructure</w:t>
      </w:r>
      <w:r w:rsidR="00CC6BC0">
        <w:rPr>
          <w:rFonts w:cs="Times New Roman"/>
        </w:rPr>
        <w:t xml:space="preserve"> (WB, 2017)</w:t>
      </w:r>
      <w:r w:rsidR="00C13EBA" w:rsidRPr="009249D1">
        <w:rPr>
          <w:rFonts w:cs="Times New Roman"/>
        </w:rPr>
        <w:t xml:space="preserve">. Building on this work, this section </w:t>
      </w:r>
      <w:r w:rsidR="00457CED">
        <w:rPr>
          <w:rFonts w:cs="Times New Roman"/>
        </w:rPr>
        <w:t>foll</w:t>
      </w:r>
      <w:r w:rsidR="00D83CDC">
        <w:rPr>
          <w:rFonts w:cs="Times New Roman"/>
        </w:rPr>
        <w:t>ows the framework outlined</w:t>
      </w:r>
      <w:r w:rsidR="00E53674">
        <w:rPr>
          <w:rFonts w:cs="Times New Roman"/>
        </w:rPr>
        <w:t xml:space="preserve"> in Figure </w:t>
      </w:r>
      <w:r w:rsidR="00556A20">
        <w:rPr>
          <w:rFonts w:cs="Times New Roman"/>
        </w:rPr>
        <w:t>10</w:t>
      </w:r>
      <w:r w:rsidR="00D23C5D">
        <w:rPr>
          <w:rFonts w:cs="Times New Roman"/>
        </w:rPr>
        <w:t xml:space="preserve"> </w:t>
      </w:r>
      <w:r w:rsidR="000B3CC6">
        <w:rPr>
          <w:rFonts w:cs="Times New Roman"/>
        </w:rPr>
        <w:t xml:space="preserve">to identify </w:t>
      </w:r>
      <w:r w:rsidR="00C13EBA" w:rsidRPr="009249D1">
        <w:rPr>
          <w:rFonts w:cs="Times New Roman"/>
        </w:rPr>
        <w:t>priorit</w:t>
      </w:r>
      <w:r w:rsidR="009770E1">
        <w:rPr>
          <w:rFonts w:cs="Times New Roman"/>
        </w:rPr>
        <w:t xml:space="preserve">y areas where </w:t>
      </w:r>
      <w:r w:rsidR="00C13EBA" w:rsidRPr="009249D1">
        <w:rPr>
          <w:rFonts w:cs="Times New Roman"/>
        </w:rPr>
        <w:t xml:space="preserve">public policy </w:t>
      </w:r>
      <w:r w:rsidR="009770E1">
        <w:rPr>
          <w:rFonts w:cs="Times New Roman"/>
        </w:rPr>
        <w:t xml:space="preserve">to support MSMEs should focus. </w:t>
      </w:r>
      <w:r w:rsidR="00C13EBA" w:rsidRPr="009249D1">
        <w:rPr>
          <w:rFonts w:cs="Times New Roman"/>
        </w:rPr>
        <w:t>In undertaking the prioritization, Philippines is benchmarked vis a vis its peers.</w:t>
      </w:r>
      <w:r w:rsidR="00E36688">
        <w:rPr>
          <w:rFonts w:cs="Times New Roman"/>
        </w:rPr>
        <w:t xml:space="preserve"> The </w:t>
      </w:r>
      <w:r w:rsidR="008D76AB">
        <w:rPr>
          <w:rFonts w:cs="Times New Roman"/>
        </w:rPr>
        <w:t xml:space="preserve">first section reviews </w:t>
      </w:r>
      <w:r w:rsidR="009C1E00">
        <w:rPr>
          <w:rFonts w:cs="Times New Roman"/>
        </w:rPr>
        <w:t>the</w:t>
      </w:r>
      <w:r w:rsidR="00EB54F7" w:rsidRPr="00751F8B">
        <w:rPr>
          <w:rFonts w:cs="Times New Roman"/>
        </w:rPr>
        <w:t xml:space="preserve"> </w:t>
      </w:r>
      <w:r w:rsidR="00887FAC" w:rsidRPr="00DE100F">
        <w:rPr>
          <w:rFonts w:cs="Times New Roman"/>
          <w:i/>
        </w:rPr>
        <w:t>external factors</w:t>
      </w:r>
      <w:r w:rsidR="00887FAC" w:rsidRPr="00751F8B">
        <w:rPr>
          <w:rFonts w:cs="Times New Roman"/>
        </w:rPr>
        <w:t xml:space="preserve"> pertain</w:t>
      </w:r>
      <w:r w:rsidR="008C1F27" w:rsidRPr="00751F8B">
        <w:rPr>
          <w:rFonts w:cs="Times New Roman"/>
        </w:rPr>
        <w:t>ing</w:t>
      </w:r>
      <w:r w:rsidR="00887FAC" w:rsidRPr="00751F8B">
        <w:rPr>
          <w:rFonts w:cs="Times New Roman"/>
        </w:rPr>
        <w:t xml:space="preserve"> to government policies that affect the </w:t>
      </w:r>
      <w:r w:rsidR="00887FAC" w:rsidRPr="00690230">
        <w:rPr>
          <w:rFonts w:cs="Times New Roman"/>
          <w:i/>
        </w:rPr>
        <w:t>operating environment</w:t>
      </w:r>
      <w:r w:rsidR="00887FAC" w:rsidRPr="00751F8B">
        <w:rPr>
          <w:rFonts w:cs="Times New Roman"/>
        </w:rPr>
        <w:t xml:space="preserve"> of the firms (i.e.</w:t>
      </w:r>
      <w:r w:rsidR="00C00987" w:rsidRPr="00751F8B">
        <w:rPr>
          <w:rFonts w:cs="Times New Roman"/>
        </w:rPr>
        <w:t xml:space="preserve"> regulatory and competition framework, </w:t>
      </w:r>
      <w:r w:rsidR="00887FAC" w:rsidRPr="00751F8B">
        <w:rPr>
          <w:rFonts w:cs="Times New Roman"/>
        </w:rPr>
        <w:t xml:space="preserve">resolving market failures, removing distortions, and opening to trade) as well as other </w:t>
      </w:r>
      <w:r w:rsidR="00887FAC" w:rsidRPr="009E3FD5">
        <w:rPr>
          <w:rFonts w:cs="Times New Roman"/>
        </w:rPr>
        <w:t xml:space="preserve">market conditions that affect </w:t>
      </w:r>
      <w:r w:rsidR="00887FAC" w:rsidRPr="009E3FD5">
        <w:rPr>
          <w:rFonts w:cs="Times New Roman"/>
          <w:i/>
        </w:rPr>
        <w:t>complementary factors</w:t>
      </w:r>
      <w:r w:rsidR="00887FAC" w:rsidRPr="009E3FD5">
        <w:rPr>
          <w:rFonts w:cs="Times New Roman"/>
        </w:rPr>
        <w:t xml:space="preserve"> (i.e. access to finance, skills and infrastructure etc.).</w:t>
      </w:r>
      <w:r w:rsidR="00DE100F" w:rsidRPr="009E3FD5">
        <w:rPr>
          <w:rFonts w:cs="Times New Roman"/>
          <w:bCs/>
        </w:rPr>
        <w:t xml:space="preserve"> The second section </w:t>
      </w:r>
      <w:r w:rsidR="009E3FD5" w:rsidRPr="009E3FD5">
        <w:rPr>
          <w:rFonts w:cs="Times New Roman"/>
          <w:bCs/>
        </w:rPr>
        <w:t xml:space="preserve">focuses on </w:t>
      </w:r>
      <w:r w:rsidR="009E3FD5" w:rsidRPr="006675C5">
        <w:rPr>
          <w:rFonts w:cs="Times New Roman"/>
          <w:bCs/>
          <w:i/>
        </w:rPr>
        <w:t>i</w:t>
      </w:r>
      <w:r w:rsidR="000F35E7" w:rsidRPr="006675C5">
        <w:rPr>
          <w:rFonts w:cs="Times New Roman"/>
          <w:bCs/>
          <w:i/>
        </w:rPr>
        <w:t>nternal firm factors</w:t>
      </w:r>
      <w:r w:rsidR="000F35E7" w:rsidRPr="009E3FD5">
        <w:rPr>
          <w:rFonts w:cs="Times New Roman"/>
          <w:bCs/>
        </w:rPr>
        <w:t xml:space="preserve"> relate to entrepreneurial and managerial capabilities and technology adoption/innovation which are considered central for raising productivity. </w:t>
      </w:r>
      <w:r w:rsidR="00045C50">
        <w:rPr>
          <w:rFonts w:cs="Times New Roman"/>
          <w:bCs/>
        </w:rPr>
        <w:t>In</w:t>
      </w:r>
      <w:r w:rsidR="00126CC2">
        <w:rPr>
          <w:rFonts w:cs="Times New Roman"/>
          <w:bCs/>
        </w:rPr>
        <w:t xml:space="preserve"> undertaking the analysis, </w:t>
      </w:r>
      <w:r w:rsidR="003F3DDC">
        <w:rPr>
          <w:rFonts w:cs="Times New Roman"/>
          <w:bCs/>
        </w:rPr>
        <w:t xml:space="preserve">differences across </w:t>
      </w:r>
      <w:r w:rsidR="006A6CF7" w:rsidRPr="006A6CF7">
        <w:rPr>
          <w:rFonts w:cs="Times New Roman"/>
          <w:bCs/>
        </w:rPr>
        <w:t xml:space="preserve">established MSMEs vis a vis new entrants/early-stage entrepreneurs </w:t>
      </w:r>
      <w:r w:rsidR="004068D7">
        <w:rPr>
          <w:rFonts w:cs="Times New Roman"/>
          <w:bCs/>
        </w:rPr>
        <w:t xml:space="preserve">will be highlighted where </w:t>
      </w:r>
      <w:r w:rsidR="006E657B">
        <w:rPr>
          <w:rFonts w:cs="Times New Roman"/>
          <w:bCs/>
        </w:rPr>
        <w:t>observed.</w:t>
      </w:r>
    </w:p>
    <w:p w14:paraId="261FFE8F" w14:textId="53445A64" w:rsidR="000C0A1A" w:rsidRDefault="000C0A1A">
      <w:pPr>
        <w:pStyle w:val="ListParagraph"/>
        <w:ind w:left="360"/>
        <w:jc w:val="both"/>
        <w:rPr>
          <w:rFonts w:cs="Times New Roman"/>
          <w:bCs/>
          <w:sz w:val="24"/>
          <w:szCs w:val="24"/>
        </w:rPr>
      </w:pPr>
    </w:p>
    <w:p w14:paraId="004C9C7A" w14:textId="0F726D87" w:rsidR="00B07024" w:rsidRPr="00B32B11" w:rsidRDefault="006E657B" w:rsidP="00B32B11">
      <w:pPr>
        <w:pStyle w:val="Heading1"/>
        <w:rPr>
          <w:i/>
          <w:sz w:val="24"/>
          <w:szCs w:val="24"/>
        </w:rPr>
      </w:pPr>
      <w:bookmarkStart w:id="37" w:name="_Toc12503516"/>
      <w:r w:rsidRPr="00B32B11">
        <w:rPr>
          <w:i/>
          <w:sz w:val="24"/>
          <w:szCs w:val="24"/>
        </w:rPr>
        <w:t>External factors</w:t>
      </w:r>
      <w:r w:rsidR="00665495" w:rsidRPr="00B32B11">
        <w:rPr>
          <w:i/>
          <w:sz w:val="24"/>
          <w:szCs w:val="24"/>
        </w:rPr>
        <w:t xml:space="preserve">: </w:t>
      </w:r>
      <w:r w:rsidR="001F1518" w:rsidRPr="00B32B11">
        <w:rPr>
          <w:i/>
          <w:sz w:val="24"/>
          <w:szCs w:val="24"/>
        </w:rPr>
        <w:t xml:space="preserve">operating </w:t>
      </w:r>
      <w:r w:rsidR="0028663D" w:rsidRPr="00B32B11">
        <w:rPr>
          <w:i/>
          <w:sz w:val="24"/>
          <w:szCs w:val="24"/>
        </w:rPr>
        <w:t>environment for MSMEs</w:t>
      </w:r>
      <w:bookmarkEnd w:id="37"/>
    </w:p>
    <w:p w14:paraId="33E08C9D" w14:textId="77777777" w:rsidR="00DB4656" w:rsidRPr="009249D1" w:rsidRDefault="00DB4656" w:rsidP="009249D1">
      <w:pPr>
        <w:pStyle w:val="ListParagraph"/>
        <w:ind w:left="360"/>
        <w:jc w:val="both"/>
        <w:rPr>
          <w:rFonts w:cs="Times New Roman"/>
          <w:bCs/>
          <w:i/>
          <w:color w:val="0070C0"/>
        </w:rPr>
      </w:pPr>
    </w:p>
    <w:p w14:paraId="63341C28" w14:textId="2F4E8B22" w:rsidR="006A1B0B" w:rsidRPr="006A1B0B" w:rsidRDefault="006A1B0B" w:rsidP="006A1B0B">
      <w:pPr>
        <w:pStyle w:val="ListParagraph"/>
        <w:numPr>
          <w:ilvl w:val="0"/>
          <w:numId w:val="50"/>
        </w:numPr>
        <w:jc w:val="both"/>
        <w:rPr>
          <w:rFonts w:eastAsia="Times New Roman" w:cs="Times New Roman"/>
        </w:rPr>
      </w:pPr>
      <w:r w:rsidRPr="006A1B0B">
        <w:rPr>
          <w:rFonts w:eastAsia="Times New Roman" w:cs="Times New Roman"/>
        </w:rPr>
        <w:t xml:space="preserve">The first set of variables on the demand side comprises the </w:t>
      </w:r>
      <w:r>
        <w:rPr>
          <w:rFonts w:eastAsia="Times New Roman" w:cs="Times New Roman"/>
        </w:rPr>
        <w:t>operating environment for MSME</w:t>
      </w:r>
      <w:r w:rsidR="00C23C98">
        <w:rPr>
          <w:rFonts w:eastAsia="Times New Roman" w:cs="Times New Roman"/>
        </w:rPr>
        <w:t>s</w:t>
      </w:r>
      <w:r>
        <w:rPr>
          <w:rFonts w:eastAsia="Times New Roman" w:cs="Times New Roman"/>
        </w:rPr>
        <w:t xml:space="preserve"> that affects the </w:t>
      </w:r>
      <w:r w:rsidRPr="006A1B0B">
        <w:rPr>
          <w:rFonts w:eastAsia="Times New Roman" w:cs="Times New Roman"/>
        </w:rPr>
        <w:t xml:space="preserve">overall set of incentives to invest and accumulate. This includes the macro context, </w:t>
      </w:r>
      <w:proofErr w:type="gramStart"/>
      <w:r w:rsidRPr="006A1B0B">
        <w:rPr>
          <w:rFonts w:eastAsia="Times New Roman" w:cs="Times New Roman"/>
        </w:rPr>
        <w:t>in particular the</w:t>
      </w:r>
      <w:proofErr w:type="gramEnd"/>
      <w:r w:rsidRPr="006A1B0B">
        <w:rPr>
          <w:rFonts w:eastAsia="Times New Roman" w:cs="Times New Roman"/>
        </w:rPr>
        <w:t xml:space="preserve"> </w:t>
      </w:r>
      <w:r>
        <w:rPr>
          <w:rFonts w:eastAsia="Times New Roman" w:cs="Times New Roman"/>
        </w:rPr>
        <w:t xml:space="preserve">regulatory cost of doing business, the </w:t>
      </w:r>
      <w:r w:rsidRPr="006A1B0B">
        <w:rPr>
          <w:rFonts w:eastAsia="Times New Roman" w:cs="Times New Roman"/>
        </w:rPr>
        <w:t>competitive structure a</w:t>
      </w:r>
      <w:r>
        <w:rPr>
          <w:rFonts w:eastAsia="Times New Roman" w:cs="Times New Roman"/>
        </w:rPr>
        <w:t xml:space="preserve">s well </w:t>
      </w:r>
      <w:r w:rsidRPr="006A1B0B">
        <w:rPr>
          <w:rFonts w:eastAsia="Times New Roman" w:cs="Times New Roman"/>
        </w:rPr>
        <w:t>trade regime</w:t>
      </w:r>
      <w:r>
        <w:rPr>
          <w:rFonts w:eastAsia="Times New Roman" w:cs="Times New Roman"/>
        </w:rPr>
        <w:t>. The second set</w:t>
      </w:r>
      <w:r w:rsidRPr="006A1B0B">
        <w:rPr>
          <w:rFonts w:eastAsia="Times New Roman" w:cs="Times New Roman"/>
        </w:rPr>
        <w:t xml:space="preserve"> </w:t>
      </w:r>
      <w:r w:rsidR="003D2588">
        <w:rPr>
          <w:rFonts w:eastAsia="Times New Roman" w:cs="Times New Roman"/>
        </w:rPr>
        <w:t>reviews</w:t>
      </w:r>
      <w:r w:rsidR="005338FD">
        <w:rPr>
          <w:rFonts w:eastAsia="Times New Roman" w:cs="Times New Roman"/>
        </w:rPr>
        <w:t xml:space="preserve"> the market </w:t>
      </w:r>
      <w:r w:rsidR="0014251E">
        <w:rPr>
          <w:rFonts w:eastAsia="Times New Roman" w:cs="Times New Roman"/>
        </w:rPr>
        <w:t>conditions that affect the complementary factors needed to invest and accumulate. Lastly</w:t>
      </w:r>
      <w:r w:rsidR="003D2588">
        <w:rPr>
          <w:rFonts w:eastAsia="Times New Roman" w:cs="Times New Roman"/>
        </w:rPr>
        <w:t>,</w:t>
      </w:r>
      <w:r w:rsidRPr="006A1B0B">
        <w:rPr>
          <w:rFonts w:eastAsia="Times New Roman" w:cs="Times New Roman"/>
        </w:rPr>
        <w:t xml:space="preserve"> firm capabilities</w:t>
      </w:r>
      <w:r w:rsidR="003D2588">
        <w:rPr>
          <w:rFonts w:eastAsia="Times New Roman" w:cs="Times New Roman"/>
        </w:rPr>
        <w:t>, technology adoption and</w:t>
      </w:r>
      <w:r w:rsidR="003D2588" w:rsidRPr="003D2588">
        <w:t xml:space="preserve"> </w:t>
      </w:r>
      <w:r w:rsidR="003D2588" w:rsidRPr="003D2588">
        <w:rPr>
          <w:rFonts w:eastAsia="Times New Roman" w:cs="Times New Roman"/>
        </w:rPr>
        <w:t xml:space="preserve">entrepreneurial and managerial capabilities and technology adoption/innovation </w:t>
      </w:r>
      <w:r w:rsidRPr="006A1B0B">
        <w:rPr>
          <w:rFonts w:eastAsia="Times New Roman" w:cs="Times New Roman"/>
        </w:rPr>
        <w:t>are internal to the firm constraints.</w:t>
      </w:r>
    </w:p>
    <w:p w14:paraId="3ED2DAB1" w14:textId="77777777" w:rsidR="006A1B0B" w:rsidRPr="006A1B0B" w:rsidRDefault="006A1B0B" w:rsidP="003D2588">
      <w:pPr>
        <w:pStyle w:val="ListParagraph"/>
        <w:ind w:left="360"/>
        <w:jc w:val="both"/>
        <w:rPr>
          <w:rFonts w:eastAsia="Times New Roman" w:cs="Times New Roman"/>
        </w:rPr>
      </w:pPr>
    </w:p>
    <w:p w14:paraId="57AEE51B" w14:textId="78DE18AA" w:rsidR="00363065" w:rsidRPr="006E6EBD" w:rsidRDefault="00F54145" w:rsidP="009249D1">
      <w:pPr>
        <w:pStyle w:val="ListParagraph"/>
        <w:numPr>
          <w:ilvl w:val="0"/>
          <w:numId w:val="50"/>
        </w:numPr>
        <w:jc w:val="both"/>
        <w:rPr>
          <w:rFonts w:eastAsia="Times New Roman" w:cs="Times New Roman"/>
        </w:rPr>
      </w:pPr>
      <w:r>
        <w:rPr>
          <w:rFonts w:cs="Times New Roman"/>
          <w:b/>
          <w:bCs/>
        </w:rPr>
        <w:t xml:space="preserve">Cost of doing business is high in the Philippines and </w:t>
      </w:r>
      <w:r w:rsidR="00631F09">
        <w:rPr>
          <w:rFonts w:cs="Times New Roman"/>
          <w:b/>
          <w:bCs/>
        </w:rPr>
        <w:t>acts as</w:t>
      </w:r>
      <w:r>
        <w:rPr>
          <w:rFonts w:cs="Times New Roman"/>
          <w:b/>
          <w:bCs/>
        </w:rPr>
        <w:t xml:space="preserve"> deterrent to private sector growth and dynamism. </w:t>
      </w:r>
      <w:r w:rsidR="00363065" w:rsidRPr="009249D1">
        <w:rPr>
          <w:rFonts w:cs="Times New Roman"/>
          <w:bCs/>
        </w:rPr>
        <w:t xml:space="preserve">The overall cost of doing business, underpinned by the regulatory environment, remains high in the Philippines. According to the World Bank’s 2019 </w:t>
      </w:r>
      <w:r w:rsidR="00363065" w:rsidRPr="009249D1">
        <w:rPr>
          <w:rFonts w:cs="Times New Roman"/>
          <w:bCs/>
          <w:i/>
        </w:rPr>
        <w:t xml:space="preserve">Doing Business Report, </w:t>
      </w:r>
      <w:r w:rsidR="00363065" w:rsidRPr="009249D1">
        <w:rPr>
          <w:rFonts w:cs="Times New Roman"/>
          <w:bCs/>
        </w:rPr>
        <w:t>Philippines ranks 124th out of 190 countries, below the regional average and much lower than its aspirational peers like Malaysia that ranks 15</w:t>
      </w:r>
      <w:r w:rsidR="00363065" w:rsidRPr="009249D1">
        <w:rPr>
          <w:rFonts w:cs="Times New Roman"/>
          <w:bCs/>
          <w:vertAlign w:val="superscript"/>
        </w:rPr>
        <w:t>th</w:t>
      </w:r>
      <w:r w:rsidR="00363065" w:rsidRPr="009249D1">
        <w:rPr>
          <w:rFonts w:cs="Times New Roman"/>
          <w:bCs/>
        </w:rPr>
        <w:t xml:space="preserve"> (see Fig</w:t>
      </w:r>
      <w:r w:rsidR="00363065" w:rsidRPr="00617EC9">
        <w:rPr>
          <w:rFonts w:cs="Times New Roman"/>
          <w:bCs/>
        </w:rPr>
        <w:t xml:space="preserve">. </w:t>
      </w:r>
      <w:r w:rsidR="00411956">
        <w:rPr>
          <w:rFonts w:cs="Times New Roman"/>
          <w:bCs/>
        </w:rPr>
        <w:t>11</w:t>
      </w:r>
      <w:r w:rsidR="00363065" w:rsidRPr="00617EC9">
        <w:rPr>
          <w:rFonts w:cs="Times New Roman"/>
          <w:bCs/>
        </w:rPr>
        <w:t>).</w:t>
      </w:r>
      <w:r w:rsidR="00363065" w:rsidRPr="00617EC9">
        <w:rPr>
          <w:rFonts w:eastAsia="Times New Roman" w:cs="Times New Roman"/>
          <w:vertAlign w:val="superscript"/>
        </w:rPr>
        <w:footnoteReference w:id="5"/>
      </w:r>
      <w:r w:rsidR="00363065" w:rsidRPr="009249D1">
        <w:rPr>
          <w:rFonts w:cs="Times New Roman"/>
          <w:bCs/>
        </w:rPr>
        <w:tab/>
      </w:r>
    </w:p>
    <w:p w14:paraId="29A5E1E5" w14:textId="77777777" w:rsidR="006E6EBD" w:rsidRPr="00803C54" w:rsidRDefault="006E6EBD" w:rsidP="006E6EBD">
      <w:pPr>
        <w:pStyle w:val="ListParagraph"/>
        <w:ind w:left="360"/>
        <w:jc w:val="both"/>
        <w:rPr>
          <w:rFonts w:eastAsia="Times New Roman" w:cs="Times New Roman"/>
        </w:rPr>
      </w:pPr>
    </w:p>
    <w:p w14:paraId="6B982FD2" w14:textId="704B47D8" w:rsidR="00363065" w:rsidRPr="006E6EBD" w:rsidRDefault="00B55279" w:rsidP="00363065">
      <w:pPr>
        <w:pStyle w:val="ListParagraph"/>
        <w:numPr>
          <w:ilvl w:val="0"/>
          <w:numId w:val="50"/>
        </w:numPr>
        <w:jc w:val="both"/>
        <w:rPr>
          <w:rFonts w:eastAsia="Times New Roman" w:cs="Times New Roman"/>
        </w:rPr>
      </w:pPr>
      <w:r w:rsidRPr="00B55279">
        <w:rPr>
          <w:rFonts w:eastAsia="Times New Roman" w:cs="Times New Roman"/>
          <w:b/>
        </w:rPr>
        <w:t>It is not easy to establish a business in the Philippines.</w:t>
      </w:r>
      <w:r>
        <w:rPr>
          <w:rFonts w:eastAsia="Times New Roman" w:cs="Times New Roman"/>
        </w:rPr>
        <w:t xml:space="preserve"> </w:t>
      </w:r>
      <w:r w:rsidR="00803C54" w:rsidRPr="00803C54">
        <w:rPr>
          <w:rFonts w:eastAsia="Times New Roman" w:cs="Times New Roman"/>
        </w:rPr>
        <w:t>Ease of starting businesses in the Philippines remains relatively burdensome, although there are government efforts to address these constraints. With respect to the ease of starting a business, Philippines ranks 166th out of 190 economies</w:t>
      </w:r>
      <w:r w:rsidR="004461F1">
        <w:rPr>
          <w:rFonts w:eastAsia="Times New Roman" w:cs="Times New Roman"/>
        </w:rPr>
        <w:t xml:space="preserve"> (Fig </w:t>
      </w:r>
      <w:r w:rsidR="00E26C43">
        <w:rPr>
          <w:rFonts w:eastAsia="Times New Roman" w:cs="Times New Roman"/>
        </w:rPr>
        <w:t>11</w:t>
      </w:r>
      <w:r w:rsidR="004461F1">
        <w:rPr>
          <w:rFonts w:eastAsia="Times New Roman" w:cs="Times New Roman"/>
        </w:rPr>
        <w:t>)</w:t>
      </w:r>
      <w:r w:rsidR="00803C54" w:rsidRPr="00803C54">
        <w:rPr>
          <w:rFonts w:eastAsia="Times New Roman" w:cs="Times New Roman"/>
        </w:rPr>
        <w:t xml:space="preserve">.  The high entry costs discourage firms from entering markets, dampening the productivity-enhancing effect of “creative destruction”. In 2018, </w:t>
      </w:r>
      <w:r w:rsidR="006E6EBD">
        <w:rPr>
          <w:rFonts w:eastAsia="Times New Roman" w:cs="Times New Roman"/>
        </w:rPr>
        <w:t>it</w:t>
      </w:r>
      <w:r w:rsidR="00803C54" w:rsidRPr="00803C54">
        <w:rPr>
          <w:rFonts w:eastAsia="Times New Roman" w:cs="Times New Roman"/>
        </w:rPr>
        <w:t xml:space="preserve"> </w:t>
      </w:r>
      <w:r w:rsidR="004461F1">
        <w:rPr>
          <w:rFonts w:eastAsia="Times New Roman" w:cs="Times New Roman"/>
        </w:rPr>
        <w:t>took</w:t>
      </w:r>
      <w:r w:rsidR="00803C54" w:rsidRPr="00803C54">
        <w:rPr>
          <w:rFonts w:eastAsia="Times New Roman" w:cs="Times New Roman"/>
        </w:rPr>
        <w:t xml:space="preserve"> 31 days and 13 procedures to start a </w:t>
      </w:r>
      <w:r w:rsidR="006E6EBD">
        <w:rPr>
          <w:rFonts w:eastAsia="Times New Roman" w:cs="Times New Roman"/>
        </w:rPr>
        <w:t>business in the Philippine</w:t>
      </w:r>
      <w:r w:rsidR="00803C54" w:rsidRPr="00803C54">
        <w:rPr>
          <w:rFonts w:eastAsia="Times New Roman" w:cs="Times New Roman"/>
        </w:rPr>
        <w:t xml:space="preserve">s, way above the East Asian average. Also, up to 16 licenses, permits, and forms must be approved before a business can start its operations (compared to 4 procedures in Morocco and 9 procedures apiece in China, Malaysia and Vietnam). In practice, securing these licenses may take even longer in some cases: it can take more than 4 months for incorporation alone, as registering a business is a multi-step, fragmented, and a roundabout process. There may also be unofficial procedures asked for by other departments, since there is no central or online destination for business registry in the country.  Currently, </w:t>
      </w:r>
      <w:proofErr w:type="spellStart"/>
      <w:r w:rsidR="00803C54" w:rsidRPr="00803C54">
        <w:rPr>
          <w:rFonts w:eastAsia="Times New Roman" w:cs="Times New Roman"/>
        </w:rPr>
        <w:t>GoP</w:t>
      </w:r>
      <w:proofErr w:type="spellEnd"/>
      <w:r w:rsidR="00803C54" w:rsidRPr="00803C54">
        <w:rPr>
          <w:rFonts w:eastAsia="Times New Roman" w:cs="Times New Roman"/>
        </w:rPr>
        <w:t xml:space="preserve"> has established </w:t>
      </w:r>
      <w:proofErr w:type="spellStart"/>
      <w:r w:rsidR="00803C54" w:rsidRPr="00803C54">
        <w:rPr>
          <w:rFonts w:eastAsia="Times New Roman" w:cs="Times New Roman"/>
        </w:rPr>
        <w:t>GoNegosyo</w:t>
      </w:r>
      <w:proofErr w:type="spellEnd"/>
      <w:r w:rsidR="00803C54" w:rsidRPr="00803C54">
        <w:rPr>
          <w:rFonts w:eastAsia="Times New Roman" w:cs="Times New Roman"/>
        </w:rPr>
        <w:t xml:space="preserve"> centers to target some of these issues by providing a central place for business registration assistance, advisory services, information and advocacy, and monitoring and evaluation. </w:t>
      </w:r>
    </w:p>
    <w:p w14:paraId="486F8486" w14:textId="206D9C89" w:rsidR="00363065" w:rsidRPr="00363065" w:rsidRDefault="00363065" w:rsidP="00EE62A9">
      <w:pPr>
        <w:ind w:left="360"/>
        <w:contextualSpacing/>
        <w:jc w:val="center"/>
        <w:rPr>
          <w:rFonts w:eastAsia="Times New Roman" w:cs="Times New Roman"/>
          <w:sz w:val="24"/>
          <w:szCs w:val="24"/>
        </w:rPr>
      </w:pPr>
      <w:r w:rsidRPr="00363065">
        <w:rPr>
          <w:rFonts w:cs="Times New Roman"/>
          <w:b/>
          <w:bCs/>
        </w:rPr>
        <w:t xml:space="preserve">Figure </w:t>
      </w:r>
      <w:r w:rsidR="00E26C43">
        <w:rPr>
          <w:rFonts w:cs="Times New Roman"/>
          <w:b/>
          <w:bCs/>
        </w:rPr>
        <w:t>11</w:t>
      </w:r>
      <w:r w:rsidRPr="00363065">
        <w:rPr>
          <w:rFonts w:cs="Times New Roman"/>
          <w:b/>
          <w:bCs/>
        </w:rPr>
        <w:t xml:space="preserve">: Ease of Doing Business </w:t>
      </w:r>
      <w:r w:rsidR="00EE62A9">
        <w:rPr>
          <w:rFonts w:cs="Times New Roman"/>
          <w:b/>
          <w:bCs/>
        </w:rPr>
        <w:t xml:space="preserve">and starting a Business </w:t>
      </w:r>
      <w:r w:rsidRPr="00363065">
        <w:rPr>
          <w:rFonts w:cs="Times New Roman"/>
          <w:b/>
          <w:bCs/>
        </w:rPr>
        <w:t xml:space="preserve">in Philippines </w:t>
      </w:r>
      <w:r w:rsidR="005C1960">
        <w:rPr>
          <w:rFonts w:cs="Times New Roman"/>
          <w:b/>
          <w:bCs/>
        </w:rPr>
        <w:t>vis a vis</w:t>
      </w:r>
      <w:r w:rsidRPr="00363065">
        <w:rPr>
          <w:rFonts w:cs="Times New Roman"/>
          <w:b/>
          <w:bCs/>
        </w:rPr>
        <w:t xml:space="preserve"> </w:t>
      </w:r>
      <w:proofErr w:type="gramStart"/>
      <w:r w:rsidRPr="00363065">
        <w:rPr>
          <w:rFonts w:cs="Times New Roman"/>
          <w:b/>
          <w:bCs/>
        </w:rPr>
        <w:t>regional peers</w:t>
      </w:r>
      <w:proofErr w:type="gramEnd"/>
    </w:p>
    <w:p w14:paraId="793BDE9F" w14:textId="04CC7F6D" w:rsidR="00363065" w:rsidRPr="00363065" w:rsidRDefault="00363065" w:rsidP="00363065">
      <w:pPr>
        <w:ind w:left="360"/>
        <w:contextualSpacing/>
        <w:jc w:val="both"/>
        <w:rPr>
          <w:rFonts w:cs="Times New Roman"/>
          <w:bCs/>
          <w:sz w:val="24"/>
          <w:szCs w:val="24"/>
        </w:rPr>
      </w:pPr>
      <w:r w:rsidRPr="00363065">
        <w:rPr>
          <w:rFonts w:cs="Times New Roman"/>
          <w:bCs/>
          <w:sz w:val="24"/>
          <w:szCs w:val="24"/>
        </w:rPr>
        <w:tab/>
      </w:r>
      <w:bookmarkStart w:id="38" w:name="_GoBack"/>
      <w:r w:rsidR="00EE62A9" w:rsidRPr="00363065">
        <w:rPr>
          <w:rFonts w:asciiTheme="minorHAnsi" w:hAnsiTheme="minorHAnsi"/>
          <w:noProof/>
        </w:rPr>
        <w:drawing>
          <wp:inline distT="0" distB="0" distL="0" distR="0" wp14:anchorId="4662630F" wp14:editId="2B4DF27B">
            <wp:extent cx="2731766" cy="183742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77862" cy="2002954"/>
                    </a:xfrm>
                    <a:prstGeom prst="rect">
                      <a:avLst/>
                    </a:prstGeom>
                  </pic:spPr>
                </pic:pic>
              </a:graphicData>
            </a:graphic>
          </wp:inline>
        </w:drawing>
      </w:r>
      <w:bookmarkEnd w:id="38"/>
      <w:r w:rsidRPr="00363065">
        <w:rPr>
          <w:rFonts w:cs="Times New Roman"/>
          <w:bCs/>
          <w:sz w:val="24"/>
          <w:szCs w:val="24"/>
        </w:rPr>
        <w:tab/>
      </w:r>
      <w:r w:rsidR="00617EC9" w:rsidRPr="000440C7">
        <w:rPr>
          <w:rFonts w:cs="Times New Roman"/>
          <w:noProof/>
        </w:rPr>
        <w:drawing>
          <wp:inline distT="0" distB="0" distL="0" distR="0" wp14:anchorId="34412C39" wp14:editId="21FAECE2">
            <wp:extent cx="2657475" cy="1932317"/>
            <wp:effectExtent l="19050" t="19050" r="9525" b="107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5308" cy="1959826"/>
                    </a:xfrm>
                    <a:prstGeom prst="rect">
                      <a:avLst/>
                    </a:prstGeom>
                    <a:ln>
                      <a:solidFill>
                        <a:sysClr val="window" lastClr="FFFFFF">
                          <a:lumMod val="75000"/>
                        </a:sysClr>
                      </a:solidFill>
                    </a:ln>
                  </pic:spPr>
                </pic:pic>
              </a:graphicData>
            </a:graphic>
          </wp:inline>
        </w:drawing>
      </w:r>
    </w:p>
    <w:p w14:paraId="08D860B8" w14:textId="67885117" w:rsidR="00363065" w:rsidRPr="00363065" w:rsidRDefault="00363065" w:rsidP="00363065">
      <w:pPr>
        <w:ind w:left="360"/>
        <w:contextualSpacing/>
        <w:jc w:val="both"/>
        <w:rPr>
          <w:rFonts w:cs="Times New Roman"/>
          <w:bCs/>
          <w:sz w:val="18"/>
          <w:szCs w:val="18"/>
        </w:rPr>
      </w:pPr>
    </w:p>
    <w:p w14:paraId="70031622" w14:textId="77777777" w:rsidR="00363065" w:rsidRPr="00363065" w:rsidRDefault="00363065" w:rsidP="00363065">
      <w:pPr>
        <w:ind w:left="360"/>
        <w:contextualSpacing/>
        <w:jc w:val="both"/>
        <w:rPr>
          <w:rFonts w:cs="Times New Roman"/>
          <w:bCs/>
          <w:sz w:val="18"/>
          <w:szCs w:val="18"/>
        </w:rPr>
      </w:pPr>
      <w:r w:rsidRPr="00363065">
        <w:rPr>
          <w:rFonts w:cs="Times New Roman"/>
          <w:bCs/>
          <w:sz w:val="18"/>
          <w:szCs w:val="18"/>
        </w:rPr>
        <w:tab/>
        <w:t>Source: Doing Business Report, WB 2019.</w:t>
      </w:r>
    </w:p>
    <w:p w14:paraId="41750565" w14:textId="77777777" w:rsidR="00363065" w:rsidRPr="00363065" w:rsidRDefault="00363065" w:rsidP="00363065">
      <w:pPr>
        <w:spacing w:after="0" w:line="240" w:lineRule="auto"/>
        <w:jc w:val="both"/>
        <w:rPr>
          <w:rFonts w:eastAsia="Malgun Gothic" w:cs="Times New Roman"/>
          <w:sz w:val="24"/>
          <w:szCs w:val="24"/>
          <w:lang w:eastAsia="ko-KR"/>
        </w:rPr>
      </w:pPr>
    </w:p>
    <w:p w14:paraId="349A2904" w14:textId="77777777" w:rsidR="00665495" w:rsidRPr="00665495" w:rsidRDefault="00665495" w:rsidP="00617EC9">
      <w:pPr>
        <w:pStyle w:val="ListParagraph"/>
        <w:ind w:left="360"/>
        <w:jc w:val="both"/>
        <w:rPr>
          <w:rFonts w:cs="Times New Roman"/>
          <w:bCs/>
        </w:rPr>
      </w:pPr>
    </w:p>
    <w:p w14:paraId="3C17FAAA" w14:textId="19B6D64F" w:rsidR="00E90C5E" w:rsidRDefault="00E90C5E" w:rsidP="00E90C5E">
      <w:pPr>
        <w:pStyle w:val="ListParagraph"/>
        <w:numPr>
          <w:ilvl w:val="0"/>
          <w:numId w:val="50"/>
        </w:numPr>
        <w:jc w:val="both"/>
        <w:rPr>
          <w:rFonts w:cs="Times New Roman"/>
        </w:rPr>
      </w:pPr>
      <w:r w:rsidRPr="00380BAA">
        <w:rPr>
          <w:rFonts w:eastAsia="PMingLiU" w:cs="Times New Roman"/>
          <w:b/>
          <w:lang w:eastAsia="zh-TW"/>
        </w:rPr>
        <w:t xml:space="preserve">Key global indicators rank </w:t>
      </w:r>
      <w:r>
        <w:rPr>
          <w:rFonts w:eastAsia="PMingLiU" w:cs="Times New Roman"/>
          <w:b/>
          <w:lang w:eastAsia="zh-TW"/>
        </w:rPr>
        <w:t xml:space="preserve">the </w:t>
      </w:r>
      <w:r w:rsidRPr="00380BAA">
        <w:rPr>
          <w:rFonts w:eastAsia="PMingLiU" w:cs="Times New Roman"/>
          <w:b/>
          <w:lang w:eastAsia="zh-TW"/>
        </w:rPr>
        <w:t>Philippines as a moderate performer compared to its peers.</w:t>
      </w:r>
      <w:r w:rsidRPr="00380BAA">
        <w:rPr>
          <w:rFonts w:cs="Times New Roman"/>
          <w:vertAlign w:val="superscript"/>
        </w:rPr>
        <w:endnoteReference w:id="27"/>
      </w:r>
      <w:r w:rsidRPr="00380BAA">
        <w:rPr>
          <w:rFonts w:cs="Times New Roman"/>
        </w:rPr>
        <w:t xml:space="preserve"> </w:t>
      </w:r>
      <w:r w:rsidRPr="00380BAA">
        <w:rPr>
          <w:rFonts w:eastAsia="PMingLiU" w:cs="Times New Roman"/>
          <w:lang w:eastAsia="zh-TW"/>
        </w:rPr>
        <w:t xml:space="preserve"> </w:t>
      </w:r>
      <w:r w:rsidRPr="00380BAA">
        <w:rPr>
          <w:rFonts w:cs="Times New Roman"/>
        </w:rPr>
        <w:t>The country is ranked 56</w:t>
      </w:r>
      <w:r w:rsidRPr="00380BAA">
        <w:rPr>
          <w:rFonts w:cs="Times New Roman"/>
          <w:vertAlign w:val="superscript"/>
        </w:rPr>
        <w:t>th</w:t>
      </w:r>
      <w:r w:rsidRPr="00380BAA">
        <w:rPr>
          <w:rFonts w:cs="Times New Roman"/>
        </w:rPr>
        <w:t xml:space="preserve"> out of 137 economies in the </w:t>
      </w:r>
      <w:r w:rsidRPr="00380BAA">
        <w:rPr>
          <w:rFonts w:cs="Times New Roman"/>
          <w:i/>
        </w:rPr>
        <w:t>Global Competitiveness Index 2017-2018</w:t>
      </w:r>
      <w:r w:rsidRPr="00380BAA">
        <w:rPr>
          <w:rFonts w:cs="Times New Roman"/>
        </w:rPr>
        <w:t>, which is well below its regional peers like Malaysia (23</w:t>
      </w:r>
      <w:r w:rsidRPr="00380BAA">
        <w:rPr>
          <w:rFonts w:cs="Times New Roman"/>
          <w:vertAlign w:val="superscript"/>
        </w:rPr>
        <w:t>rd</w:t>
      </w:r>
      <w:r w:rsidRPr="00380BAA">
        <w:rPr>
          <w:rFonts w:cs="Times New Roman"/>
        </w:rPr>
        <w:t>), Thailand (32</w:t>
      </w:r>
      <w:r w:rsidRPr="00380BAA">
        <w:rPr>
          <w:rFonts w:cs="Times New Roman"/>
          <w:vertAlign w:val="superscript"/>
        </w:rPr>
        <w:t>nd</w:t>
      </w:r>
      <w:r w:rsidRPr="00380BAA">
        <w:rPr>
          <w:rFonts w:cs="Times New Roman"/>
        </w:rPr>
        <w:t>), and Indonesia (36th), albeit well above its structural peers like Morocco (71</w:t>
      </w:r>
      <w:r w:rsidRPr="00380BAA">
        <w:rPr>
          <w:rFonts w:cs="Times New Roman"/>
          <w:vertAlign w:val="superscript"/>
        </w:rPr>
        <w:t>st</w:t>
      </w:r>
      <w:r w:rsidRPr="00380BAA">
        <w:rPr>
          <w:rFonts w:cs="Times New Roman"/>
        </w:rPr>
        <w:t>) and Pakistan (115</w:t>
      </w:r>
      <w:r w:rsidRPr="008F7C40">
        <w:rPr>
          <w:rFonts w:cs="Times New Roman"/>
          <w:vertAlign w:val="superscript"/>
        </w:rPr>
        <w:t>th</w:t>
      </w:r>
      <w:r w:rsidRPr="00380BAA">
        <w:rPr>
          <w:rFonts w:cs="Times New Roman"/>
        </w:rPr>
        <w:t xml:space="preserve">), as indicated in </w:t>
      </w:r>
      <w:r w:rsidRPr="00380BAA">
        <w:rPr>
          <w:rFonts w:cs="Times New Roman"/>
        </w:rPr>
        <w:fldChar w:fldCharType="begin"/>
      </w:r>
      <w:r w:rsidRPr="00380BAA">
        <w:rPr>
          <w:rFonts w:cs="Times New Roman"/>
        </w:rPr>
        <w:instrText xml:space="preserve"> REF _Ref7791297 \h  \* MERGEFORMAT </w:instrText>
      </w:r>
      <w:r w:rsidRPr="00380BAA">
        <w:rPr>
          <w:rFonts w:cs="Times New Roman"/>
        </w:rPr>
      </w:r>
      <w:r w:rsidRPr="00380BAA">
        <w:rPr>
          <w:rFonts w:cs="Times New Roman"/>
        </w:rPr>
        <w:fldChar w:fldCharType="separate"/>
      </w:r>
      <w:r w:rsidR="00450958" w:rsidRPr="00450958">
        <w:t xml:space="preserve">Figure </w:t>
      </w:r>
      <w:r w:rsidRPr="00380BAA">
        <w:rPr>
          <w:rFonts w:cs="Times New Roman"/>
        </w:rPr>
        <w:fldChar w:fldCharType="end"/>
      </w:r>
      <w:r>
        <w:rPr>
          <w:rFonts w:cs="Times New Roman"/>
        </w:rPr>
        <w:t>1</w:t>
      </w:r>
      <w:r w:rsidR="0035768C">
        <w:rPr>
          <w:rFonts w:cs="Times New Roman"/>
        </w:rPr>
        <w:t>2</w:t>
      </w:r>
      <w:r w:rsidRPr="00380BAA">
        <w:rPr>
          <w:rFonts w:cs="Times New Roman"/>
        </w:rPr>
        <w:t xml:space="preserve">. </w:t>
      </w:r>
      <w:r w:rsidRPr="00380BAA">
        <w:rPr>
          <w:rFonts w:eastAsia="PMingLiU" w:cs="Times New Roman"/>
          <w:lang w:eastAsia="zh-TW"/>
        </w:rPr>
        <w:t xml:space="preserve">With respect to entrepreneurship, as measured by the </w:t>
      </w:r>
      <w:r w:rsidRPr="00380BAA">
        <w:rPr>
          <w:rFonts w:eastAsia="PMingLiU" w:cs="Times New Roman"/>
          <w:i/>
          <w:lang w:eastAsia="zh-TW"/>
        </w:rPr>
        <w:t>Global Entrepreneurship Index</w:t>
      </w:r>
      <w:r w:rsidRPr="00380BAA">
        <w:rPr>
          <w:rFonts w:eastAsia="PMingLiU" w:cs="Times New Roman"/>
          <w:lang w:eastAsia="zh-TW"/>
        </w:rPr>
        <w:t xml:space="preserve"> (GEI),</w:t>
      </w:r>
      <w:r w:rsidRPr="00380BAA">
        <w:rPr>
          <w:rFonts w:cs="Times New Roman"/>
          <w:vertAlign w:val="superscript"/>
        </w:rPr>
        <w:endnoteReference w:id="28"/>
      </w:r>
      <w:r w:rsidRPr="00380BAA">
        <w:rPr>
          <w:rFonts w:eastAsia="PMingLiU" w:cs="Times New Roman"/>
          <w:lang w:eastAsia="zh-TW"/>
        </w:rPr>
        <w:t xml:space="preserve"> the Philippines ranks below its regional peers like Malaysia and Thailand but higher than some of its structural peers (</w:t>
      </w:r>
      <w:r w:rsidRPr="00380BAA">
        <w:rPr>
          <w:rFonts w:eastAsia="PMingLiU" w:cs="Times New Roman"/>
          <w:lang w:eastAsia="zh-TW"/>
        </w:rPr>
        <w:fldChar w:fldCharType="begin"/>
      </w:r>
      <w:r w:rsidRPr="00380BAA">
        <w:rPr>
          <w:rFonts w:eastAsia="PMingLiU" w:cs="Times New Roman"/>
          <w:lang w:eastAsia="zh-TW"/>
        </w:rPr>
        <w:instrText xml:space="preserve"> REF _Ref7791281 \h  \* MERGEFORMAT </w:instrText>
      </w:r>
      <w:r w:rsidRPr="00380BAA">
        <w:rPr>
          <w:rFonts w:eastAsia="PMingLiU" w:cs="Times New Roman"/>
          <w:lang w:eastAsia="zh-TW"/>
        </w:rPr>
      </w:r>
      <w:r w:rsidRPr="00380BAA">
        <w:rPr>
          <w:rFonts w:eastAsia="PMingLiU" w:cs="Times New Roman"/>
          <w:lang w:eastAsia="zh-TW"/>
        </w:rPr>
        <w:fldChar w:fldCharType="separate"/>
      </w:r>
      <w:r w:rsidR="00450958" w:rsidRPr="00450958">
        <w:t xml:space="preserve">Figure </w:t>
      </w:r>
      <w:r w:rsidRPr="00380BAA">
        <w:rPr>
          <w:rFonts w:eastAsia="PMingLiU" w:cs="Times New Roman"/>
          <w:lang w:eastAsia="zh-TW"/>
        </w:rPr>
        <w:fldChar w:fldCharType="end"/>
      </w:r>
      <w:r>
        <w:rPr>
          <w:rFonts w:eastAsia="PMingLiU" w:cs="Times New Roman"/>
          <w:lang w:eastAsia="zh-TW"/>
        </w:rPr>
        <w:t xml:space="preserve"> 1</w:t>
      </w:r>
      <w:r w:rsidR="00D313B3">
        <w:rPr>
          <w:rFonts w:eastAsia="PMingLiU" w:cs="Times New Roman"/>
          <w:lang w:eastAsia="zh-TW"/>
        </w:rPr>
        <w:t>3)</w:t>
      </w:r>
      <w:r w:rsidRPr="00380BAA">
        <w:rPr>
          <w:rFonts w:cs="Times New Roman"/>
        </w:rPr>
        <w:t>.</w:t>
      </w:r>
    </w:p>
    <w:p w14:paraId="7EF82CC9" w14:textId="77777777" w:rsidR="00E90C5E" w:rsidRPr="00BA40B3" w:rsidRDefault="00E90C5E" w:rsidP="00E90C5E">
      <w:pPr>
        <w:spacing w:line="256" w:lineRule="auto"/>
        <w:contextualSpacing/>
        <w:jc w:val="both"/>
        <w:rPr>
          <w:rFonts w:cs="Times New Roman"/>
        </w:rPr>
      </w:pPr>
    </w:p>
    <w:tbl>
      <w:tblPr>
        <w:tblStyle w:val="TableGrid1"/>
        <w:tblW w:w="0" w:type="auto"/>
        <w:tblInd w:w="355" w:type="dxa"/>
        <w:tblLook w:val="04A0" w:firstRow="1" w:lastRow="0" w:firstColumn="1" w:lastColumn="0" w:noHBand="0" w:noVBand="1"/>
      </w:tblPr>
      <w:tblGrid>
        <w:gridCol w:w="4639"/>
        <w:gridCol w:w="4356"/>
      </w:tblGrid>
      <w:tr w:rsidR="00E90C5E" w14:paraId="38A2D713" w14:textId="77777777" w:rsidTr="000D1EBD">
        <w:trPr>
          <w:trHeight w:val="3572"/>
        </w:trPr>
        <w:tc>
          <w:tcPr>
            <w:tcW w:w="4640" w:type="dxa"/>
            <w:tcBorders>
              <w:top w:val="single" w:sz="4" w:space="0" w:color="auto"/>
              <w:left w:val="single" w:sz="4" w:space="0" w:color="auto"/>
              <w:bottom w:val="single" w:sz="4" w:space="0" w:color="auto"/>
              <w:right w:val="single" w:sz="4" w:space="0" w:color="auto"/>
            </w:tcBorders>
            <w:hideMark/>
          </w:tcPr>
          <w:p w14:paraId="11DB23D7" w14:textId="5BA41B6E" w:rsidR="00E90C5E" w:rsidRDefault="00E90C5E" w:rsidP="000D1EBD">
            <w:pPr>
              <w:jc w:val="both"/>
              <w:rPr>
                <w:rFonts w:cs="Times New Roman"/>
                <w:b/>
                <w:bCs/>
                <w:iCs/>
              </w:rPr>
            </w:pPr>
            <w:bookmarkStart w:id="39" w:name="_Ref7791297"/>
            <w:r w:rsidRPr="00D92710">
              <w:rPr>
                <w:b/>
              </w:rPr>
              <w:t xml:space="preserve">Figure </w:t>
            </w:r>
            <w:bookmarkEnd w:id="39"/>
            <w:r>
              <w:rPr>
                <w:b/>
              </w:rPr>
              <w:t>1</w:t>
            </w:r>
            <w:r w:rsidR="00D313B3">
              <w:rPr>
                <w:b/>
              </w:rPr>
              <w:t>2</w:t>
            </w:r>
            <w:r>
              <w:rPr>
                <w:rFonts w:cs="Times New Roman"/>
                <w:b/>
                <w:bCs/>
                <w:iCs/>
              </w:rPr>
              <w:t>: Global competitiveness index, 2017-2018</w:t>
            </w:r>
          </w:p>
          <w:p w14:paraId="1EFABCA9" w14:textId="77777777" w:rsidR="00E90C5E" w:rsidRDefault="00E90C5E" w:rsidP="000D1EBD">
            <w:pPr>
              <w:jc w:val="both"/>
              <w:rPr>
                <w:rFonts w:ascii="Calibri" w:hAnsi="Calibri" w:cs="Times New Roman"/>
              </w:rPr>
            </w:pPr>
            <w:r>
              <w:rPr>
                <w:rFonts w:ascii="Calibri" w:hAnsi="Calibri" w:cs="Times New Roman"/>
                <w:noProof/>
                <w:lang w:eastAsia="zh-CN"/>
              </w:rPr>
              <w:drawing>
                <wp:inline distT="0" distB="0" distL="0" distR="0" wp14:anchorId="5C12D863" wp14:editId="5A042E8C">
                  <wp:extent cx="2954655" cy="1937982"/>
                  <wp:effectExtent l="0" t="0" r="17145" b="571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355" w:type="dxa"/>
            <w:tcBorders>
              <w:top w:val="single" w:sz="4" w:space="0" w:color="auto"/>
              <w:left w:val="single" w:sz="4" w:space="0" w:color="auto"/>
              <w:bottom w:val="single" w:sz="4" w:space="0" w:color="auto"/>
              <w:right w:val="single" w:sz="4" w:space="0" w:color="auto"/>
            </w:tcBorders>
            <w:hideMark/>
          </w:tcPr>
          <w:p w14:paraId="142452CC" w14:textId="14868C9E" w:rsidR="00E90C5E" w:rsidRDefault="00E90C5E" w:rsidP="000D1EBD">
            <w:pPr>
              <w:jc w:val="both"/>
              <w:rPr>
                <w:rFonts w:cs="Times New Roman"/>
                <w:b/>
                <w:bCs/>
                <w:iCs/>
              </w:rPr>
            </w:pPr>
            <w:bookmarkStart w:id="40" w:name="_Ref7791281"/>
            <w:r w:rsidRPr="00D92710">
              <w:rPr>
                <w:b/>
              </w:rPr>
              <w:t xml:space="preserve">Figure </w:t>
            </w:r>
            <w:bookmarkEnd w:id="40"/>
            <w:r>
              <w:rPr>
                <w:b/>
              </w:rPr>
              <w:t>1</w:t>
            </w:r>
            <w:r w:rsidR="00D313B3">
              <w:rPr>
                <w:b/>
              </w:rPr>
              <w:t>3</w:t>
            </w:r>
            <w:r>
              <w:rPr>
                <w:rFonts w:cs="Times New Roman"/>
                <w:b/>
                <w:bCs/>
                <w:iCs/>
              </w:rPr>
              <w:t>: Global Entrepreneurship index, 2018</w:t>
            </w:r>
          </w:p>
          <w:p w14:paraId="508926D0" w14:textId="77777777" w:rsidR="00E90C5E" w:rsidRDefault="00E90C5E" w:rsidP="000D1EBD">
            <w:pPr>
              <w:jc w:val="both"/>
              <w:rPr>
                <w:rFonts w:ascii="Calibri" w:hAnsi="Calibri" w:cs="Times New Roman"/>
              </w:rPr>
            </w:pPr>
            <w:r>
              <w:rPr>
                <w:rFonts w:ascii="Calibri" w:hAnsi="Calibri" w:cs="Times New Roman"/>
                <w:noProof/>
                <w:lang w:eastAsia="zh-CN"/>
              </w:rPr>
              <w:drawing>
                <wp:inline distT="0" distB="0" distL="0" distR="0" wp14:anchorId="6D7A8FDE" wp14:editId="11EE1DC7">
                  <wp:extent cx="2770505" cy="1937385"/>
                  <wp:effectExtent l="0" t="0" r="10795" b="571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5A21C1C0" w14:textId="77777777" w:rsidR="00E90C5E" w:rsidRDefault="00E90C5E" w:rsidP="00E90C5E">
      <w:pPr>
        <w:ind w:left="360"/>
        <w:contextualSpacing/>
        <w:jc w:val="both"/>
        <w:rPr>
          <w:rFonts w:cs="Times New Roman"/>
          <w:sz w:val="18"/>
          <w:szCs w:val="18"/>
        </w:rPr>
      </w:pPr>
      <w:r>
        <w:rPr>
          <w:rFonts w:cs="Times New Roman"/>
          <w:sz w:val="18"/>
          <w:szCs w:val="18"/>
        </w:rPr>
        <w:t xml:space="preserve">Source: </w:t>
      </w:r>
      <w:r>
        <w:rPr>
          <w:rFonts w:cs="Times New Roman"/>
          <w:i/>
          <w:sz w:val="18"/>
          <w:szCs w:val="18"/>
        </w:rPr>
        <w:t>Global Competitiveness Index 2017-2018,</w:t>
      </w:r>
      <w:r>
        <w:rPr>
          <w:rFonts w:cs="Times New Roman"/>
          <w:sz w:val="18"/>
          <w:szCs w:val="18"/>
        </w:rPr>
        <w:t xml:space="preserve"> WEF</w:t>
      </w:r>
      <w:r>
        <w:rPr>
          <w:rFonts w:cs="Times New Roman"/>
          <w:sz w:val="18"/>
          <w:szCs w:val="18"/>
        </w:rPr>
        <w:tab/>
        <w:t xml:space="preserve">Source: </w:t>
      </w:r>
      <w:r>
        <w:rPr>
          <w:rFonts w:cs="Times New Roman"/>
          <w:i/>
          <w:sz w:val="18"/>
          <w:szCs w:val="18"/>
        </w:rPr>
        <w:t>Global Entrepreneurship and Development Institute</w:t>
      </w:r>
      <w:r>
        <w:rPr>
          <w:rFonts w:cs="Times New Roman"/>
          <w:sz w:val="18"/>
          <w:szCs w:val="18"/>
        </w:rPr>
        <w:t xml:space="preserve"> </w:t>
      </w:r>
    </w:p>
    <w:p w14:paraId="2605804E" w14:textId="77777777" w:rsidR="00E90C5E" w:rsidRPr="00E90C5E" w:rsidRDefault="00E90C5E" w:rsidP="00E90C5E">
      <w:pPr>
        <w:pStyle w:val="ListParagraph"/>
        <w:ind w:left="360"/>
        <w:jc w:val="both"/>
        <w:rPr>
          <w:rFonts w:cs="Times New Roman"/>
          <w:bCs/>
        </w:rPr>
      </w:pPr>
    </w:p>
    <w:p w14:paraId="2A6A8E86" w14:textId="58674D66" w:rsidR="00B07024" w:rsidRPr="000E018F" w:rsidRDefault="00363065" w:rsidP="000E018F">
      <w:pPr>
        <w:pStyle w:val="ListParagraph"/>
        <w:numPr>
          <w:ilvl w:val="0"/>
          <w:numId w:val="50"/>
        </w:numPr>
        <w:jc w:val="both"/>
        <w:rPr>
          <w:rFonts w:cs="Times New Roman"/>
          <w:bCs/>
        </w:rPr>
      </w:pPr>
      <w:r w:rsidRPr="009249D1">
        <w:rPr>
          <w:rFonts w:cs="Times New Roman"/>
          <w:b/>
          <w:bCs/>
        </w:rPr>
        <w:t xml:space="preserve">Regulatory </w:t>
      </w:r>
      <w:r w:rsidR="00B07024" w:rsidRPr="009249D1">
        <w:rPr>
          <w:rFonts w:cs="Times New Roman"/>
          <w:b/>
          <w:bCs/>
        </w:rPr>
        <w:t xml:space="preserve">barriers </w:t>
      </w:r>
      <w:r w:rsidRPr="009249D1">
        <w:rPr>
          <w:rFonts w:cs="Times New Roman"/>
          <w:b/>
          <w:bCs/>
        </w:rPr>
        <w:t xml:space="preserve">dampen market competition: </w:t>
      </w:r>
      <w:r w:rsidRPr="009249D1">
        <w:rPr>
          <w:rFonts w:eastAsia="Malgun Gothic" w:cs="Times New Roman"/>
          <w:lang w:eastAsia="ko-KR"/>
        </w:rPr>
        <w:t>Market regulations appear to be hindering competition in</w:t>
      </w:r>
      <w:r w:rsidRPr="009249D1">
        <w:rPr>
          <w:rFonts w:asciiTheme="minorHAnsi" w:hAnsiTheme="minorHAnsi"/>
        </w:rPr>
        <w:t xml:space="preserve"> </w:t>
      </w:r>
      <w:r w:rsidRPr="009249D1">
        <w:rPr>
          <w:rFonts w:eastAsia="Malgun Gothic" w:cs="Times New Roman"/>
          <w:lang w:eastAsia="ko-KR"/>
        </w:rPr>
        <w:t>Philippines.  As Fig. 1</w:t>
      </w:r>
      <w:r w:rsidR="007A5812">
        <w:rPr>
          <w:rFonts w:eastAsia="Malgun Gothic" w:cs="Times New Roman"/>
          <w:lang w:eastAsia="ko-KR"/>
        </w:rPr>
        <w:t>4</w:t>
      </w:r>
      <w:r w:rsidR="005F0F12">
        <w:rPr>
          <w:rFonts w:eastAsia="Malgun Gothic" w:cs="Times New Roman"/>
          <w:lang w:eastAsia="ko-KR"/>
        </w:rPr>
        <w:t xml:space="preserve"> </w:t>
      </w:r>
      <w:r w:rsidRPr="009249D1">
        <w:rPr>
          <w:rFonts w:eastAsia="Malgun Gothic" w:cs="Times New Roman"/>
          <w:lang w:eastAsia="ko-KR"/>
        </w:rPr>
        <w:t>and 1</w:t>
      </w:r>
      <w:r w:rsidR="007A5812">
        <w:rPr>
          <w:rFonts w:eastAsia="Malgun Gothic" w:cs="Times New Roman"/>
          <w:lang w:eastAsia="ko-KR"/>
        </w:rPr>
        <w:t>5</w:t>
      </w:r>
      <w:r w:rsidRPr="009249D1">
        <w:rPr>
          <w:rFonts w:eastAsia="Malgun Gothic" w:cs="Times New Roman"/>
          <w:lang w:eastAsia="ko-KR"/>
        </w:rPr>
        <w:t xml:space="preserve"> indicate, m</w:t>
      </w:r>
      <w:r w:rsidRPr="009249D1">
        <w:rPr>
          <w:rFonts w:cs="Times New Roman"/>
          <w:bCs/>
        </w:rPr>
        <w:t xml:space="preserve">arket concentration in the Philippines remains higher than countries in the region and has increased in the recent years.  </w:t>
      </w:r>
      <w:r w:rsidRPr="009249D1">
        <w:rPr>
          <w:rFonts w:eastAsia="Malgun Gothic" w:cs="Times New Roman"/>
          <w:lang w:eastAsia="ko-KR"/>
        </w:rPr>
        <w:t xml:space="preserve">Market regulations affect the degree of competition in an economy which in turn affects productivity by ensuring that efficient firms increase their market shares and providing incentives to innovate. Complicated licensing and permits system, complex regulations, and constitutional and legislative barriers to FDI raise the cost of doing business in the country, affecting the level of competition. Similarly, a degree of discretionary power given to government authorities such as the Philippine Competition Commission may create incentives for anticompetitive behavior.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363065" w:rsidRPr="00363065" w14:paraId="1F9DF3A2" w14:textId="77777777" w:rsidTr="00556513">
        <w:tc>
          <w:tcPr>
            <w:tcW w:w="4680" w:type="dxa"/>
          </w:tcPr>
          <w:p w14:paraId="3F68B1B9" w14:textId="14F3AC92" w:rsidR="00363065" w:rsidRPr="00363065" w:rsidRDefault="00363065" w:rsidP="00363065">
            <w:pPr>
              <w:jc w:val="center"/>
              <w:rPr>
                <w:rFonts w:eastAsia="Calibri" w:cs="Times New Roman"/>
                <w:b/>
                <w:bCs/>
                <w:color w:val="4472C4"/>
                <w:sz w:val="20"/>
                <w:szCs w:val="20"/>
              </w:rPr>
            </w:pPr>
            <w:bookmarkStart w:id="41" w:name="_Ref511634630"/>
            <w:r w:rsidRPr="00363065">
              <w:rPr>
                <w:rFonts w:eastAsia="Calibri" w:cs="Times New Roman"/>
                <w:b/>
                <w:bCs/>
                <w:sz w:val="20"/>
                <w:szCs w:val="20"/>
              </w:rPr>
              <w:t>Figure</w:t>
            </w:r>
            <w:bookmarkEnd w:id="41"/>
            <w:r w:rsidRPr="00363065">
              <w:rPr>
                <w:rFonts w:eastAsia="Calibri" w:cs="Times New Roman"/>
                <w:b/>
                <w:bCs/>
                <w:sz w:val="20"/>
                <w:szCs w:val="20"/>
              </w:rPr>
              <w:t xml:space="preserve"> </w:t>
            </w:r>
            <w:r w:rsidRPr="00363065">
              <w:rPr>
                <w:rFonts w:eastAsia="Calibri" w:cs="Times New Roman"/>
                <w:b/>
                <w:sz w:val="20"/>
                <w:szCs w:val="20"/>
              </w:rPr>
              <w:t>1</w:t>
            </w:r>
            <w:r w:rsidR="00206965">
              <w:rPr>
                <w:rFonts w:eastAsia="Calibri" w:cs="Times New Roman"/>
                <w:b/>
                <w:sz w:val="20"/>
                <w:szCs w:val="20"/>
              </w:rPr>
              <w:t>4</w:t>
            </w:r>
            <w:r w:rsidRPr="00363065">
              <w:rPr>
                <w:rFonts w:eastAsia="Calibri" w:cs="Times New Roman"/>
                <w:b/>
                <w:bCs/>
                <w:sz w:val="20"/>
                <w:szCs w:val="20"/>
              </w:rPr>
              <w:t xml:space="preserve">. </w:t>
            </w:r>
            <w:r w:rsidRPr="00363065">
              <w:rPr>
                <w:rFonts w:eastAsia="Calibri" w:cs="Times New Roman"/>
                <w:b/>
                <w:bCs/>
                <w:color w:val="000000"/>
                <w:sz w:val="20"/>
                <w:szCs w:val="20"/>
              </w:rPr>
              <w:t>Philippine markets are more concentrated than peers’…</w:t>
            </w:r>
          </w:p>
        </w:tc>
        <w:tc>
          <w:tcPr>
            <w:tcW w:w="4680" w:type="dxa"/>
          </w:tcPr>
          <w:p w14:paraId="2E76D389" w14:textId="45F0A9E2" w:rsidR="00363065" w:rsidRPr="00363065" w:rsidRDefault="00363065" w:rsidP="00363065">
            <w:pPr>
              <w:jc w:val="center"/>
              <w:rPr>
                <w:rFonts w:eastAsia="Calibri" w:cs="Times New Roman"/>
                <w:b/>
                <w:bCs/>
                <w:color w:val="4472C4"/>
                <w:sz w:val="20"/>
                <w:szCs w:val="20"/>
              </w:rPr>
            </w:pPr>
            <w:bookmarkStart w:id="42" w:name="_Ref515286715"/>
            <w:r w:rsidRPr="00363065">
              <w:rPr>
                <w:rFonts w:eastAsia="Calibri" w:cs="Times New Roman"/>
                <w:b/>
                <w:bCs/>
                <w:sz w:val="20"/>
                <w:szCs w:val="20"/>
              </w:rPr>
              <w:t xml:space="preserve">Figure </w:t>
            </w:r>
            <w:bookmarkEnd w:id="42"/>
            <w:r w:rsidRPr="00363065">
              <w:rPr>
                <w:rFonts w:eastAsia="Calibri" w:cs="Times New Roman"/>
                <w:b/>
                <w:bCs/>
                <w:sz w:val="20"/>
                <w:szCs w:val="20"/>
              </w:rPr>
              <w:t>1</w:t>
            </w:r>
            <w:r w:rsidR="00206965">
              <w:rPr>
                <w:rFonts w:eastAsia="Calibri" w:cs="Times New Roman"/>
                <w:b/>
                <w:bCs/>
                <w:sz w:val="20"/>
                <w:szCs w:val="20"/>
              </w:rPr>
              <w:t>5</w:t>
            </w:r>
            <w:r w:rsidRPr="00363065">
              <w:rPr>
                <w:rFonts w:eastAsia="Calibri" w:cs="Times New Roman"/>
                <w:b/>
                <w:bCs/>
                <w:sz w:val="20"/>
                <w:szCs w:val="20"/>
              </w:rPr>
              <w:t xml:space="preserve">. </w:t>
            </w:r>
            <w:r w:rsidRPr="00363065" w:rsidDel="00201646">
              <w:rPr>
                <w:rFonts w:eastAsia="Calibri" w:cs="Times New Roman"/>
                <w:b/>
                <w:bCs/>
                <w:color w:val="000000"/>
                <w:sz w:val="20"/>
                <w:szCs w:val="20"/>
              </w:rPr>
              <w:t xml:space="preserve">…and </w:t>
            </w:r>
            <w:r w:rsidRPr="00363065">
              <w:rPr>
                <w:rFonts w:eastAsia="Calibri" w:cs="Times New Roman"/>
                <w:b/>
                <w:bCs/>
                <w:color w:val="000000"/>
                <w:sz w:val="20"/>
                <w:szCs w:val="20"/>
              </w:rPr>
              <w:t xml:space="preserve">they have become more concentrated </w:t>
            </w:r>
            <w:r w:rsidRPr="00363065" w:rsidDel="00201646">
              <w:rPr>
                <w:rFonts w:eastAsia="Calibri" w:cs="Times New Roman"/>
                <w:b/>
                <w:bCs/>
                <w:color w:val="000000"/>
                <w:sz w:val="20"/>
                <w:szCs w:val="20"/>
              </w:rPr>
              <w:t>in recent years</w:t>
            </w:r>
            <w:r w:rsidRPr="00363065">
              <w:rPr>
                <w:rFonts w:eastAsia="Calibri" w:cs="Times New Roman"/>
                <w:b/>
                <w:bCs/>
                <w:color w:val="000000"/>
                <w:sz w:val="20"/>
                <w:szCs w:val="20"/>
              </w:rPr>
              <w:t>.</w:t>
            </w:r>
          </w:p>
        </w:tc>
      </w:tr>
      <w:tr w:rsidR="00363065" w:rsidRPr="00363065" w14:paraId="38198DE0" w14:textId="77777777" w:rsidTr="00556513">
        <w:tc>
          <w:tcPr>
            <w:tcW w:w="4680" w:type="dxa"/>
          </w:tcPr>
          <w:p w14:paraId="09983E8F" w14:textId="77777777" w:rsidR="00363065" w:rsidRPr="00363065" w:rsidRDefault="00363065" w:rsidP="00363065">
            <w:pPr>
              <w:jc w:val="both"/>
              <w:rPr>
                <w:rFonts w:cs="Times New Roman"/>
                <w:b/>
              </w:rPr>
            </w:pPr>
            <w:r w:rsidRPr="00363065">
              <w:rPr>
                <w:rFonts w:ascii="Calibri" w:hAnsi="Calibri" w:cs="Times New Roman"/>
                <w:noProof/>
              </w:rPr>
              <w:drawing>
                <wp:inline distT="0" distB="0" distL="0" distR="0" wp14:anchorId="7F7827AB" wp14:editId="3F96C4BB">
                  <wp:extent cx="2926080" cy="2560320"/>
                  <wp:effectExtent l="0" t="0" r="7620" b="0"/>
                  <wp:docPr id="75" name="图表 1">
                    <a:extLst xmlns:a="http://schemas.openxmlformats.org/drawingml/2006/main">
                      <a:ext uri="{FF2B5EF4-FFF2-40B4-BE49-F238E27FC236}">
                        <a16:creationId xmlns:a16="http://schemas.microsoft.com/office/drawing/2014/main" id="{EF61C2A4-92FD-4F44-AF05-A460307C39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680" w:type="dxa"/>
          </w:tcPr>
          <w:p w14:paraId="30A4A9F9" w14:textId="77777777" w:rsidR="00363065" w:rsidRPr="00363065" w:rsidRDefault="00363065" w:rsidP="00363065">
            <w:pPr>
              <w:jc w:val="both"/>
              <w:rPr>
                <w:rFonts w:cs="Times New Roman"/>
                <w:b/>
              </w:rPr>
            </w:pPr>
            <w:r w:rsidRPr="00363065">
              <w:rPr>
                <w:rFonts w:ascii="Calibri" w:hAnsi="Calibri" w:cs="Times New Roman"/>
                <w:noProof/>
              </w:rPr>
              <w:drawing>
                <wp:inline distT="0" distB="0" distL="0" distR="0" wp14:anchorId="16060C48" wp14:editId="0111F18A">
                  <wp:extent cx="2926080" cy="2560320"/>
                  <wp:effectExtent l="0" t="0" r="7620" b="0"/>
                  <wp:docPr id="78" name="图表 2">
                    <a:extLst xmlns:a="http://schemas.openxmlformats.org/drawingml/2006/main">
                      <a:ext uri="{FF2B5EF4-FFF2-40B4-BE49-F238E27FC236}">
                        <a16:creationId xmlns:a16="http://schemas.microsoft.com/office/drawing/2014/main" id="{C34156F3-89AC-4B62-957D-33A26D7294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363065" w:rsidRPr="00363065" w14:paraId="6769E3CE" w14:textId="77777777" w:rsidTr="00556513">
        <w:tc>
          <w:tcPr>
            <w:tcW w:w="4680" w:type="dxa"/>
          </w:tcPr>
          <w:p w14:paraId="47648ABD" w14:textId="77777777" w:rsidR="00363065" w:rsidRPr="00363065" w:rsidRDefault="00363065" w:rsidP="00363065">
            <w:pPr>
              <w:jc w:val="both"/>
              <w:rPr>
                <w:rFonts w:cs="Times New Roman"/>
                <w:i/>
                <w:sz w:val="18"/>
                <w:szCs w:val="18"/>
              </w:rPr>
            </w:pPr>
            <w:r w:rsidRPr="00363065">
              <w:rPr>
                <w:rFonts w:cs="Times New Roman"/>
                <w:i/>
                <w:sz w:val="18"/>
                <w:szCs w:val="18"/>
              </w:rPr>
              <w:t>Source: Fostering Competition in the Philippines, 2017</w:t>
            </w:r>
          </w:p>
          <w:p w14:paraId="772B4F9F" w14:textId="77777777" w:rsidR="00363065" w:rsidRPr="00363065" w:rsidRDefault="00363065" w:rsidP="00363065">
            <w:pPr>
              <w:jc w:val="both"/>
              <w:rPr>
                <w:rFonts w:cs="Times New Roman"/>
                <w:i/>
                <w:sz w:val="18"/>
                <w:szCs w:val="18"/>
              </w:rPr>
            </w:pPr>
            <w:r w:rsidRPr="00363065">
              <w:rPr>
                <w:rFonts w:cs="Times New Roman"/>
                <w:i/>
                <w:sz w:val="18"/>
                <w:szCs w:val="18"/>
              </w:rPr>
              <w:t xml:space="preserve">Note: Regional peers were selected among those countries with available information from the World Bank’s Enterprise Survey. </w:t>
            </w:r>
          </w:p>
        </w:tc>
        <w:tc>
          <w:tcPr>
            <w:tcW w:w="4680" w:type="dxa"/>
            <w:shd w:val="clear" w:color="auto" w:fill="auto"/>
          </w:tcPr>
          <w:p w14:paraId="539A743B" w14:textId="77777777" w:rsidR="00363065" w:rsidRPr="00363065" w:rsidRDefault="00363065" w:rsidP="00363065">
            <w:pPr>
              <w:jc w:val="both"/>
              <w:rPr>
                <w:rFonts w:cs="Times New Roman"/>
                <w:b/>
                <w:i/>
                <w:sz w:val="18"/>
                <w:szCs w:val="18"/>
              </w:rPr>
            </w:pPr>
            <w:r w:rsidRPr="00363065">
              <w:rPr>
                <w:rFonts w:cs="Times New Roman"/>
                <w:i/>
                <w:sz w:val="18"/>
                <w:szCs w:val="18"/>
              </w:rPr>
              <w:t>Source: Fostering Competition in the Philippines, 2017</w:t>
            </w:r>
          </w:p>
        </w:tc>
      </w:tr>
    </w:tbl>
    <w:p w14:paraId="64555703" w14:textId="77777777" w:rsidR="00363065" w:rsidRPr="00363065" w:rsidRDefault="00363065" w:rsidP="00363065">
      <w:pPr>
        <w:spacing w:after="0" w:line="240" w:lineRule="auto"/>
        <w:rPr>
          <w:rFonts w:ascii="Times" w:eastAsia="Malgun Gothic" w:hAnsi="Times" w:cs="Times New Roman"/>
          <w:lang w:eastAsia="ko-KR"/>
        </w:rPr>
      </w:pPr>
    </w:p>
    <w:p w14:paraId="38F7EDA0" w14:textId="64AE3D77" w:rsidR="00363065" w:rsidRPr="00404A06" w:rsidRDefault="00DB4656" w:rsidP="00404A06">
      <w:pPr>
        <w:pStyle w:val="ListParagraph"/>
        <w:numPr>
          <w:ilvl w:val="0"/>
          <w:numId w:val="50"/>
        </w:numPr>
        <w:jc w:val="both"/>
        <w:rPr>
          <w:rFonts w:eastAsia="Cardo" w:cs="Times New Roman"/>
          <w:szCs w:val="24"/>
        </w:rPr>
      </w:pPr>
      <w:r w:rsidRPr="00F55FEE">
        <w:rPr>
          <w:rFonts w:cs="Times New Roman"/>
          <w:b/>
          <w:szCs w:val="24"/>
        </w:rPr>
        <w:t xml:space="preserve">Lack of competition and investor protection mechanisms limit the growth of the private sector, access to capital, and by extension, access to knowledge in the Philippines. </w:t>
      </w:r>
      <w:r w:rsidRPr="00F55FEE">
        <w:rPr>
          <w:rFonts w:cs="Times New Roman"/>
          <w:szCs w:val="24"/>
        </w:rPr>
        <w:t xml:space="preserve">Current restrictions in foreign ownership is a major barrier to capital access for startups, as well as knowledge transfer. </w:t>
      </w:r>
      <w:r w:rsidRPr="00F55FEE">
        <w:rPr>
          <w:rFonts w:eastAsia="Times New Roman" w:cs="Times New Roman"/>
          <w:szCs w:val="24"/>
        </w:rPr>
        <w:t>Companies operating in specific industries (such as education, real estate, finance, and land) require 40% Filipino ownership or more, while the broadly-interpreted ‘media’ category requires 100% Filipino ownership.</w:t>
      </w:r>
      <w:r w:rsidRPr="00F55FEE">
        <w:rPr>
          <w:rFonts w:eastAsia="Times New Roman" w:cs="Times New Roman"/>
          <w:szCs w:val="24"/>
          <w:vertAlign w:val="superscript"/>
        </w:rPr>
        <w:endnoteReference w:id="29"/>
      </w:r>
      <w:r w:rsidRPr="00F55FEE">
        <w:rPr>
          <w:rFonts w:eastAsia="Times New Roman" w:cs="Times New Roman"/>
          <w:szCs w:val="24"/>
        </w:rPr>
        <w:t xml:space="preserve"> As a result of this restriction, Filipino-owned startups may be disincentivized to register their business in the country. I</w:t>
      </w:r>
      <w:r w:rsidRPr="00F55FEE">
        <w:rPr>
          <w:rFonts w:eastAsia="Cardo" w:cs="Times New Roman"/>
          <w:szCs w:val="24"/>
        </w:rPr>
        <w:t xml:space="preserve">nvestors likewise may prefer to have their holdings abroad, not only in order to fully invest in or acquire a startup, but also because an environment with these types of restrictions is not one many </w:t>
      </w:r>
      <w:proofErr w:type="gramStart"/>
      <w:r w:rsidRPr="00F55FEE">
        <w:rPr>
          <w:rFonts w:eastAsia="Cardo" w:cs="Times New Roman"/>
          <w:szCs w:val="24"/>
        </w:rPr>
        <w:t>investors</w:t>
      </w:r>
      <w:proofErr w:type="gramEnd"/>
      <w:r w:rsidRPr="00F55FEE">
        <w:rPr>
          <w:rFonts w:eastAsia="Cardo" w:cs="Times New Roman"/>
          <w:szCs w:val="24"/>
        </w:rPr>
        <w:t xml:space="preserve"> want to do business in. Apart from foreign ownership restrictions, the regulatory system lacks incentives and protection for investors, </w:t>
      </w:r>
      <w:r w:rsidRPr="00F55FEE">
        <w:rPr>
          <w:rFonts w:eastAsia="Times New Roman" w:cs="Times New Roman"/>
          <w:szCs w:val="24"/>
        </w:rPr>
        <w:t>especially those who invest in tech startups,</w:t>
      </w:r>
      <w:r w:rsidRPr="00F55FEE">
        <w:rPr>
          <w:rFonts w:eastAsia="Cardo" w:cs="Times New Roman"/>
          <w:szCs w:val="24"/>
        </w:rPr>
        <w:t xml:space="preserve"> making the risk of investing in Philippine startups high.</w:t>
      </w:r>
      <w:r w:rsidRPr="00F55FEE">
        <w:rPr>
          <w:rFonts w:eastAsia="Cardo" w:cs="Times New Roman"/>
          <w:szCs w:val="24"/>
          <w:vertAlign w:val="superscript"/>
        </w:rPr>
        <w:endnoteReference w:id="30"/>
      </w:r>
      <w:r w:rsidRPr="00F55FEE">
        <w:rPr>
          <w:rFonts w:eastAsia="Cardo" w:cs="Times New Roman"/>
          <w:szCs w:val="24"/>
        </w:rPr>
        <w:t xml:space="preserve"> As it stands, the Philippines ranks low in the region in terms of investor protection, getting a score of 4.20 (out of 10), compared to 6.70 in Thailand, and 8.3 in Singapore.</w:t>
      </w:r>
      <w:r w:rsidRPr="00F55FEE">
        <w:rPr>
          <w:rFonts w:eastAsia="Cardo" w:cs="Times New Roman"/>
          <w:szCs w:val="24"/>
          <w:vertAlign w:val="superscript"/>
        </w:rPr>
        <w:endnoteReference w:id="31"/>
      </w:r>
      <w:r w:rsidRPr="00F55FEE">
        <w:rPr>
          <w:rFonts w:eastAsia="Cardo" w:cs="Times New Roman"/>
          <w:szCs w:val="24"/>
        </w:rPr>
        <w:t xml:space="preserve"> The high score garnered by Singapore is due to incentives afforded to investors that make doing business in the country substantially more attractive, such as: tax holidays and concessions (e.g., exemptions from tax, or subsidies), accelerated depreciation schemes, grants and favorable loan conditions. All of these are available to a broad spectrum of industries in Singapore.</w:t>
      </w:r>
      <w:r w:rsidRPr="00F55FEE">
        <w:rPr>
          <w:rFonts w:eastAsia="Cardo" w:cs="Times New Roman"/>
          <w:szCs w:val="24"/>
          <w:vertAlign w:val="superscript"/>
        </w:rPr>
        <w:endnoteReference w:id="32"/>
      </w:r>
    </w:p>
    <w:p w14:paraId="74D3C401" w14:textId="77777777" w:rsidR="00404A06" w:rsidRPr="00404A06" w:rsidRDefault="00404A06" w:rsidP="00404A06">
      <w:pPr>
        <w:pStyle w:val="ListParagraph"/>
        <w:ind w:left="360"/>
        <w:jc w:val="both"/>
        <w:rPr>
          <w:rFonts w:cs="Times New Roman"/>
          <w:bCs/>
          <w:color w:val="000000"/>
        </w:rPr>
      </w:pPr>
      <w:bookmarkStart w:id="43" w:name="_Hlk518030163"/>
    </w:p>
    <w:p w14:paraId="66796D07" w14:textId="340D885C" w:rsidR="009C3967" w:rsidRDefault="009C3967" w:rsidP="009C3967">
      <w:pPr>
        <w:pStyle w:val="ListParagraph"/>
        <w:numPr>
          <w:ilvl w:val="0"/>
          <w:numId w:val="50"/>
        </w:numPr>
        <w:jc w:val="both"/>
        <w:rPr>
          <w:rFonts w:cs="Times New Roman"/>
          <w:bCs/>
          <w:color w:val="000000"/>
        </w:rPr>
      </w:pPr>
      <w:r w:rsidRPr="000440C7">
        <w:rPr>
          <w:rFonts w:cs="Times New Roman"/>
          <w:b/>
          <w:bCs/>
          <w:color w:val="000000"/>
        </w:rPr>
        <w:t xml:space="preserve">High trade costs further restrict competition and reduce domestic firms’ opportunities </w:t>
      </w:r>
      <w:r>
        <w:rPr>
          <w:rFonts w:cs="Times New Roman"/>
          <w:b/>
          <w:bCs/>
          <w:color w:val="000000"/>
        </w:rPr>
        <w:t xml:space="preserve">to </w:t>
      </w:r>
      <w:r w:rsidRPr="000440C7">
        <w:rPr>
          <w:rFonts w:cs="Times New Roman"/>
          <w:b/>
          <w:bCs/>
          <w:color w:val="000000"/>
        </w:rPr>
        <w:t>access larger markets.</w:t>
      </w:r>
      <w:r w:rsidRPr="000440C7">
        <w:rPr>
          <w:rFonts w:cs="Times New Roman"/>
          <w:bCs/>
          <w:color w:val="000000"/>
        </w:rPr>
        <w:t xml:space="preserve"> Trade costs in the Philippines are among the highest in the Association of Southeast Asian Nations</w:t>
      </w:r>
      <w:r>
        <w:rPr>
          <w:rFonts w:cs="Times New Roman"/>
          <w:bCs/>
          <w:color w:val="000000"/>
        </w:rPr>
        <w:t xml:space="preserve"> (ASEAN)</w:t>
      </w:r>
      <w:r w:rsidRPr="000440C7">
        <w:rPr>
          <w:rFonts w:cs="Times New Roman"/>
          <w:bCs/>
          <w:color w:val="000000"/>
        </w:rPr>
        <w:t>, according to the 2019 Doing Business report (</w:t>
      </w:r>
      <w:r>
        <w:rPr>
          <w:rFonts w:cs="Times New Roman"/>
          <w:bCs/>
          <w:color w:val="000000"/>
        </w:rPr>
        <w:t>Figure 1</w:t>
      </w:r>
      <w:r w:rsidR="000C7596">
        <w:rPr>
          <w:rFonts w:cs="Times New Roman"/>
          <w:bCs/>
          <w:color w:val="000000"/>
        </w:rPr>
        <w:t>6</w:t>
      </w:r>
      <w:r w:rsidRPr="000440C7">
        <w:rPr>
          <w:rFonts w:cs="Times New Roman"/>
          <w:bCs/>
          <w:color w:val="000000"/>
        </w:rPr>
        <w:t>). Investors in the Philippines pay twice as much to export or import a shipping container as investors in Thailand. In addition, the Philippines ranks lowest among peer countries on the World Bank’s Logistics Performance Index, and it scores especially low on connectivity to international markets.</w:t>
      </w:r>
      <w:r w:rsidRPr="000440C7">
        <w:rPr>
          <w:rStyle w:val="EndnoteReference"/>
          <w:rFonts w:cs="Times New Roman"/>
        </w:rPr>
        <w:endnoteReference w:id="33"/>
      </w:r>
      <w:r w:rsidRPr="000440C7">
        <w:rPr>
          <w:rFonts w:cs="Times New Roman"/>
          <w:bCs/>
          <w:color w:val="000000"/>
        </w:rPr>
        <w:t xml:space="preserve"> </w:t>
      </w:r>
    </w:p>
    <w:p w14:paraId="2FD1267F" w14:textId="77777777" w:rsidR="00404A06" w:rsidRPr="000440C7" w:rsidRDefault="00404A06" w:rsidP="00404A06">
      <w:pPr>
        <w:pStyle w:val="ListParagraph"/>
        <w:ind w:left="360"/>
        <w:jc w:val="both"/>
        <w:rPr>
          <w:rFonts w:cs="Times New Roman"/>
          <w:bCs/>
          <w:color w:val="000000"/>
        </w:rPr>
      </w:pPr>
    </w:p>
    <w:p w14:paraId="5B5888AC" w14:textId="647D3E59" w:rsidR="009C3967" w:rsidRPr="000440C7" w:rsidRDefault="009C3967" w:rsidP="009C3967">
      <w:pPr>
        <w:pStyle w:val="Caption"/>
        <w:jc w:val="center"/>
        <w:rPr>
          <w:rFonts w:ascii="Times New Roman" w:hAnsi="Times New Roman" w:cs="Times New Roman"/>
          <w:b w:val="0"/>
        </w:rPr>
      </w:pPr>
      <w:bookmarkStart w:id="44" w:name="_Ref531968801"/>
      <w:r w:rsidRPr="000440C7">
        <w:rPr>
          <w:rFonts w:ascii="Times New Roman" w:hAnsi="Times New Roman" w:cs="Times New Roman"/>
        </w:rPr>
        <w:t xml:space="preserve">Figure </w:t>
      </w:r>
      <w:bookmarkEnd w:id="44"/>
      <w:r>
        <w:rPr>
          <w:rFonts w:ascii="Times New Roman" w:hAnsi="Times New Roman" w:cs="Times New Roman"/>
          <w:noProof/>
        </w:rPr>
        <w:t>1</w:t>
      </w:r>
      <w:r w:rsidR="00671467">
        <w:rPr>
          <w:rFonts w:ascii="Times New Roman" w:hAnsi="Times New Roman" w:cs="Times New Roman"/>
          <w:noProof/>
        </w:rPr>
        <w:t>6</w:t>
      </w:r>
      <w:r w:rsidRPr="000440C7">
        <w:rPr>
          <w:rFonts w:ascii="Times New Roman" w:hAnsi="Times New Roman" w:cs="Times New Roman"/>
        </w:rPr>
        <w:t>. Trade costs in the Philippines are some of the highest in the region</w:t>
      </w:r>
    </w:p>
    <w:p w14:paraId="6E80143C" w14:textId="77777777" w:rsidR="009C3967" w:rsidRPr="000440C7" w:rsidRDefault="009C3967" w:rsidP="009C3967">
      <w:pPr>
        <w:pStyle w:val="NoSpacing"/>
        <w:jc w:val="center"/>
        <w:rPr>
          <w:rFonts w:ascii="Times New Roman" w:hAnsi="Times New Roman" w:cs="Times New Roman"/>
        </w:rPr>
      </w:pPr>
      <w:r w:rsidRPr="000440C7">
        <w:rPr>
          <w:rFonts w:ascii="Times New Roman" w:hAnsi="Times New Roman" w:cs="Times New Roman"/>
          <w:sz w:val="18"/>
        </w:rPr>
        <w:t>Costs of importing and exporting a container (</w:t>
      </w:r>
      <w:r>
        <w:rPr>
          <w:rFonts w:ascii="Times New Roman" w:hAnsi="Times New Roman" w:cs="Times New Roman"/>
          <w:sz w:val="18"/>
        </w:rPr>
        <w:t>US$</w:t>
      </w:r>
      <w:r w:rsidRPr="000440C7">
        <w:rPr>
          <w:rFonts w:ascii="Times New Roman" w:hAnsi="Times New Roman" w:cs="Times New Roman"/>
          <w:sz w:val="18"/>
        </w:rPr>
        <w:t>)</w:t>
      </w:r>
    </w:p>
    <w:p w14:paraId="42953543" w14:textId="77777777" w:rsidR="009C3967" w:rsidRPr="000440C7" w:rsidRDefault="009C3967" w:rsidP="009C3967">
      <w:pPr>
        <w:pStyle w:val="FootnoteText"/>
        <w:tabs>
          <w:tab w:val="left" w:pos="540"/>
        </w:tabs>
        <w:jc w:val="center"/>
        <w:rPr>
          <w:rFonts w:cs="Times New Roman"/>
        </w:rPr>
      </w:pPr>
      <w:r w:rsidRPr="000440C7">
        <w:rPr>
          <w:rFonts w:cs="Times New Roman"/>
          <w:noProof/>
          <w:lang w:val="en-PH" w:eastAsia="en-PH"/>
        </w:rPr>
        <w:drawing>
          <wp:inline distT="0" distB="0" distL="0" distR="0" wp14:anchorId="6240AD05" wp14:editId="663A7C2B">
            <wp:extent cx="3958590" cy="2099463"/>
            <wp:effectExtent l="0" t="0" r="381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12921BB" w14:textId="77777777" w:rsidR="009C3967" w:rsidRPr="000440C7" w:rsidRDefault="009C3967" w:rsidP="009C3967">
      <w:pPr>
        <w:spacing w:line="240" w:lineRule="auto"/>
        <w:ind w:left="90"/>
        <w:jc w:val="center"/>
        <w:rPr>
          <w:rFonts w:cs="Times New Roman"/>
        </w:rPr>
      </w:pPr>
      <w:r w:rsidRPr="000440C7">
        <w:rPr>
          <w:rFonts w:cs="Times New Roman"/>
          <w:i/>
          <w:sz w:val="18"/>
          <w:szCs w:val="20"/>
        </w:rPr>
        <w:t xml:space="preserve">Source: </w:t>
      </w:r>
      <w:r w:rsidRPr="00BE79CB">
        <w:rPr>
          <w:rFonts w:cs="Times New Roman"/>
          <w:sz w:val="18"/>
          <w:szCs w:val="20"/>
        </w:rPr>
        <w:t>Doing Business 2019</w:t>
      </w:r>
      <w:r>
        <w:rPr>
          <w:rFonts w:cs="Times New Roman"/>
          <w:sz w:val="18"/>
          <w:szCs w:val="20"/>
        </w:rPr>
        <w:t>.</w:t>
      </w:r>
    </w:p>
    <w:bookmarkEnd w:id="43"/>
    <w:p w14:paraId="51FFED55" w14:textId="77777777" w:rsidR="009C3967" w:rsidRPr="00FF6DF5" w:rsidRDefault="009C3967" w:rsidP="009C3967">
      <w:pPr>
        <w:pStyle w:val="ListParagraph"/>
        <w:numPr>
          <w:ilvl w:val="0"/>
          <w:numId w:val="50"/>
        </w:numPr>
        <w:jc w:val="both"/>
        <w:rPr>
          <w:rFonts w:ascii="Times" w:hAnsi="Times" w:cs="Calibri"/>
        </w:rPr>
      </w:pPr>
      <w:r w:rsidRPr="00FF6DF5">
        <w:rPr>
          <w:rFonts w:ascii="Times" w:hAnsi="Times"/>
          <w:b/>
        </w:rPr>
        <w:t xml:space="preserve">The complex </w:t>
      </w:r>
      <w:r>
        <w:rPr>
          <w:rFonts w:ascii="Times" w:hAnsi="Times"/>
          <w:b/>
        </w:rPr>
        <w:t xml:space="preserve">trade </w:t>
      </w:r>
      <w:r w:rsidRPr="00FF6DF5">
        <w:rPr>
          <w:rFonts w:ascii="Times" w:hAnsi="Times"/>
          <w:b/>
        </w:rPr>
        <w:t>regulatory environment in the country is a major challenge in sourcing for SMEs.</w:t>
      </w:r>
      <w:r w:rsidRPr="00FF6DF5">
        <w:rPr>
          <w:rFonts w:ascii="Times" w:hAnsi="Times"/>
        </w:rPr>
        <w:t xml:space="preserve"> SMEs derive at least thirty percent of their inputs from foreign sources. However, most SMEs encounter difficulties in obtaining import licenses to acquire foreign inputs. </w:t>
      </w:r>
      <w:r w:rsidRPr="00FF6DF5">
        <w:rPr>
          <w:rFonts w:ascii="Times" w:hAnsi="Times" w:cs="Calibri"/>
        </w:rPr>
        <w:t>The delays are especially binding for industries producing non-metallic products, where almost 60 percent of the firms obtained a license after 6 months. In addition, 40 percent of firms in other manufacturing industries received a license after six months, with some reporting that the process can take an entire year.</w:t>
      </w:r>
    </w:p>
    <w:p w14:paraId="0607124C" w14:textId="77777777" w:rsidR="009C3967" w:rsidRDefault="009C3967" w:rsidP="00404A06">
      <w:pPr>
        <w:pStyle w:val="ListParagraph"/>
        <w:ind w:left="360"/>
        <w:jc w:val="both"/>
        <w:rPr>
          <w:rFonts w:cs="Times New Roman"/>
          <w:b/>
          <w:bCs/>
        </w:rPr>
      </w:pPr>
    </w:p>
    <w:p w14:paraId="49418047" w14:textId="67224E20" w:rsidR="00617EC9" w:rsidRPr="00404A06" w:rsidRDefault="00363065" w:rsidP="00404A06">
      <w:pPr>
        <w:pStyle w:val="ListParagraph"/>
        <w:numPr>
          <w:ilvl w:val="0"/>
          <w:numId w:val="50"/>
        </w:numPr>
        <w:jc w:val="both"/>
        <w:rPr>
          <w:rFonts w:cs="Times New Roman"/>
          <w:b/>
          <w:bCs/>
        </w:rPr>
      </w:pPr>
      <w:r w:rsidRPr="009249D1">
        <w:rPr>
          <w:rFonts w:cs="Times New Roman"/>
          <w:b/>
          <w:bCs/>
        </w:rPr>
        <w:t xml:space="preserve">High trade costs restrict competition and technology transfer. </w:t>
      </w:r>
      <w:r w:rsidRPr="009249D1">
        <w:rPr>
          <w:rFonts w:cs="Times New Roman"/>
          <w:bCs/>
        </w:rPr>
        <w:t>International trade contributes to productivity growth by increasing competition and facilitating technology adoption.</w:t>
      </w:r>
      <w:r w:rsidRPr="009249D1">
        <w:rPr>
          <w:rFonts w:cs="Times New Roman"/>
          <w:b/>
          <w:bCs/>
        </w:rPr>
        <w:t xml:space="preserve"> </w:t>
      </w:r>
      <w:r w:rsidRPr="009249D1">
        <w:rPr>
          <w:rFonts w:cs="Times New Roman"/>
          <w:bCs/>
        </w:rPr>
        <w:t>However, trade openness in the Philippines has been declining in the past two decades despite an increasingly liberalized trade regime. A possible explanation is a higher trade cost in the Philippines relative to countries in the region. In addition, non-tariff measures (NTMs) such as technical regulations, product standards, and custom procedures may explain the decline in trade openness. According to the International Trade Center (2015), 93.5 percent of Philippine exporters and 98.2 percent of importers report procedural obstacle (POs) as the main barriers to trade.</w:t>
      </w:r>
    </w:p>
    <w:p w14:paraId="70E30D24" w14:textId="77777777" w:rsidR="00617EC9" w:rsidRPr="00617EC9" w:rsidRDefault="00617EC9" w:rsidP="00617EC9">
      <w:pPr>
        <w:pStyle w:val="ListParagraph"/>
        <w:rPr>
          <w:rFonts w:cs="Times New Roman"/>
          <w:b/>
          <w:bCs/>
        </w:rPr>
      </w:pPr>
    </w:p>
    <w:p w14:paraId="6C0882A8" w14:textId="39B09586" w:rsidR="00363065" w:rsidRPr="009249D1" w:rsidRDefault="00363065" w:rsidP="009249D1">
      <w:pPr>
        <w:pStyle w:val="ListParagraph"/>
        <w:numPr>
          <w:ilvl w:val="0"/>
          <w:numId w:val="50"/>
        </w:numPr>
        <w:jc w:val="both"/>
        <w:rPr>
          <w:rFonts w:cs="Times New Roman"/>
          <w:bCs/>
        </w:rPr>
      </w:pPr>
      <w:r w:rsidRPr="009249D1">
        <w:rPr>
          <w:rFonts w:cs="Times New Roman"/>
          <w:b/>
          <w:bCs/>
        </w:rPr>
        <w:t>FDI flows impact knowledge spillover.</w:t>
      </w:r>
      <w:r w:rsidRPr="009249D1">
        <w:rPr>
          <w:rFonts w:cs="Times New Roman"/>
          <w:bCs/>
        </w:rPr>
        <w:t xml:space="preserve"> Productivity is positively related to FDI not only because it brings competition, capital flows but also knowledge spillover to domestic firms. This entails access to new technologies, modern practices, new processes, and management capabilities. While FDI inflows in the Philippines has increased through the years, it remains low relative to regional and structural peers (Figure 1</w:t>
      </w:r>
      <w:r w:rsidR="000C7596">
        <w:rPr>
          <w:rFonts w:cs="Times New Roman"/>
          <w:bCs/>
        </w:rPr>
        <w:t>7</w:t>
      </w:r>
      <w:r w:rsidRPr="009249D1">
        <w:rPr>
          <w:rFonts w:cs="Times New Roman"/>
          <w:bCs/>
        </w:rPr>
        <w:t xml:space="preserve">). The sectors that received the highest FDI flows - namely manufacturing, financial and insurance, and real estate - provide evidence of the positive relationship to spillover effect. </w:t>
      </w:r>
    </w:p>
    <w:p w14:paraId="1D895A0C" w14:textId="77777777" w:rsidR="00363065" w:rsidRPr="00363065" w:rsidRDefault="00363065" w:rsidP="00363065">
      <w:pPr>
        <w:ind w:left="360"/>
        <w:contextualSpacing/>
        <w:jc w:val="both"/>
        <w:rPr>
          <w:rFonts w:cs="Times New Roman"/>
          <w:bCs/>
          <w:sz w:val="24"/>
          <w:szCs w:val="24"/>
        </w:rPr>
      </w:pPr>
    </w:p>
    <w:p w14:paraId="3950514E" w14:textId="0C3DFEC2" w:rsidR="00363065" w:rsidRPr="00363065" w:rsidRDefault="00363065" w:rsidP="00363065">
      <w:pPr>
        <w:ind w:left="360"/>
        <w:contextualSpacing/>
        <w:jc w:val="both"/>
        <w:rPr>
          <w:rFonts w:cs="Times New Roman"/>
          <w:b/>
          <w:bCs/>
        </w:rPr>
      </w:pPr>
      <w:r w:rsidRPr="00363065">
        <w:rPr>
          <w:rFonts w:eastAsia="Malgun Gothic" w:cs="Times New Roman"/>
          <w:b/>
          <w:color w:val="000000"/>
          <w:lang w:eastAsia="ko-KR"/>
        </w:rPr>
        <w:tab/>
      </w:r>
      <w:r w:rsidRPr="00363065">
        <w:rPr>
          <w:rFonts w:eastAsia="Malgun Gothic" w:cs="Times New Roman"/>
          <w:b/>
          <w:color w:val="000000"/>
          <w:lang w:eastAsia="ko-KR"/>
        </w:rPr>
        <w:tab/>
        <w:t>Figure 1</w:t>
      </w:r>
      <w:r w:rsidR="000C7596">
        <w:rPr>
          <w:rFonts w:eastAsia="Malgun Gothic" w:cs="Times New Roman"/>
          <w:b/>
          <w:color w:val="000000"/>
          <w:lang w:eastAsia="ko-KR"/>
        </w:rPr>
        <w:t>7:</w:t>
      </w:r>
      <w:r w:rsidRPr="00363065" w:rsidDel="009764E0">
        <w:rPr>
          <w:rFonts w:eastAsia="Malgun Gothic" w:cs="Times New Roman"/>
          <w:b/>
          <w:color w:val="000000"/>
          <w:lang w:eastAsia="ko-KR"/>
        </w:rPr>
        <w:t xml:space="preserve"> </w:t>
      </w:r>
      <w:r w:rsidRPr="00363065">
        <w:rPr>
          <w:rFonts w:eastAsia="Malgun Gothic" w:cs="Times New Roman"/>
          <w:b/>
          <w:color w:val="000000"/>
          <w:lang w:eastAsia="ko-KR"/>
        </w:rPr>
        <w:t>Net inflow of FDI increasing but still low relative to regional peers.</w:t>
      </w:r>
      <w:r w:rsidRPr="00363065">
        <w:rPr>
          <w:rFonts w:eastAsia="Malgun Gothic" w:cs="Times New Roman"/>
          <w:b/>
          <w:color w:val="000000"/>
          <w:lang w:eastAsia="ko-KR"/>
        </w:rPr>
        <w:tab/>
      </w:r>
    </w:p>
    <w:p w14:paraId="594BFA19" w14:textId="77777777" w:rsidR="00363065" w:rsidRPr="00363065" w:rsidRDefault="00363065" w:rsidP="00363065">
      <w:pPr>
        <w:ind w:left="360"/>
        <w:contextualSpacing/>
        <w:jc w:val="both"/>
        <w:rPr>
          <w:rFonts w:cs="Times New Roman"/>
          <w:b/>
          <w:bCs/>
          <w:sz w:val="24"/>
          <w:szCs w:val="24"/>
        </w:rPr>
      </w:pPr>
      <w:r w:rsidRPr="00363065">
        <w:rPr>
          <w:rFonts w:cs="Times New Roman"/>
          <w:b/>
          <w:bCs/>
          <w:sz w:val="24"/>
          <w:szCs w:val="24"/>
        </w:rPr>
        <w:tab/>
      </w:r>
      <w:r w:rsidRPr="00363065">
        <w:rPr>
          <w:rFonts w:cs="Times New Roman"/>
          <w:b/>
          <w:bCs/>
          <w:sz w:val="24"/>
          <w:szCs w:val="24"/>
        </w:rPr>
        <w:tab/>
      </w:r>
      <w:r w:rsidRPr="00363065">
        <w:rPr>
          <w:rFonts w:cs="Times New Roman"/>
          <w:noProof/>
        </w:rPr>
        <w:drawing>
          <wp:inline distT="0" distB="0" distL="0" distR="0" wp14:anchorId="286BE445" wp14:editId="0046F15E">
            <wp:extent cx="4838218" cy="2210764"/>
            <wp:effectExtent l="0" t="0" r="635" b="0"/>
            <wp:docPr id="62" name="Chart 201">
              <a:extLst xmlns:a="http://schemas.openxmlformats.org/drawingml/2006/main">
                <a:ext uri="{FF2B5EF4-FFF2-40B4-BE49-F238E27FC236}">
                  <a16:creationId xmlns:a16="http://schemas.microsoft.com/office/drawing/2014/main" id="{0D2B6EA0-6F7C-4DFC-9951-E06B3804A4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2C665FA" w14:textId="77777777" w:rsidR="00363065" w:rsidRPr="00363065" w:rsidRDefault="00363065" w:rsidP="00363065">
      <w:pPr>
        <w:ind w:left="360"/>
        <w:contextualSpacing/>
        <w:jc w:val="both"/>
        <w:rPr>
          <w:rFonts w:cs="Times New Roman"/>
          <w:bCs/>
          <w:sz w:val="18"/>
          <w:szCs w:val="18"/>
        </w:rPr>
      </w:pPr>
      <w:r w:rsidRPr="00363065">
        <w:rPr>
          <w:rFonts w:cs="Times New Roman"/>
          <w:bCs/>
          <w:sz w:val="24"/>
          <w:szCs w:val="24"/>
        </w:rPr>
        <w:tab/>
      </w:r>
      <w:r w:rsidRPr="00363065">
        <w:rPr>
          <w:rFonts w:cs="Times New Roman"/>
          <w:bCs/>
          <w:sz w:val="24"/>
          <w:szCs w:val="24"/>
        </w:rPr>
        <w:tab/>
      </w:r>
      <w:r w:rsidRPr="00363065">
        <w:rPr>
          <w:rFonts w:cs="Times New Roman"/>
          <w:bCs/>
          <w:sz w:val="24"/>
          <w:szCs w:val="24"/>
        </w:rPr>
        <w:tab/>
      </w:r>
      <w:r w:rsidRPr="00363065">
        <w:rPr>
          <w:rFonts w:cs="Times New Roman"/>
          <w:bCs/>
          <w:sz w:val="18"/>
          <w:szCs w:val="18"/>
        </w:rPr>
        <w:t>Source: WDI</w:t>
      </w:r>
    </w:p>
    <w:p w14:paraId="1CEE4668" w14:textId="77777777" w:rsidR="00617EC9" w:rsidRPr="001764A1" w:rsidRDefault="00617EC9" w:rsidP="00617EC9">
      <w:pPr>
        <w:pStyle w:val="ListParagraph"/>
        <w:ind w:left="360"/>
        <w:jc w:val="both"/>
        <w:rPr>
          <w:rFonts w:cs="Times New Roman"/>
          <w:b/>
        </w:rPr>
      </w:pPr>
    </w:p>
    <w:p w14:paraId="7C0FB455" w14:textId="262C5DE5" w:rsidR="00617EC9" w:rsidRPr="00EF1B9B" w:rsidRDefault="00617EC9" w:rsidP="00617EC9">
      <w:pPr>
        <w:pStyle w:val="ListParagraph"/>
        <w:numPr>
          <w:ilvl w:val="0"/>
          <w:numId w:val="50"/>
        </w:numPr>
        <w:jc w:val="both"/>
        <w:rPr>
          <w:rFonts w:eastAsia="Times New Roman" w:cs="Times New Roman"/>
          <w:shd w:val="clear" w:color="auto" w:fill="FFFFFF"/>
        </w:rPr>
      </w:pPr>
      <w:r w:rsidRPr="001A7288">
        <w:rPr>
          <w:rFonts w:cs="Times New Roman"/>
          <w:b/>
        </w:rPr>
        <w:t>Paying taxes, an important component as part of operating businesses, is equally an arduous task.</w:t>
      </w:r>
      <w:r w:rsidRPr="001A7288">
        <w:rPr>
          <w:rFonts w:cs="Times New Roman"/>
        </w:rPr>
        <w:t xml:space="preserve"> </w:t>
      </w:r>
      <w:r w:rsidRPr="001A7288">
        <w:rPr>
          <w:rFonts w:eastAsia="Times New Roman" w:cs="Times New Roman"/>
          <w:shd w:val="clear" w:color="auto" w:fill="FFFFFF"/>
        </w:rPr>
        <w:t xml:space="preserve">National expert surveys as part of the Global Entrepreneurship Monitor (GEM) shows that the country ranks below its peers on the ‘taxes and bureaucracy’ component. According to the </w:t>
      </w:r>
      <w:r w:rsidRPr="001A7288">
        <w:rPr>
          <w:rFonts w:eastAsia="Times New Roman" w:cs="Times New Roman"/>
          <w:i/>
          <w:shd w:val="clear" w:color="auto" w:fill="FFFFFF"/>
        </w:rPr>
        <w:t>Paying Taxes 2018 report</w:t>
      </w:r>
      <w:r w:rsidRPr="001A7288">
        <w:rPr>
          <w:rFonts w:eastAsia="Times New Roman" w:cs="Times New Roman"/>
          <w:shd w:val="clear" w:color="auto" w:fill="FFFFFF"/>
        </w:rPr>
        <w:t xml:space="preserve">, it takes an average of 182 hours a year to comply with tax regulations and make 20 tax payments in the Philippines (including mandatory social and health insurance). In contrast, it takes 64 hours a year to make 5 tax payments in Singapore. While it became possible to pay taxes online since 2018, the impact of this online system for Filipino firms remains unclear. Beyond the burdensome logistics related to making tax payments, there is no tax scheme supporting startups specifically, although there is the Barangay Micro Business Enterprise (BMBE) law focused on micro-entrepreneurs more broadly. In contrast, Singapore offers incentives such as tax exemptions and expense deductions for focused on startups (Box </w:t>
      </w:r>
      <w:r w:rsidR="00D250D8">
        <w:rPr>
          <w:rFonts w:eastAsia="Times New Roman" w:cs="Times New Roman"/>
          <w:shd w:val="clear" w:color="auto" w:fill="FFFFFF"/>
        </w:rPr>
        <w:t>1</w:t>
      </w:r>
      <w:r w:rsidRPr="001A7288">
        <w:rPr>
          <w:rFonts w:eastAsia="Times New Roman" w:cs="Times New Roman"/>
          <w:shd w:val="clear" w:color="auto" w:fill="FFFFFF"/>
        </w:rPr>
        <w:t>)</w:t>
      </w:r>
      <w:r>
        <w:rPr>
          <w:rFonts w:eastAsia="Times New Roman" w:cs="Times New Roman"/>
          <w:shd w:val="clear" w:color="auto" w:fill="FFFFFF"/>
        </w:rPr>
        <w:t>.</w:t>
      </w:r>
    </w:p>
    <w:p w14:paraId="018615B2" w14:textId="5918A6BF" w:rsidR="00617EC9" w:rsidRPr="00EF1B9B" w:rsidRDefault="00617EC9" w:rsidP="00617EC9">
      <w:pPr>
        <w:spacing w:after="0" w:line="240" w:lineRule="auto"/>
        <w:jc w:val="center"/>
        <w:rPr>
          <w:rFonts w:cs="Times New Roman"/>
          <w:b/>
          <w:szCs w:val="24"/>
        </w:rPr>
      </w:pPr>
      <w:r w:rsidRPr="00EF1B9B">
        <w:rPr>
          <w:rFonts w:cs="Times New Roman"/>
          <w:b/>
          <w:szCs w:val="24"/>
        </w:rPr>
        <w:t xml:space="preserve">Box </w:t>
      </w:r>
      <w:r w:rsidR="00D250D8">
        <w:rPr>
          <w:rFonts w:cs="Times New Roman"/>
          <w:b/>
          <w:szCs w:val="24"/>
        </w:rPr>
        <w:t>1</w:t>
      </w:r>
      <w:r w:rsidRPr="00EF1B9B">
        <w:rPr>
          <w:rFonts w:cs="Times New Roman"/>
          <w:b/>
          <w:szCs w:val="24"/>
        </w:rPr>
        <w:t>. Contrasting Philippines’ and Singapore’s tax schemes</w:t>
      </w:r>
    </w:p>
    <w:tbl>
      <w:tblPr>
        <w:tblStyle w:val="TableGrid2"/>
        <w:tblW w:w="0" w:type="auto"/>
        <w:tblInd w:w="0" w:type="dxa"/>
        <w:tblLook w:val="04A0" w:firstRow="1" w:lastRow="0" w:firstColumn="1" w:lastColumn="0" w:noHBand="0" w:noVBand="1"/>
      </w:tblPr>
      <w:tblGrid>
        <w:gridCol w:w="9350"/>
      </w:tblGrid>
      <w:tr w:rsidR="00617EC9" w14:paraId="10CA701C" w14:textId="77777777" w:rsidTr="000D1EBD">
        <w:tc>
          <w:tcPr>
            <w:tcW w:w="9350" w:type="dxa"/>
            <w:tcBorders>
              <w:top w:val="single" w:sz="4" w:space="0" w:color="auto"/>
              <w:left w:val="single" w:sz="4" w:space="0" w:color="auto"/>
              <w:bottom w:val="single" w:sz="4" w:space="0" w:color="auto"/>
              <w:right w:val="single" w:sz="4" w:space="0" w:color="auto"/>
            </w:tcBorders>
          </w:tcPr>
          <w:p w14:paraId="0FFB0809" w14:textId="77777777" w:rsidR="00617EC9" w:rsidRPr="008D79EE" w:rsidRDefault="00617EC9" w:rsidP="000D1EBD">
            <w:pPr>
              <w:rPr>
                <w:rFonts w:eastAsia="Times New Roman" w:cs="Times New Roman"/>
                <w:sz w:val="20"/>
                <w:szCs w:val="20"/>
                <w:shd w:val="clear" w:color="auto" w:fill="FFFFFF"/>
              </w:rPr>
            </w:pPr>
            <w:r w:rsidRPr="008D79EE">
              <w:rPr>
                <w:rFonts w:cs="Times New Roman"/>
                <w:i/>
                <w:sz w:val="20"/>
                <w:szCs w:val="20"/>
              </w:rPr>
              <w:t>Philippines:</w:t>
            </w:r>
            <w:r w:rsidRPr="008D79EE">
              <w:rPr>
                <w:rFonts w:cs="Times New Roman"/>
                <w:sz w:val="20"/>
                <w:szCs w:val="20"/>
              </w:rPr>
              <w:t xml:space="preserve"> </w:t>
            </w:r>
            <w:r w:rsidRPr="008D79EE">
              <w:rPr>
                <w:rFonts w:eastAsia="Times New Roman" w:cs="Times New Roman"/>
                <w:sz w:val="20"/>
                <w:szCs w:val="20"/>
                <w:shd w:val="clear" w:color="auto" w:fill="FFFFFF"/>
              </w:rPr>
              <w:t xml:space="preserve">All startups are required to file taxes upon their first year of incorporation and pay taxes on any income earned within the same time frame. This includes the 25% fixed corporate income tax, a business tax of 3% (which rises to 12% if a company’s annual gross sales or revenues exceed P1,919500), and a withholding tax. The closest regulation aiming to help alleviate the tax burden for entrepreneurs is Republic Act No. 9178, or the Barangay Micro Business Enterprise (BMBE) Law, enacted in 2002 with the aim of scaling-up MSMEs, through the provision of several benefits, including tax exemption on all operating expenses, minimum wage exemptions, credit priority, and growth assistance. To receive these benefits, firms must apply at </w:t>
            </w:r>
            <w:proofErr w:type="spellStart"/>
            <w:r w:rsidRPr="008D79EE">
              <w:rPr>
                <w:rFonts w:eastAsia="Times New Roman" w:cs="Times New Roman"/>
                <w:sz w:val="20"/>
                <w:szCs w:val="20"/>
                <w:shd w:val="clear" w:color="auto" w:fill="FFFFFF"/>
              </w:rPr>
              <w:t>GoNegosyo</w:t>
            </w:r>
            <w:proofErr w:type="spellEnd"/>
            <w:r w:rsidRPr="008D79EE">
              <w:rPr>
                <w:rFonts w:eastAsia="Times New Roman" w:cs="Times New Roman"/>
                <w:sz w:val="20"/>
                <w:szCs w:val="20"/>
                <w:shd w:val="clear" w:color="auto" w:fill="FFFFFF"/>
              </w:rPr>
              <w:t xml:space="preserve"> centers and wait for approval from DTI, and must qualify as a BMBE, which is defined as “any business enterprise engaged in production, processing, or manufacturing of products, including </w:t>
            </w:r>
            <w:proofErr w:type="spellStart"/>
            <w:r w:rsidRPr="008D79EE">
              <w:rPr>
                <w:rFonts w:eastAsia="Times New Roman" w:cs="Times New Roman"/>
                <w:sz w:val="20"/>
                <w:szCs w:val="20"/>
                <w:shd w:val="clear" w:color="auto" w:fill="FFFFFF"/>
              </w:rPr>
              <w:t>agro</w:t>
            </w:r>
            <w:proofErr w:type="spellEnd"/>
            <w:r w:rsidRPr="008D79EE">
              <w:rPr>
                <w:rFonts w:eastAsia="Times New Roman" w:cs="Times New Roman"/>
                <w:sz w:val="20"/>
                <w:szCs w:val="20"/>
                <w:shd w:val="clear" w:color="auto" w:fill="FFFFFF"/>
              </w:rPr>
              <w:t>-processing, as well as trading and services, with total assets of not more than P3 million”.  However, not all startups can meet the above-mentioned eligibility criteria.</w:t>
            </w:r>
          </w:p>
          <w:p w14:paraId="2C7007DB" w14:textId="77777777" w:rsidR="00617EC9" w:rsidRPr="008D79EE" w:rsidRDefault="00617EC9" w:rsidP="000D1EBD">
            <w:pPr>
              <w:rPr>
                <w:rFonts w:cs="Times New Roman"/>
                <w:sz w:val="20"/>
                <w:szCs w:val="20"/>
              </w:rPr>
            </w:pPr>
          </w:p>
          <w:p w14:paraId="60EA1F95" w14:textId="77777777" w:rsidR="00617EC9" w:rsidRDefault="00617EC9" w:rsidP="000D1EBD">
            <w:pPr>
              <w:rPr>
                <w:rFonts w:cs="Times New Roman"/>
                <w:sz w:val="24"/>
                <w:szCs w:val="24"/>
              </w:rPr>
            </w:pPr>
            <w:r w:rsidRPr="008D79EE">
              <w:rPr>
                <w:rFonts w:cs="Times New Roman"/>
                <w:i/>
                <w:sz w:val="20"/>
                <w:szCs w:val="20"/>
              </w:rPr>
              <w:t>Singapore:</w:t>
            </w:r>
            <w:r w:rsidRPr="008D79EE">
              <w:rPr>
                <w:rFonts w:cs="Times New Roman"/>
                <w:sz w:val="20"/>
                <w:szCs w:val="20"/>
              </w:rPr>
              <w:t xml:space="preserve"> Since 2005, startups received tax benefits such as (i) tax exemption scheme for new start-up companies; (i) partial tax exemption for all companies; and (iii) deduction of expenses incurred before commencement of business. This included: full exemption on the first $100,000 of normal chargeable income; and a further 50% exemption on the next $200,000 of normal chargeable income for the first three years of assessment. This scheme will be changed from a full exemption to 75% exemption by 2020</w:t>
            </w:r>
            <w:r w:rsidRPr="008D79EE">
              <w:rPr>
                <w:rFonts w:cs="Times New Roman"/>
                <w:sz w:val="20"/>
                <w:szCs w:val="20"/>
                <w:vertAlign w:val="superscript"/>
              </w:rPr>
              <w:t>.</w:t>
            </w:r>
            <w:r w:rsidRPr="008D79EE">
              <w:rPr>
                <w:rFonts w:cs="Times New Roman"/>
                <w:sz w:val="20"/>
                <w:szCs w:val="20"/>
                <w:vertAlign w:val="superscript"/>
              </w:rPr>
              <w:endnoteReference w:id="34"/>
            </w:r>
          </w:p>
        </w:tc>
      </w:tr>
    </w:tbl>
    <w:p w14:paraId="413B9D37" w14:textId="77777777" w:rsidR="00617EC9" w:rsidRDefault="00617EC9" w:rsidP="00617EC9">
      <w:pPr>
        <w:spacing w:after="0"/>
      </w:pPr>
    </w:p>
    <w:p w14:paraId="5A111B96" w14:textId="77777777" w:rsidR="007F7F90" w:rsidRDefault="007F7F90" w:rsidP="007F7F90">
      <w:pPr>
        <w:pStyle w:val="Heading4"/>
        <w:rPr>
          <w:rFonts w:ascii="Times New Roman" w:hAnsi="Times New Roman"/>
        </w:rPr>
      </w:pPr>
      <w:r>
        <w:t>Labor market</w:t>
      </w:r>
    </w:p>
    <w:p w14:paraId="5D5C2115" w14:textId="0DFD9BE9" w:rsidR="007F7F90" w:rsidRPr="001665D6" w:rsidRDefault="007F7F90" w:rsidP="007F7F90">
      <w:pPr>
        <w:pStyle w:val="ListParagraph"/>
        <w:numPr>
          <w:ilvl w:val="0"/>
          <w:numId w:val="48"/>
        </w:numPr>
        <w:jc w:val="both"/>
      </w:pPr>
      <w:r w:rsidRPr="000440C7">
        <w:rPr>
          <w:rFonts w:cs="Times New Roman"/>
          <w:b/>
        </w:rPr>
        <w:t xml:space="preserve">Labor regulations in the Philippines are one of the most stringent in the ASEAN region, limiting the creation of formal jobs. </w:t>
      </w:r>
      <w:r w:rsidRPr="000440C7">
        <w:rPr>
          <w:rFonts w:cs="Times New Roman"/>
        </w:rPr>
        <w:t>According to the Global Competitiveness Report 2017</w:t>
      </w:r>
      <w:r>
        <w:rPr>
          <w:rFonts w:cs="Times New Roman"/>
        </w:rPr>
        <w:t>–</w:t>
      </w:r>
      <w:r w:rsidRPr="000440C7">
        <w:rPr>
          <w:rFonts w:cs="Times New Roman"/>
        </w:rPr>
        <w:t>2018, the Philippines ranks 84</w:t>
      </w:r>
      <w:r>
        <w:rPr>
          <w:rFonts w:cs="Times New Roman"/>
        </w:rPr>
        <w:t xml:space="preserve"> </w:t>
      </w:r>
      <w:r w:rsidRPr="000440C7">
        <w:rPr>
          <w:rFonts w:cs="Times New Roman"/>
        </w:rPr>
        <w:t>out of 137 countries in terms of labor market efficiency and 77 on the ease of hiring and firing workers, more restrictive than in peers</w:t>
      </w:r>
      <w:r w:rsidRPr="000440C7" w:rsidDel="009A0404">
        <w:rPr>
          <w:rFonts w:cs="Times New Roman"/>
        </w:rPr>
        <w:t xml:space="preserve"> </w:t>
      </w:r>
      <w:r w:rsidRPr="000440C7">
        <w:rPr>
          <w:rFonts w:cs="Times New Roman"/>
        </w:rPr>
        <w:t>(</w:t>
      </w:r>
      <w:r>
        <w:rPr>
          <w:rFonts w:cs="Times New Roman"/>
        </w:rPr>
        <w:t xml:space="preserve">Figure </w:t>
      </w:r>
      <w:r w:rsidR="00F41A14">
        <w:rPr>
          <w:rFonts w:cs="Times New Roman"/>
        </w:rPr>
        <w:t>18</w:t>
      </w:r>
      <w:r>
        <w:rPr>
          <w:rFonts w:cs="Times New Roman"/>
        </w:rPr>
        <w:t xml:space="preserve">). </w:t>
      </w:r>
      <w:r w:rsidRPr="00986F56">
        <w:rPr>
          <w:rFonts w:cs="Times New Roman"/>
        </w:rPr>
        <w:t xml:space="preserve">The strict labor regulations contribute to informality by increasing the cost of formal compared to informal, discourages employers from hiring workers formally and leads them to increasingly use temporary employment contracts. </w:t>
      </w:r>
      <w:bookmarkStart w:id="45" w:name="_Ref515623095"/>
      <w:bookmarkStart w:id="46" w:name="_Hlk518030315"/>
    </w:p>
    <w:tbl>
      <w:tblPr>
        <w:tblStyle w:val="TableGrid"/>
        <w:tblpPr w:leftFromText="180" w:rightFromText="180" w:vertAnchor="text" w:horzAnchor="page" w:tblpX="2243" w:tblpY="3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6"/>
        <w:gridCol w:w="2724"/>
      </w:tblGrid>
      <w:tr w:rsidR="00F41A14" w:rsidRPr="000440C7" w14:paraId="09C2C882" w14:textId="77777777" w:rsidTr="00F41A14">
        <w:tc>
          <w:tcPr>
            <w:tcW w:w="6636" w:type="dxa"/>
          </w:tcPr>
          <w:p w14:paraId="2333A17E" w14:textId="77777777" w:rsidR="00F41A14" w:rsidRPr="000440C7" w:rsidRDefault="00F41A14" w:rsidP="00F41A14">
            <w:pPr>
              <w:pStyle w:val="Caption"/>
              <w:spacing w:after="0"/>
              <w:rPr>
                <w:rFonts w:ascii="Times New Roman" w:hAnsi="Times New Roman" w:cs="Times New Roman"/>
                <w:sz w:val="20"/>
                <w:szCs w:val="20"/>
              </w:rPr>
            </w:pPr>
            <w:r w:rsidRPr="000440C7">
              <w:rPr>
                <w:rFonts w:ascii="Times New Roman" w:hAnsi="Times New Roman" w:cs="Times New Roman"/>
                <w:color w:val="000000" w:themeColor="text1"/>
                <w:szCs w:val="20"/>
              </w:rPr>
              <w:t xml:space="preserve">Figure </w:t>
            </w:r>
            <w:r>
              <w:rPr>
                <w:rFonts w:ascii="Times New Roman" w:hAnsi="Times New Roman" w:cs="Times New Roman"/>
                <w:color w:val="000000" w:themeColor="text1"/>
                <w:szCs w:val="20"/>
              </w:rPr>
              <w:t>18</w:t>
            </w:r>
            <w:r w:rsidRPr="000440C7" w:rsidDel="006C6071">
              <w:rPr>
                <w:rFonts w:ascii="Times New Roman" w:hAnsi="Times New Roman" w:cs="Times New Roman"/>
                <w:color w:val="000000" w:themeColor="text1"/>
                <w:szCs w:val="20"/>
              </w:rPr>
              <w:t xml:space="preserve">. </w:t>
            </w:r>
            <w:r w:rsidRPr="000440C7">
              <w:rPr>
                <w:rFonts w:ascii="Times New Roman" w:hAnsi="Times New Roman" w:cs="Times New Roman"/>
                <w:color w:val="000000" w:themeColor="text1"/>
                <w:szCs w:val="20"/>
              </w:rPr>
              <w:t>Labor regulations in the Philippines are more restrictive than in peers</w:t>
            </w:r>
          </w:p>
        </w:tc>
        <w:tc>
          <w:tcPr>
            <w:tcW w:w="2724" w:type="dxa"/>
          </w:tcPr>
          <w:p w14:paraId="0EC72AD4" w14:textId="77777777" w:rsidR="00F41A14" w:rsidRPr="000440C7" w:rsidRDefault="00F41A14" w:rsidP="00F41A14">
            <w:pPr>
              <w:pStyle w:val="Caption"/>
              <w:spacing w:after="0"/>
              <w:rPr>
                <w:rFonts w:ascii="Times New Roman" w:hAnsi="Times New Roman" w:cs="Times New Roman"/>
                <w:sz w:val="20"/>
                <w:szCs w:val="20"/>
              </w:rPr>
            </w:pPr>
          </w:p>
        </w:tc>
      </w:tr>
      <w:tr w:rsidR="00F41A14" w:rsidRPr="000440C7" w14:paraId="2F45E5FB" w14:textId="77777777" w:rsidTr="00F41A14">
        <w:tc>
          <w:tcPr>
            <w:tcW w:w="6636" w:type="dxa"/>
          </w:tcPr>
          <w:p w14:paraId="1092CD44" w14:textId="77777777" w:rsidR="00F41A14" w:rsidRPr="000440C7" w:rsidRDefault="00F41A14" w:rsidP="00F41A14">
            <w:pPr>
              <w:jc w:val="both"/>
              <w:rPr>
                <w:rFonts w:cs="Times New Roman"/>
                <w:b/>
              </w:rPr>
            </w:pPr>
            <w:r w:rsidRPr="000440C7">
              <w:rPr>
                <w:rFonts w:cs="Times New Roman"/>
                <w:noProof/>
                <w:sz w:val="20"/>
                <w:szCs w:val="20"/>
                <w:lang w:val="en-PH" w:eastAsia="en-PH"/>
              </w:rPr>
              <w:drawing>
                <wp:inline distT="0" distB="0" distL="0" distR="0" wp14:anchorId="1EEE3DD3" wp14:editId="34C68D1D">
                  <wp:extent cx="4068501" cy="1712595"/>
                  <wp:effectExtent l="0" t="0" r="8255" b="1905"/>
                  <wp:docPr id="13" name="Chart 12">
                    <a:extLst xmlns:a="http://schemas.openxmlformats.org/drawingml/2006/main">
                      <a:ext uri="{FF2B5EF4-FFF2-40B4-BE49-F238E27FC236}">
                        <a16:creationId xmlns:a16="http://schemas.microsoft.com/office/drawing/2014/main" id="{FC79AF32-F44F-45A4-B2A7-860D610BA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2724" w:type="dxa"/>
          </w:tcPr>
          <w:p w14:paraId="6AD9595B" w14:textId="77777777" w:rsidR="00F41A14" w:rsidRPr="000440C7" w:rsidRDefault="00F41A14" w:rsidP="00F41A14">
            <w:pPr>
              <w:jc w:val="both"/>
              <w:rPr>
                <w:rFonts w:cs="Times New Roman"/>
                <w:b/>
              </w:rPr>
            </w:pPr>
          </w:p>
        </w:tc>
      </w:tr>
      <w:tr w:rsidR="00F41A14" w:rsidRPr="000440C7" w14:paraId="79426552" w14:textId="77777777" w:rsidTr="00F41A14">
        <w:tc>
          <w:tcPr>
            <w:tcW w:w="6636" w:type="dxa"/>
          </w:tcPr>
          <w:p w14:paraId="279493A5" w14:textId="77777777" w:rsidR="00F41A14" w:rsidRPr="000440C7" w:rsidRDefault="00F41A14" w:rsidP="00F41A14">
            <w:pPr>
              <w:jc w:val="both"/>
              <w:rPr>
                <w:rFonts w:cs="Times New Roman"/>
                <w:noProof/>
                <w:sz w:val="20"/>
                <w:szCs w:val="20"/>
                <w:lang w:val="en-PH" w:eastAsia="en-PH"/>
              </w:rPr>
            </w:pPr>
          </w:p>
        </w:tc>
        <w:tc>
          <w:tcPr>
            <w:tcW w:w="2724" w:type="dxa"/>
          </w:tcPr>
          <w:p w14:paraId="09F0E308" w14:textId="77777777" w:rsidR="00F41A14" w:rsidRPr="000440C7" w:rsidRDefault="00F41A14" w:rsidP="00F41A14">
            <w:pPr>
              <w:jc w:val="both"/>
              <w:rPr>
                <w:rFonts w:cs="Times New Roman"/>
                <w:b/>
              </w:rPr>
            </w:pPr>
          </w:p>
        </w:tc>
      </w:tr>
      <w:tr w:rsidR="00F41A14" w:rsidRPr="000440C7" w14:paraId="7ACCD402" w14:textId="77777777" w:rsidTr="00F41A14">
        <w:tc>
          <w:tcPr>
            <w:tcW w:w="6636" w:type="dxa"/>
          </w:tcPr>
          <w:p w14:paraId="5EF3E00C" w14:textId="1FEBD196" w:rsidR="00F41A14" w:rsidRDefault="00F41A14" w:rsidP="00F41A14">
            <w:pPr>
              <w:jc w:val="center"/>
              <w:rPr>
                <w:rFonts w:cs="Times New Roman"/>
                <w:sz w:val="18"/>
                <w:szCs w:val="18"/>
              </w:rPr>
            </w:pPr>
            <w:r w:rsidRPr="000440C7">
              <w:rPr>
                <w:rFonts w:cs="Times New Roman"/>
                <w:i/>
                <w:sz w:val="18"/>
                <w:szCs w:val="18"/>
              </w:rPr>
              <w:t xml:space="preserve">Source: </w:t>
            </w:r>
            <w:r w:rsidRPr="008771CC">
              <w:rPr>
                <w:rFonts w:cs="Times New Roman"/>
                <w:sz w:val="18"/>
                <w:szCs w:val="18"/>
              </w:rPr>
              <w:t>Growth and Productivity Report (2018)</w:t>
            </w:r>
            <w:r>
              <w:rPr>
                <w:rFonts w:cs="Times New Roman"/>
                <w:sz w:val="18"/>
                <w:szCs w:val="18"/>
              </w:rPr>
              <w:t>.</w:t>
            </w:r>
          </w:p>
          <w:p w14:paraId="34D42336" w14:textId="77777777" w:rsidR="00D63CFD" w:rsidRDefault="00D63CFD" w:rsidP="00F41A14">
            <w:pPr>
              <w:jc w:val="center"/>
              <w:rPr>
                <w:rFonts w:cs="Times New Roman"/>
                <w:sz w:val="18"/>
                <w:szCs w:val="18"/>
              </w:rPr>
            </w:pPr>
          </w:p>
          <w:p w14:paraId="0335FC92" w14:textId="54A527C7" w:rsidR="00F41A14" w:rsidRPr="00F41A14" w:rsidRDefault="00F41A14" w:rsidP="00F41A14">
            <w:pPr>
              <w:jc w:val="center"/>
              <w:rPr>
                <w:rFonts w:cs="Times New Roman"/>
                <w:sz w:val="18"/>
                <w:szCs w:val="18"/>
              </w:rPr>
            </w:pPr>
          </w:p>
        </w:tc>
        <w:tc>
          <w:tcPr>
            <w:tcW w:w="2724" w:type="dxa"/>
          </w:tcPr>
          <w:p w14:paraId="4927113B" w14:textId="77777777" w:rsidR="00F41A14" w:rsidRPr="000440C7" w:rsidRDefault="00F41A14" w:rsidP="00F41A14">
            <w:pPr>
              <w:keepNext/>
              <w:jc w:val="center"/>
              <w:rPr>
                <w:rFonts w:cs="Times New Roman"/>
                <w:b/>
                <w:i/>
                <w:sz w:val="18"/>
                <w:szCs w:val="18"/>
              </w:rPr>
            </w:pPr>
          </w:p>
        </w:tc>
      </w:tr>
    </w:tbl>
    <w:p w14:paraId="326E096F" w14:textId="77777777" w:rsidR="007F7F90" w:rsidRDefault="007F7F90" w:rsidP="007F7F90">
      <w:pPr>
        <w:pStyle w:val="ListParagraph"/>
        <w:ind w:left="360"/>
        <w:jc w:val="both"/>
      </w:pPr>
    </w:p>
    <w:bookmarkEnd w:id="45"/>
    <w:bookmarkEnd w:id="46"/>
    <w:p w14:paraId="0D9F5003" w14:textId="77777777" w:rsidR="007F7F90" w:rsidRPr="000440C7" w:rsidRDefault="007F7F90" w:rsidP="007F7F90">
      <w:pPr>
        <w:pStyle w:val="FootnoteText"/>
        <w:rPr>
          <w:rFonts w:cs="Times New Roman"/>
        </w:rPr>
      </w:pPr>
    </w:p>
    <w:p w14:paraId="186261E4" w14:textId="37C0DE73" w:rsidR="007F1AD2" w:rsidRDefault="007F1AD2" w:rsidP="00967FB5">
      <w:pPr>
        <w:pStyle w:val="ListParagraph"/>
        <w:ind w:left="360"/>
        <w:jc w:val="both"/>
        <w:rPr>
          <w:rFonts w:cs="Times New Roman"/>
          <w:b/>
        </w:rPr>
      </w:pPr>
    </w:p>
    <w:p w14:paraId="7D22B565" w14:textId="63ED34BA" w:rsidR="00967FB5" w:rsidRDefault="00967FB5" w:rsidP="00967FB5">
      <w:pPr>
        <w:pStyle w:val="ListParagraph"/>
        <w:ind w:left="360"/>
        <w:jc w:val="both"/>
        <w:rPr>
          <w:rFonts w:cs="Times New Roman"/>
          <w:bCs/>
          <w:color w:val="0070C0"/>
        </w:rPr>
      </w:pPr>
    </w:p>
    <w:p w14:paraId="1E0CA2F5" w14:textId="650085A7" w:rsidR="00967FB5" w:rsidRDefault="00967FB5" w:rsidP="00967FB5">
      <w:pPr>
        <w:pStyle w:val="ListParagraph"/>
        <w:ind w:left="360"/>
        <w:jc w:val="both"/>
        <w:rPr>
          <w:rFonts w:cs="Times New Roman"/>
          <w:bCs/>
          <w:color w:val="0070C0"/>
        </w:rPr>
      </w:pPr>
    </w:p>
    <w:p w14:paraId="601451B9" w14:textId="6D947A54" w:rsidR="00967FB5" w:rsidRDefault="00967FB5" w:rsidP="00967FB5">
      <w:pPr>
        <w:pStyle w:val="ListParagraph"/>
        <w:ind w:left="360"/>
        <w:jc w:val="both"/>
        <w:rPr>
          <w:rFonts w:cs="Times New Roman"/>
          <w:bCs/>
          <w:color w:val="0070C0"/>
        </w:rPr>
      </w:pPr>
    </w:p>
    <w:p w14:paraId="7425C87F" w14:textId="0C7D19C5" w:rsidR="00967FB5" w:rsidRDefault="00967FB5" w:rsidP="00967FB5">
      <w:pPr>
        <w:pStyle w:val="ListParagraph"/>
        <w:ind w:left="360"/>
        <w:jc w:val="both"/>
        <w:rPr>
          <w:rFonts w:cs="Times New Roman"/>
          <w:bCs/>
          <w:color w:val="0070C0"/>
        </w:rPr>
      </w:pPr>
    </w:p>
    <w:p w14:paraId="36524E58" w14:textId="17039AA1" w:rsidR="00967FB5" w:rsidRDefault="00967FB5" w:rsidP="00967FB5">
      <w:pPr>
        <w:pStyle w:val="ListParagraph"/>
        <w:ind w:left="360"/>
        <w:jc w:val="both"/>
        <w:rPr>
          <w:rFonts w:cs="Times New Roman"/>
          <w:bCs/>
          <w:color w:val="0070C0"/>
        </w:rPr>
      </w:pPr>
    </w:p>
    <w:p w14:paraId="004FD029" w14:textId="2984BB5F" w:rsidR="00967FB5" w:rsidRDefault="00967FB5" w:rsidP="00967FB5">
      <w:pPr>
        <w:pStyle w:val="ListParagraph"/>
        <w:ind w:left="360"/>
        <w:jc w:val="both"/>
        <w:rPr>
          <w:rFonts w:cs="Times New Roman"/>
          <w:bCs/>
          <w:color w:val="0070C0"/>
        </w:rPr>
      </w:pPr>
    </w:p>
    <w:p w14:paraId="6414E7BC" w14:textId="3BF16CB0" w:rsidR="00967FB5" w:rsidRDefault="00967FB5" w:rsidP="00967FB5">
      <w:pPr>
        <w:pStyle w:val="ListParagraph"/>
        <w:ind w:left="360"/>
        <w:jc w:val="both"/>
        <w:rPr>
          <w:rFonts w:cs="Times New Roman"/>
          <w:bCs/>
          <w:color w:val="0070C0"/>
        </w:rPr>
      </w:pPr>
    </w:p>
    <w:p w14:paraId="37E372C8" w14:textId="04BA7861" w:rsidR="00967FB5" w:rsidRDefault="00967FB5" w:rsidP="00967FB5">
      <w:pPr>
        <w:pStyle w:val="ListParagraph"/>
        <w:ind w:left="360"/>
        <w:jc w:val="both"/>
        <w:rPr>
          <w:rFonts w:cs="Times New Roman"/>
          <w:bCs/>
          <w:color w:val="0070C0"/>
        </w:rPr>
      </w:pPr>
    </w:p>
    <w:p w14:paraId="00A8E068" w14:textId="28FE4646" w:rsidR="00967FB5" w:rsidRDefault="00967FB5" w:rsidP="00967FB5">
      <w:pPr>
        <w:pStyle w:val="ListParagraph"/>
        <w:ind w:left="360"/>
        <w:jc w:val="both"/>
        <w:rPr>
          <w:rFonts w:cs="Times New Roman"/>
          <w:bCs/>
          <w:color w:val="0070C0"/>
        </w:rPr>
      </w:pPr>
    </w:p>
    <w:p w14:paraId="3DDAA2F4" w14:textId="62E88114" w:rsidR="00967FB5" w:rsidRDefault="00967FB5" w:rsidP="00967FB5">
      <w:pPr>
        <w:pStyle w:val="ListParagraph"/>
        <w:ind w:left="360"/>
        <w:jc w:val="both"/>
        <w:rPr>
          <w:rFonts w:cs="Times New Roman"/>
          <w:bCs/>
          <w:color w:val="0070C0"/>
        </w:rPr>
      </w:pPr>
    </w:p>
    <w:p w14:paraId="0CACD009" w14:textId="55374849" w:rsidR="00967FB5" w:rsidRDefault="00967FB5" w:rsidP="00967FB5">
      <w:pPr>
        <w:pStyle w:val="ListParagraph"/>
        <w:ind w:left="360"/>
        <w:jc w:val="both"/>
        <w:rPr>
          <w:rFonts w:cs="Times New Roman"/>
          <w:bCs/>
          <w:color w:val="0070C0"/>
        </w:rPr>
      </w:pPr>
    </w:p>
    <w:p w14:paraId="44DCED6A" w14:textId="77777777" w:rsidR="00967FB5" w:rsidRPr="00D63CFD" w:rsidRDefault="00967FB5" w:rsidP="00967FB5">
      <w:pPr>
        <w:pStyle w:val="ListParagraph"/>
        <w:ind w:left="360"/>
        <w:jc w:val="both"/>
        <w:rPr>
          <w:rFonts w:cs="Times New Roman"/>
          <w:bCs/>
          <w:color w:val="0070C0"/>
        </w:rPr>
      </w:pPr>
    </w:p>
    <w:p w14:paraId="3CD3002A" w14:textId="68C3E909" w:rsidR="00B963DC" w:rsidRPr="00967FB5" w:rsidRDefault="007F1AD2" w:rsidP="00967FB5">
      <w:pPr>
        <w:pStyle w:val="Heading1"/>
        <w:rPr>
          <w:sz w:val="28"/>
          <w:szCs w:val="28"/>
        </w:rPr>
      </w:pPr>
      <w:bookmarkStart w:id="47" w:name="_Toc12503517"/>
      <w:r w:rsidRPr="00967FB5">
        <w:rPr>
          <w:sz w:val="28"/>
          <w:szCs w:val="28"/>
        </w:rPr>
        <w:t>Other</w:t>
      </w:r>
      <w:r w:rsidR="00967FB5" w:rsidRPr="00967FB5">
        <w:rPr>
          <w:sz w:val="28"/>
          <w:szCs w:val="28"/>
        </w:rPr>
        <w:t xml:space="preserve"> </w:t>
      </w:r>
      <w:r w:rsidR="00B963DC" w:rsidRPr="00967FB5">
        <w:rPr>
          <w:sz w:val="28"/>
          <w:szCs w:val="28"/>
        </w:rPr>
        <w:t>complementary factors</w:t>
      </w:r>
      <w:bookmarkEnd w:id="47"/>
      <w:r w:rsidR="00B963DC" w:rsidRPr="00967FB5">
        <w:rPr>
          <w:sz w:val="28"/>
          <w:szCs w:val="28"/>
        </w:rPr>
        <w:t xml:space="preserve"> </w:t>
      </w:r>
    </w:p>
    <w:p w14:paraId="1F7D1729" w14:textId="53DCE520" w:rsidR="00617EC9" w:rsidRDefault="00617EC9" w:rsidP="00B963DC">
      <w:pPr>
        <w:pStyle w:val="ListParagraph"/>
        <w:ind w:left="360"/>
        <w:jc w:val="both"/>
        <w:rPr>
          <w:rFonts w:eastAsia="Malgun Gothic" w:cs="Times New Roman"/>
          <w:b/>
          <w:bCs/>
          <w:lang w:eastAsia="ko-KR"/>
        </w:rPr>
      </w:pPr>
    </w:p>
    <w:p w14:paraId="2316DD6C" w14:textId="1C89D974" w:rsidR="00F73827" w:rsidRPr="00646BD9" w:rsidRDefault="00E90C5E" w:rsidP="00646BD9">
      <w:pPr>
        <w:pStyle w:val="Heading4"/>
      </w:pPr>
      <w:r w:rsidRPr="00A53FAE">
        <w:t>Access</w:t>
      </w:r>
      <w:r w:rsidR="00A53FAE" w:rsidRPr="00A53FAE">
        <w:t xml:space="preserve"> to </w:t>
      </w:r>
      <w:r w:rsidRPr="00A53FAE">
        <w:t>Finance</w:t>
      </w:r>
      <w:r w:rsidR="00A53FAE" w:rsidRPr="00A53FAE">
        <w:t>, including start-up finance</w:t>
      </w:r>
      <w:r w:rsidRPr="00A53FAE">
        <w:t xml:space="preserve"> </w:t>
      </w:r>
    </w:p>
    <w:p w14:paraId="1F41585E" w14:textId="77777777" w:rsidR="00294019" w:rsidRPr="00294019" w:rsidRDefault="00294019" w:rsidP="00294019">
      <w:pPr>
        <w:pStyle w:val="ListParagraph"/>
        <w:ind w:left="360"/>
        <w:jc w:val="both"/>
        <w:rPr>
          <w:rFonts w:cs="Times New Roman"/>
          <w:b/>
          <w:bCs/>
        </w:rPr>
      </w:pPr>
    </w:p>
    <w:p w14:paraId="5994F420" w14:textId="3B574707" w:rsidR="00294019" w:rsidRDefault="00294019" w:rsidP="006D13DA">
      <w:pPr>
        <w:pStyle w:val="ListParagraph"/>
        <w:numPr>
          <w:ilvl w:val="0"/>
          <w:numId w:val="50"/>
        </w:numPr>
        <w:jc w:val="both"/>
        <w:rPr>
          <w:rFonts w:eastAsia="Times New Roman" w:cs="Times New Roman"/>
          <w:lang w:eastAsia="pt-BR" w:bidi="th-TH"/>
        </w:rPr>
      </w:pPr>
      <w:r w:rsidRPr="00692F00">
        <w:rPr>
          <w:rFonts w:eastAsia="Times New Roman" w:cs="Times New Roman"/>
          <w:b/>
          <w:lang w:eastAsia="pt-BR" w:bidi="th-TH"/>
        </w:rPr>
        <w:t>The level of domestic credit to the private sector is low compared to regional peers with firms relying heavily on internal funds</w:t>
      </w:r>
      <w:r w:rsidRPr="00692F00">
        <w:rPr>
          <w:rFonts w:eastAsia="Times New Roman" w:cs="Times New Roman"/>
          <w:lang w:eastAsia="pt-BR" w:bidi="th-TH"/>
        </w:rPr>
        <w:t>. At 45 percent of GDP, credit to the private sector is at the level predicted by its income level (</w:t>
      </w:r>
      <w:r w:rsidRPr="00692F00">
        <w:rPr>
          <w:rFonts w:eastAsia="Times New Roman" w:cs="Times New Roman"/>
          <w:lang w:eastAsia="pt-BR" w:bidi="th-TH"/>
        </w:rPr>
        <w:fldChar w:fldCharType="begin"/>
      </w:r>
      <w:r w:rsidRPr="00692F00">
        <w:rPr>
          <w:rFonts w:eastAsia="Times New Roman" w:cs="Times New Roman"/>
          <w:lang w:eastAsia="pt-BR" w:bidi="th-TH"/>
        </w:rPr>
        <w:instrText xml:space="preserve"> REF _Ref2888145 \h </w:instrText>
      </w:r>
      <w:r>
        <w:rPr>
          <w:rFonts w:eastAsia="Times New Roman" w:cs="Times New Roman"/>
          <w:lang w:eastAsia="pt-BR" w:bidi="th-TH"/>
        </w:rPr>
      </w:r>
      <w:r w:rsidRPr="00692F00">
        <w:rPr>
          <w:rFonts w:eastAsia="Times New Roman" w:cs="Times New Roman"/>
          <w:lang w:eastAsia="pt-BR" w:bidi="th-TH"/>
        </w:rPr>
        <w:fldChar w:fldCharType="separate"/>
      </w:r>
      <w:r w:rsidR="00450958" w:rsidRPr="000440C7">
        <w:rPr>
          <w:rFonts w:cs="Times New Roman"/>
          <w:color w:val="000000" w:themeColor="text1"/>
        </w:rPr>
        <w:t xml:space="preserve">Figure </w:t>
      </w:r>
      <w:r w:rsidRPr="00692F00">
        <w:rPr>
          <w:rFonts w:eastAsia="Times New Roman" w:cs="Times New Roman"/>
          <w:lang w:eastAsia="pt-BR" w:bidi="th-TH"/>
        </w:rPr>
        <w:fldChar w:fldCharType="end"/>
      </w:r>
      <w:r w:rsidR="00411764" w:rsidRPr="00692F00">
        <w:rPr>
          <w:rFonts w:eastAsia="Times New Roman" w:cs="Times New Roman"/>
          <w:lang w:eastAsia="pt-BR" w:bidi="th-TH"/>
        </w:rPr>
        <w:t>19</w:t>
      </w:r>
      <w:r w:rsidRPr="00692F00">
        <w:rPr>
          <w:rFonts w:eastAsia="Times New Roman" w:cs="Times New Roman"/>
          <w:lang w:eastAsia="pt-BR" w:bidi="th-TH"/>
        </w:rPr>
        <w:t>), but substantially lower than the average of regional peers (114 percent of GDP) (</w:t>
      </w:r>
      <w:r w:rsidRPr="00692F00">
        <w:rPr>
          <w:rFonts w:eastAsia="Times New Roman" w:cs="Times New Roman"/>
          <w:lang w:eastAsia="pt-BR" w:bidi="th-TH"/>
        </w:rPr>
        <w:fldChar w:fldCharType="begin"/>
      </w:r>
      <w:r w:rsidRPr="00692F00">
        <w:rPr>
          <w:rFonts w:eastAsia="Times New Roman" w:cs="Times New Roman"/>
          <w:lang w:eastAsia="pt-BR" w:bidi="th-TH"/>
        </w:rPr>
        <w:instrText xml:space="preserve"> REF _Ref513838784 \h  \* MERGEFORMAT </w:instrText>
      </w:r>
      <w:r w:rsidRPr="000440C7">
        <w:rPr>
          <w:rFonts w:eastAsia="Times New Roman" w:cs="Times New Roman"/>
          <w:lang w:eastAsia="pt-BR" w:bidi="th-TH"/>
        </w:rPr>
      </w:r>
      <w:r w:rsidRPr="00692F00">
        <w:rPr>
          <w:rFonts w:eastAsia="Times New Roman" w:cs="Times New Roman"/>
          <w:lang w:eastAsia="pt-BR" w:bidi="th-TH"/>
        </w:rPr>
        <w:fldChar w:fldCharType="separate"/>
      </w:r>
      <w:r w:rsidR="00450958" w:rsidRPr="000440C7">
        <w:rPr>
          <w:rFonts w:cs="Times New Roman"/>
          <w:color w:val="000000" w:themeColor="text1"/>
        </w:rPr>
        <w:t xml:space="preserve">Figure </w:t>
      </w:r>
      <w:r w:rsidRPr="00692F00">
        <w:rPr>
          <w:rFonts w:eastAsia="Times New Roman" w:cs="Times New Roman"/>
          <w:lang w:eastAsia="pt-BR" w:bidi="th-TH"/>
        </w:rPr>
        <w:fldChar w:fldCharType="end"/>
      </w:r>
      <w:r w:rsidRPr="00692F00">
        <w:rPr>
          <w:rFonts w:eastAsia="Times New Roman" w:cs="Times New Roman"/>
          <w:lang w:eastAsia="pt-BR" w:bidi="th-TH"/>
        </w:rPr>
        <w:t>2</w:t>
      </w:r>
      <w:r w:rsidR="00411764" w:rsidRPr="00692F00">
        <w:rPr>
          <w:rFonts w:eastAsia="Times New Roman" w:cs="Times New Roman"/>
          <w:lang w:eastAsia="pt-BR" w:bidi="th-TH"/>
        </w:rPr>
        <w:t>0</w:t>
      </w:r>
      <w:r w:rsidRPr="00692F00">
        <w:rPr>
          <w:rFonts w:eastAsia="Times New Roman" w:cs="Times New Roman"/>
          <w:lang w:eastAsia="pt-BR" w:bidi="th-TH"/>
        </w:rPr>
        <w:t xml:space="preserve">). Less than 7 percent of working capital of the country’s firms is financed by banks, much lower than the 18 percent among firms in regional peers. Even for the country’s large firms, only 11.6 percent of funds used for investment originates from banks. However, most Philippine firms that apply for a loan through the banking system are approved. Based on enterprise survey data from 2015, </w:t>
      </w:r>
      <w:r w:rsidRPr="00692F00">
        <w:rPr>
          <w:rFonts w:ascii="Times" w:hAnsi="Times" w:cs="Calibri"/>
        </w:rPr>
        <w:t xml:space="preserve">while a third of the SMEs in the sample have existing lines of credit, few have applied for new lines of credit. Aside for not finding a need for it, SMEs cite high interest rates, complex application procedure and high collateral as the main reasons for not applying to a new line of credit. Banks </w:t>
      </w:r>
      <w:r w:rsidRPr="00692F00">
        <w:rPr>
          <w:rFonts w:eastAsia="Times New Roman" w:cs="Times New Roman"/>
          <w:lang w:eastAsia="pt-BR" w:bidi="th-TH"/>
        </w:rPr>
        <w:t>cite insufficient or unacceptable collateral and adverse credit/repayment record as the main reasons for rejection.</w:t>
      </w:r>
      <w:r w:rsidRPr="000440C7">
        <w:rPr>
          <w:rStyle w:val="EndnoteReference"/>
          <w:rFonts w:eastAsia="Times New Roman" w:cs="Times New Roman"/>
          <w:lang w:eastAsia="pt-BR" w:bidi="th-TH"/>
        </w:rPr>
        <w:endnoteReference w:id="35"/>
      </w:r>
      <w:r w:rsidRPr="00692F00">
        <w:rPr>
          <w:rFonts w:eastAsia="Times New Roman" w:cs="Times New Roman"/>
          <w:lang w:eastAsia="pt-BR" w:bidi="th-TH"/>
        </w:rPr>
        <w:t xml:space="preserve"> Rather than access, this heavy reliance on internal funds seems to be the result of either high costs in the formal banking system or firm preferences.</w:t>
      </w:r>
      <w:bookmarkStart w:id="48" w:name="_Ref513836847"/>
      <w:r w:rsidRPr="00692F00">
        <w:rPr>
          <w:rFonts w:eastAsia="Times New Roman" w:cs="Times New Roman"/>
          <w:lang w:eastAsia="pt-BR" w:bidi="th-TH"/>
        </w:rPr>
        <w:t xml:space="preserve"> </w:t>
      </w:r>
    </w:p>
    <w:p w14:paraId="4909AE3D" w14:textId="77777777" w:rsidR="00DD6D4F" w:rsidRPr="00DD6D4F" w:rsidRDefault="00DD6D4F" w:rsidP="00DD6D4F">
      <w:pPr>
        <w:jc w:val="both"/>
        <w:rPr>
          <w:rFonts w:eastAsia="Times New Roman" w:cs="Times New Roman"/>
          <w:lang w:eastAsia="pt-BR" w:bidi="th-TH"/>
        </w:rPr>
      </w:pPr>
    </w:p>
    <w:tbl>
      <w:tblPr>
        <w:tblStyle w:val="TableGrid"/>
        <w:tblW w:w="9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216"/>
        <w:gridCol w:w="4560"/>
        <w:gridCol w:w="432"/>
      </w:tblGrid>
      <w:tr w:rsidR="00294019" w:rsidRPr="000440C7" w14:paraId="148F9C07" w14:textId="77777777" w:rsidTr="000D1EBD">
        <w:trPr>
          <w:gridAfter w:val="1"/>
          <w:wAfter w:w="432" w:type="dxa"/>
        </w:trPr>
        <w:tc>
          <w:tcPr>
            <w:tcW w:w="4776" w:type="dxa"/>
          </w:tcPr>
          <w:p w14:paraId="426667CF" w14:textId="4842A0D5" w:rsidR="00294019" w:rsidRPr="000440C7" w:rsidRDefault="00294019" w:rsidP="000D1EBD">
            <w:pPr>
              <w:pStyle w:val="Caption"/>
              <w:spacing w:after="0"/>
              <w:rPr>
                <w:rFonts w:ascii="Times New Roman" w:hAnsi="Times New Roman" w:cs="Times New Roman"/>
                <w:color w:val="000000" w:themeColor="text1"/>
                <w:szCs w:val="22"/>
              </w:rPr>
            </w:pPr>
            <w:bookmarkStart w:id="49" w:name="_Ref2888145"/>
            <w:r w:rsidRPr="000440C7">
              <w:rPr>
                <w:rFonts w:ascii="Times New Roman" w:hAnsi="Times New Roman" w:cs="Times New Roman"/>
                <w:color w:val="000000" w:themeColor="text1"/>
                <w:szCs w:val="22"/>
              </w:rPr>
              <w:t xml:space="preserve">Figure </w:t>
            </w:r>
            <w:bookmarkEnd w:id="48"/>
            <w:bookmarkEnd w:id="49"/>
            <w:r w:rsidR="00411764">
              <w:rPr>
                <w:rFonts w:ascii="Times New Roman" w:hAnsi="Times New Roman" w:cs="Times New Roman"/>
                <w:color w:val="000000" w:themeColor="text1"/>
                <w:szCs w:val="22"/>
              </w:rPr>
              <w:t>19</w:t>
            </w:r>
            <w:r w:rsidRPr="000440C7" w:rsidDel="00665C30">
              <w:rPr>
                <w:rFonts w:ascii="Times New Roman" w:hAnsi="Times New Roman" w:cs="Times New Roman"/>
                <w:color w:val="000000" w:themeColor="text1"/>
                <w:szCs w:val="22"/>
              </w:rPr>
              <w:t xml:space="preserve">. </w:t>
            </w:r>
            <w:r w:rsidRPr="000440C7">
              <w:rPr>
                <w:rFonts w:ascii="Times New Roman" w:hAnsi="Times New Roman" w:cs="Times New Roman"/>
                <w:color w:val="000000" w:themeColor="text1"/>
                <w:szCs w:val="22"/>
              </w:rPr>
              <w:t xml:space="preserve">The level of domestic credit </w:t>
            </w:r>
            <w:r w:rsidRPr="000440C7" w:rsidDel="00F40E91">
              <w:rPr>
                <w:rFonts w:ascii="Times New Roman" w:hAnsi="Times New Roman" w:cs="Times New Roman"/>
                <w:color w:val="000000" w:themeColor="text1"/>
                <w:szCs w:val="22"/>
              </w:rPr>
              <w:t xml:space="preserve">to </w:t>
            </w:r>
            <w:r w:rsidRPr="000440C7">
              <w:rPr>
                <w:rFonts w:ascii="Times New Roman" w:hAnsi="Times New Roman" w:cs="Times New Roman"/>
                <w:color w:val="000000" w:themeColor="text1"/>
                <w:szCs w:val="22"/>
              </w:rPr>
              <w:t>the private sector is adequate relative to the country’s income level</w:t>
            </w:r>
            <w:r>
              <w:rPr>
                <w:rFonts w:ascii="Times New Roman" w:hAnsi="Times New Roman" w:cs="Times New Roman"/>
                <w:color w:val="000000" w:themeColor="text1"/>
                <w:szCs w:val="22"/>
              </w:rPr>
              <w:t>…</w:t>
            </w:r>
          </w:p>
        </w:tc>
        <w:tc>
          <w:tcPr>
            <w:tcW w:w="4776" w:type="dxa"/>
            <w:gridSpan w:val="2"/>
          </w:tcPr>
          <w:p w14:paraId="6DA95786" w14:textId="0F7C0F34" w:rsidR="00294019" w:rsidRPr="000440C7" w:rsidRDefault="00294019" w:rsidP="000D1EBD">
            <w:pPr>
              <w:pStyle w:val="Caption"/>
              <w:spacing w:after="0"/>
              <w:rPr>
                <w:rFonts w:ascii="Times New Roman" w:eastAsiaTheme="minorEastAsia" w:hAnsi="Times New Roman" w:cs="Times New Roman"/>
                <w:b w:val="0"/>
                <w:bCs/>
                <w:szCs w:val="22"/>
              </w:rPr>
            </w:pPr>
            <w:bookmarkStart w:id="50" w:name="_Ref513838784"/>
            <w:r w:rsidRPr="000440C7">
              <w:rPr>
                <w:rFonts w:ascii="Times New Roman" w:hAnsi="Times New Roman" w:cs="Times New Roman"/>
                <w:color w:val="000000" w:themeColor="text1"/>
                <w:szCs w:val="22"/>
              </w:rPr>
              <w:t xml:space="preserve">Figure </w:t>
            </w:r>
            <w:bookmarkEnd w:id="50"/>
            <w:r>
              <w:rPr>
                <w:rFonts w:ascii="Times New Roman" w:hAnsi="Times New Roman" w:cs="Times New Roman"/>
                <w:color w:val="000000" w:themeColor="text1"/>
                <w:szCs w:val="22"/>
              </w:rPr>
              <w:t>2</w:t>
            </w:r>
            <w:r w:rsidR="00411764">
              <w:rPr>
                <w:rFonts w:ascii="Times New Roman" w:hAnsi="Times New Roman" w:cs="Times New Roman"/>
                <w:color w:val="000000" w:themeColor="text1"/>
                <w:szCs w:val="22"/>
              </w:rPr>
              <w:t>0</w:t>
            </w:r>
            <w:r w:rsidRPr="000440C7" w:rsidDel="000D3A68">
              <w:rPr>
                <w:rFonts w:ascii="Times New Roman" w:hAnsi="Times New Roman" w:cs="Times New Roman"/>
                <w:color w:val="000000" w:themeColor="text1"/>
                <w:szCs w:val="22"/>
              </w:rPr>
              <w:t xml:space="preserve">. </w:t>
            </w:r>
            <w:r w:rsidRPr="000440C7">
              <w:rPr>
                <w:rFonts w:ascii="Times New Roman" w:hAnsi="Times New Roman" w:cs="Times New Roman"/>
                <w:color w:val="000000" w:themeColor="text1"/>
                <w:szCs w:val="22"/>
              </w:rPr>
              <w:t>…but relatively low compared with regional peers</w:t>
            </w:r>
          </w:p>
        </w:tc>
      </w:tr>
      <w:tr w:rsidR="00294019" w:rsidRPr="000440C7" w14:paraId="00380911" w14:textId="77777777" w:rsidTr="000D1EBD">
        <w:trPr>
          <w:gridAfter w:val="1"/>
          <w:wAfter w:w="432" w:type="dxa"/>
        </w:trPr>
        <w:tc>
          <w:tcPr>
            <w:tcW w:w="4776" w:type="dxa"/>
          </w:tcPr>
          <w:p w14:paraId="64618531" w14:textId="77777777" w:rsidR="00294019" w:rsidRPr="000440C7" w:rsidRDefault="00294019" w:rsidP="000D1EBD">
            <w:pPr>
              <w:jc w:val="both"/>
              <w:rPr>
                <w:rFonts w:cs="Times New Roman"/>
                <w:noProof/>
                <w:sz w:val="20"/>
                <w:szCs w:val="20"/>
                <w:lang w:eastAsia="zh-CN"/>
              </w:rPr>
            </w:pPr>
            <w:r w:rsidRPr="000440C7">
              <w:rPr>
                <w:rFonts w:cs="Times New Roman"/>
                <w:b/>
                <w:noProof/>
                <w:lang w:eastAsia="zh-CN"/>
              </w:rPr>
              <w:drawing>
                <wp:inline distT="0" distB="0" distL="0" distR="0" wp14:anchorId="1B576A6E" wp14:editId="039ABC9B">
                  <wp:extent cx="2895600" cy="2324100"/>
                  <wp:effectExtent l="0" t="0" r="0" b="0"/>
                  <wp:docPr id="111" name="Chart 2">
                    <a:extLst xmlns:a="http://schemas.openxmlformats.org/drawingml/2006/main">
                      <a:ext uri="{FF2B5EF4-FFF2-40B4-BE49-F238E27FC236}">
                        <a16:creationId xmlns:a16="http://schemas.microsoft.com/office/drawing/2014/main" id="{8E9FE89B-BC05-4478-9DEA-A2BAD7D17B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776" w:type="dxa"/>
            <w:gridSpan w:val="2"/>
          </w:tcPr>
          <w:p w14:paraId="0C3FA20A" w14:textId="77777777" w:rsidR="00294019" w:rsidRPr="000440C7" w:rsidRDefault="00294019" w:rsidP="000D1EBD">
            <w:pPr>
              <w:jc w:val="both"/>
              <w:rPr>
                <w:rFonts w:cs="Times New Roman"/>
                <w:sz w:val="20"/>
                <w:szCs w:val="20"/>
              </w:rPr>
            </w:pPr>
            <w:r w:rsidRPr="000440C7">
              <w:rPr>
                <w:rFonts w:cs="Times New Roman"/>
                <w:noProof/>
                <w:sz w:val="20"/>
                <w:szCs w:val="20"/>
                <w:lang w:eastAsia="zh-CN"/>
              </w:rPr>
              <w:drawing>
                <wp:inline distT="0" distB="0" distL="0" distR="0" wp14:anchorId="62423417" wp14:editId="20D52F86">
                  <wp:extent cx="2895600" cy="2277035"/>
                  <wp:effectExtent l="0" t="0" r="0" b="0"/>
                  <wp:docPr id="113" name="Chart 21">
                    <a:extLst xmlns:a="http://schemas.openxmlformats.org/drawingml/2006/main">
                      <a:ext uri="{FF2B5EF4-FFF2-40B4-BE49-F238E27FC236}">
                        <a16:creationId xmlns:a16="http://schemas.microsoft.com/office/drawing/2014/main" id="{0A2CAF9B-988F-4BD8-8788-E18C3D1A98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294019" w:rsidRPr="000440C7" w14:paraId="0D7E8093" w14:textId="77777777" w:rsidTr="000D1EBD">
        <w:trPr>
          <w:gridAfter w:val="1"/>
          <w:wAfter w:w="432" w:type="dxa"/>
        </w:trPr>
        <w:tc>
          <w:tcPr>
            <w:tcW w:w="4776" w:type="dxa"/>
          </w:tcPr>
          <w:p w14:paraId="00C083D5" w14:textId="77777777" w:rsidR="00294019" w:rsidRPr="000440C7" w:rsidRDefault="00294019" w:rsidP="000D1EBD">
            <w:pPr>
              <w:keepNext/>
              <w:jc w:val="center"/>
              <w:rPr>
                <w:rFonts w:cs="Times New Roman"/>
                <w:i/>
                <w:sz w:val="18"/>
                <w:szCs w:val="18"/>
              </w:rPr>
            </w:pPr>
            <w:r w:rsidRPr="000440C7">
              <w:rPr>
                <w:rFonts w:cs="Times New Roman"/>
                <w:i/>
                <w:sz w:val="18"/>
                <w:szCs w:val="18"/>
              </w:rPr>
              <w:t xml:space="preserve">Source: </w:t>
            </w:r>
            <w:r w:rsidRPr="00E11E31">
              <w:rPr>
                <w:rFonts w:cs="Times New Roman"/>
                <w:sz w:val="18"/>
                <w:szCs w:val="18"/>
              </w:rPr>
              <w:t>W</w:t>
            </w:r>
            <w:r>
              <w:rPr>
                <w:rFonts w:cs="Times New Roman"/>
                <w:sz w:val="18"/>
                <w:szCs w:val="18"/>
              </w:rPr>
              <w:t>B (2018)</w:t>
            </w:r>
            <w:r w:rsidRPr="00E11E31">
              <w:rPr>
                <w:rFonts w:cs="Times New Roman"/>
                <w:sz w:val="18"/>
                <w:szCs w:val="18"/>
              </w:rPr>
              <w:t>. Growth and Productivity Report</w:t>
            </w:r>
            <w:r>
              <w:rPr>
                <w:rFonts w:cs="Times New Roman"/>
                <w:sz w:val="18"/>
                <w:szCs w:val="18"/>
              </w:rPr>
              <w:t>.</w:t>
            </w:r>
          </w:p>
        </w:tc>
        <w:tc>
          <w:tcPr>
            <w:tcW w:w="4776" w:type="dxa"/>
            <w:gridSpan w:val="2"/>
          </w:tcPr>
          <w:p w14:paraId="748E2DC3" w14:textId="77777777" w:rsidR="00294019" w:rsidRPr="000440C7" w:rsidRDefault="00294019" w:rsidP="000D1EBD">
            <w:pPr>
              <w:keepNext/>
              <w:jc w:val="center"/>
              <w:rPr>
                <w:rFonts w:cs="Times New Roman"/>
                <w:i/>
                <w:sz w:val="18"/>
                <w:szCs w:val="18"/>
              </w:rPr>
            </w:pPr>
            <w:r w:rsidRPr="000440C7">
              <w:rPr>
                <w:rFonts w:cs="Times New Roman"/>
                <w:i/>
                <w:sz w:val="18"/>
                <w:szCs w:val="18"/>
              </w:rPr>
              <w:t xml:space="preserve">Source: </w:t>
            </w:r>
            <w:r w:rsidRPr="00E11E31">
              <w:rPr>
                <w:rFonts w:cs="Times New Roman"/>
                <w:sz w:val="18"/>
                <w:szCs w:val="18"/>
              </w:rPr>
              <w:t>W</w:t>
            </w:r>
            <w:r>
              <w:rPr>
                <w:rFonts w:cs="Times New Roman"/>
                <w:sz w:val="18"/>
                <w:szCs w:val="18"/>
              </w:rPr>
              <w:t>B (2018)</w:t>
            </w:r>
            <w:r w:rsidRPr="00E11E31">
              <w:rPr>
                <w:rFonts w:cs="Times New Roman"/>
                <w:sz w:val="18"/>
                <w:szCs w:val="18"/>
              </w:rPr>
              <w:t>. Growth and Productivity Report</w:t>
            </w:r>
            <w:r>
              <w:rPr>
                <w:rFonts w:cs="Times New Roman"/>
                <w:sz w:val="18"/>
                <w:szCs w:val="18"/>
              </w:rPr>
              <w:t>.</w:t>
            </w:r>
          </w:p>
        </w:tc>
      </w:tr>
      <w:tr w:rsidR="00294019" w:rsidRPr="000440C7" w14:paraId="1A9D4AEA" w14:textId="77777777" w:rsidTr="000D1EBD">
        <w:tc>
          <w:tcPr>
            <w:tcW w:w="4992" w:type="dxa"/>
            <w:gridSpan w:val="2"/>
          </w:tcPr>
          <w:p w14:paraId="49174179" w14:textId="77777777" w:rsidR="00294019" w:rsidRPr="000440C7" w:rsidRDefault="00294019" w:rsidP="000D1EBD">
            <w:pPr>
              <w:pStyle w:val="Caption"/>
              <w:spacing w:after="0"/>
              <w:rPr>
                <w:rFonts w:ascii="Times New Roman" w:hAnsi="Times New Roman" w:cs="Times New Roman"/>
                <w:color w:val="000000" w:themeColor="text1"/>
                <w:sz w:val="20"/>
                <w:szCs w:val="20"/>
              </w:rPr>
            </w:pPr>
          </w:p>
        </w:tc>
        <w:tc>
          <w:tcPr>
            <w:tcW w:w="4992" w:type="dxa"/>
            <w:gridSpan w:val="2"/>
          </w:tcPr>
          <w:p w14:paraId="1C379008" w14:textId="77777777" w:rsidR="00294019" w:rsidRPr="000440C7" w:rsidRDefault="00294019" w:rsidP="000D1EBD">
            <w:pPr>
              <w:pStyle w:val="Caption"/>
              <w:spacing w:after="0"/>
              <w:rPr>
                <w:rFonts w:ascii="Times New Roman" w:hAnsi="Times New Roman" w:cs="Times New Roman"/>
                <w:color w:val="000000" w:themeColor="text1"/>
                <w:sz w:val="20"/>
                <w:szCs w:val="20"/>
              </w:rPr>
            </w:pPr>
          </w:p>
        </w:tc>
      </w:tr>
    </w:tbl>
    <w:p w14:paraId="740007A9" w14:textId="77777777" w:rsidR="00041F25" w:rsidRPr="00041F25" w:rsidRDefault="00041F25" w:rsidP="00041F25">
      <w:pPr>
        <w:pStyle w:val="ListParagraph"/>
        <w:ind w:left="360"/>
        <w:jc w:val="both"/>
        <w:rPr>
          <w:rFonts w:eastAsia="Times New Roman" w:cs="Times New Roman"/>
          <w:lang w:eastAsia="pt-BR" w:bidi="th-TH"/>
        </w:rPr>
      </w:pPr>
      <w:bookmarkStart w:id="51" w:name="_Ref7792080"/>
    </w:p>
    <w:p w14:paraId="3F09A482" w14:textId="2547B255" w:rsidR="00041F25" w:rsidRPr="00DD6D4F" w:rsidRDefault="00692F00" w:rsidP="00041F25">
      <w:pPr>
        <w:pStyle w:val="ListParagraph"/>
        <w:numPr>
          <w:ilvl w:val="0"/>
          <w:numId w:val="50"/>
        </w:numPr>
        <w:jc w:val="both"/>
        <w:rPr>
          <w:rFonts w:eastAsia="Times New Roman" w:cs="Times New Roman"/>
          <w:lang w:eastAsia="pt-BR" w:bidi="th-TH"/>
        </w:rPr>
      </w:pPr>
      <w:r w:rsidRPr="00317D18">
        <w:rPr>
          <w:rFonts w:eastAsia="Cardo" w:cs="Times New Roman"/>
          <w:szCs w:val="24"/>
        </w:rPr>
        <w:t>There are low levels of digital financial activity</w:t>
      </w:r>
      <w:r>
        <w:rPr>
          <w:rFonts w:eastAsia="Cardo" w:cs="Times New Roman"/>
          <w:szCs w:val="24"/>
        </w:rPr>
        <w:t xml:space="preserve"> in the </w:t>
      </w:r>
      <w:r w:rsidRPr="00532BBD">
        <w:rPr>
          <w:rFonts w:eastAsia="Cardo" w:cs="Times New Roman"/>
          <w:szCs w:val="24"/>
        </w:rPr>
        <w:t>economy (</w:t>
      </w:r>
      <w:r w:rsidRPr="00C21C19">
        <w:rPr>
          <w:rFonts w:eastAsia="Cardo" w:cs="Times New Roman"/>
          <w:szCs w:val="24"/>
        </w:rPr>
        <w:fldChar w:fldCharType="begin"/>
      </w:r>
      <w:r w:rsidRPr="00C21C19">
        <w:rPr>
          <w:rFonts w:eastAsia="Cardo" w:cs="Times New Roman"/>
          <w:szCs w:val="24"/>
        </w:rPr>
        <w:instrText xml:space="preserve"> REF _Ref8048990 \h  \* MERGEFORMAT </w:instrText>
      </w:r>
      <w:r w:rsidRPr="00C21C19">
        <w:rPr>
          <w:rFonts w:eastAsia="Cardo" w:cs="Times New Roman"/>
          <w:szCs w:val="24"/>
        </w:rPr>
      </w:r>
      <w:r w:rsidRPr="00C21C19">
        <w:rPr>
          <w:rFonts w:eastAsia="Cardo" w:cs="Times New Roman"/>
          <w:szCs w:val="24"/>
        </w:rPr>
        <w:fldChar w:fldCharType="separate"/>
      </w:r>
      <w:r w:rsidR="00450958" w:rsidRPr="00450958">
        <w:t xml:space="preserve">Figure </w:t>
      </w:r>
      <w:r w:rsidRPr="00C21C19">
        <w:rPr>
          <w:rFonts w:eastAsia="Cardo" w:cs="Times New Roman"/>
          <w:szCs w:val="24"/>
        </w:rPr>
        <w:fldChar w:fldCharType="end"/>
      </w:r>
      <w:r>
        <w:rPr>
          <w:rFonts w:eastAsia="Cardo" w:cs="Times New Roman"/>
          <w:szCs w:val="24"/>
        </w:rPr>
        <w:t>21</w:t>
      </w:r>
      <w:r w:rsidRPr="00532BBD">
        <w:rPr>
          <w:rFonts w:eastAsia="Cardo" w:cs="Times New Roman"/>
          <w:szCs w:val="24"/>
        </w:rPr>
        <w:t>)</w:t>
      </w:r>
      <w:r>
        <w:rPr>
          <w:rFonts w:eastAsia="Cardo" w:cs="Times New Roman"/>
          <w:szCs w:val="24"/>
        </w:rPr>
        <w:t xml:space="preserve">. Financial </w:t>
      </w:r>
      <w:r w:rsidRPr="00317D18">
        <w:rPr>
          <w:rFonts w:eastAsia="Cardo" w:cs="Times New Roman"/>
          <w:szCs w:val="24"/>
        </w:rPr>
        <w:t>digital adoption rates in 2017 are some of the lowest in the region, with a substantially unbanked population: only 2</w:t>
      </w:r>
      <w:r>
        <w:rPr>
          <w:rFonts w:eastAsia="Cardo" w:cs="Times New Roman"/>
          <w:szCs w:val="24"/>
        </w:rPr>
        <w:t xml:space="preserve"> percent</w:t>
      </w:r>
      <w:r w:rsidRPr="00317D18">
        <w:rPr>
          <w:rFonts w:eastAsia="Cardo" w:cs="Times New Roman"/>
          <w:szCs w:val="24"/>
        </w:rPr>
        <w:t xml:space="preserve"> of the population has credit card ownership and 21</w:t>
      </w:r>
      <w:r>
        <w:rPr>
          <w:rFonts w:eastAsia="Cardo" w:cs="Times New Roman"/>
          <w:szCs w:val="24"/>
        </w:rPr>
        <w:t xml:space="preserve"> percent</w:t>
      </w:r>
      <w:r w:rsidRPr="00317D18">
        <w:rPr>
          <w:rFonts w:eastAsia="Cardo" w:cs="Times New Roman"/>
          <w:szCs w:val="24"/>
        </w:rPr>
        <w:t xml:space="preserve"> debit card ownership</w:t>
      </w:r>
      <w:r w:rsidRPr="00532BBD">
        <w:rPr>
          <w:rFonts w:eastAsia="Cardo" w:cs="Times New Roman"/>
          <w:szCs w:val="24"/>
        </w:rPr>
        <w:t>.</w:t>
      </w:r>
      <w:r w:rsidRPr="00532BBD">
        <w:rPr>
          <w:rFonts w:eastAsia="Cardo" w:cs="Times New Roman"/>
          <w:szCs w:val="24"/>
          <w:vertAlign w:val="superscript"/>
        </w:rPr>
        <w:endnoteReference w:id="36"/>
      </w:r>
    </w:p>
    <w:p w14:paraId="202FB313" w14:textId="19A9E141" w:rsidR="00294019" w:rsidRDefault="00294019" w:rsidP="00294019">
      <w:pPr>
        <w:spacing w:after="0" w:line="240" w:lineRule="auto"/>
        <w:jc w:val="center"/>
        <w:rPr>
          <w:sz w:val="15"/>
        </w:rPr>
      </w:pPr>
      <w:bookmarkStart w:id="52" w:name="_Ref8048990"/>
      <w:r w:rsidRPr="00532BBD">
        <w:rPr>
          <w:b/>
        </w:rPr>
        <w:t xml:space="preserve">Figure </w:t>
      </w:r>
      <w:bookmarkEnd w:id="51"/>
      <w:bookmarkEnd w:id="52"/>
      <w:r>
        <w:rPr>
          <w:b/>
        </w:rPr>
        <w:t>2</w:t>
      </w:r>
      <w:r w:rsidR="009D04C0">
        <w:rPr>
          <w:b/>
        </w:rPr>
        <w:t>1</w:t>
      </w:r>
      <w:r w:rsidRPr="00532BBD">
        <w:rPr>
          <w:rFonts w:cs="Times New Roman"/>
        </w:rPr>
        <w:t xml:space="preserve">. </w:t>
      </w:r>
      <w:r w:rsidRPr="00532BBD">
        <w:rPr>
          <w:rFonts w:cs="Times New Roman"/>
          <w:b/>
        </w:rPr>
        <w:t>Digital inclusion in the Philippines</w:t>
      </w:r>
      <w:r w:rsidRPr="00532BBD">
        <w:rPr>
          <w:rFonts w:cs="Times New Roman"/>
        </w:rPr>
        <w:t xml:space="preserve"> </w:t>
      </w:r>
    </w:p>
    <w:p w14:paraId="60F5A5CF" w14:textId="77777777" w:rsidR="00294019" w:rsidRPr="00532BBD" w:rsidRDefault="00294019" w:rsidP="00294019">
      <w:pPr>
        <w:spacing w:after="0" w:line="240" w:lineRule="auto"/>
        <w:jc w:val="center"/>
        <w:rPr>
          <w:rFonts w:cs="Times New Roman"/>
        </w:rPr>
      </w:pPr>
      <w:r w:rsidRPr="00532BBD">
        <w:rPr>
          <w:rFonts w:asciiTheme="minorHAnsi" w:hAnsiTheme="minorHAnsi"/>
          <w:noProof/>
        </w:rPr>
        <mc:AlternateContent>
          <mc:Choice Requires="wpg">
            <w:drawing>
              <wp:inline distT="0" distB="0" distL="0" distR="0" wp14:anchorId="2D8CE100" wp14:editId="10A0951E">
                <wp:extent cx="4575175" cy="3431540"/>
                <wp:effectExtent l="0" t="0" r="0" b="0"/>
                <wp:docPr id="55" name="Group 55"/>
                <wp:cNvGraphicFramePr/>
                <a:graphic xmlns:a="http://schemas.openxmlformats.org/drawingml/2006/main">
                  <a:graphicData uri="http://schemas.microsoft.com/office/word/2010/wordprocessingGroup">
                    <wpg:wgp>
                      <wpg:cNvGrpSpPr/>
                      <wpg:grpSpPr>
                        <a:xfrm>
                          <a:off x="0" y="0"/>
                          <a:ext cx="4575175" cy="3431540"/>
                          <a:chOff x="0" y="0"/>
                          <a:chExt cx="4623435" cy="3383621"/>
                        </a:xfrm>
                      </wpg:grpSpPr>
                      <pic:pic xmlns:pic="http://schemas.openxmlformats.org/drawingml/2006/picture">
                        <pic:nvPicPr>
                          <pic:cNvPr id="67" name="Picture 6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623435" cy="3248025"/>
                          </a:xfrm>
                          <a:prstGeom prst="rect">
                            <a:avLst/>
                          </a:prstGeom>
                        </pic:spPr>
                      </pic:pic>
                      <wps:wsp>
                        <wps:cNvPr id="68" name="Text Box 75"/>
                        <wps:cNvSpPr txBox="1"/>
                        <wps:spPr>
                          <a:xfrm>
                            <a:off x="1880" y="2977970"/>
                            <a:ext cx="1139189" cy="405651"/>
                          </a:xfrm>
                          <a:prstGeom prst="rect">
                            <a:avLst/>
                          </a:prstGeom>
                          <a:noFill/>
                          <a:ln>
                            <a:noFill/>
                          </a:ln>
                          <a:effectLst/>
                        </wps:spPr>
                        <wps:txbx>
                          <w:txbxContent>
                            <w:p w14:paraId="59F587BD" w14:textId="77777777" w:rsidR="006A439E" w:rsidRDefault="006A439E" w:rsidP="00294019">
                              <w:pPr>
                                <w:rPr>
                                  <w:sz w:val="15"/>
                                </w:rPr>
                              </w:pPr>
                              <w:r>
                                <w:rPr>
                                  <w:sz w:val="15"/>
                                </w:rPr>
                                <w:t xml:space="preserve">Source: World Bank, Global </w:t>
                              </w:r>
                              <w:proofErr w:type="spellStart"/>
                              <w:r>
                                <w:rPr>
                                  <w:sz w:val="15"/>
                                </w:rPr>
                                <w:t>Findex</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8CE100" id="Group 55" o:spid="_x0000_s1026" style="width:360.25pt;height:270.2pt;mso-position-horizontal-relative:char;mso-position-vertical-relative:line" coordsize="46234,33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M/1tAMAAG4IAAAOAAAAZHJzL2Uyb0RvYy54bWycVttu4zYQfS/QfyD0&#10;7uhi+SbEWXidCxYItkaTYp9pmrKElUSWpC/Zov/eM5Rk51Y03YconOFwOHPmzNCXn451xfbS2FI1&#10;8yC+iAImG6E2ZbOdB3883g6mAbOONxteqUbOgydpg09Xv/5yedCZTFShqo00DE4amx30PCic01kY&#10;WlHImtsLpWWDzVyZmjuIZhtuDD/Ae12FSRSNw4MyG22UkNZCe91uBlfef55L4X7Lcysdq+YBYnP+&#10;a/x3Td/w6pJnW8N1UYouDP4TUdS8bHDpydU1d5ztTPnGVV0Ko6zK3YVQdajyvBTS54Bs4uhVNndG&#10;7bTPZZsdtvoEE6B9hdNPuxVf9yvDys08GI0C1vAaNfLXMsgA56C3GWzujH7QK9Mptq1E+R5zU9N/&#10;ZMKOHtanE6zy6JiAMh1NRvEE7gX2hukwHqUd8KJAdd6cE8VNf3KcwL4/OZwOx0lMUYX9xSHFdwpH&#10;lyLDX4cTVm9w+m8+4ZTbGRl0TuoP+ai5+b7TA5RUc1euy6p0T56eKB4F1exXpViZVjhDPp70kGOb&#10;bmXQID06QlbtGU453Svx3bJGLQvebOXCajAb/ebBeGkekvjiwnVV6tuyqqhOtO5SQxe8YtE76LQM&#10;vVZiV8vGtS1nZIUsVWOLUtuAmUzWawkGmS+b2DcBCn9vHV1HFPBt8FcyXUTRLPk8WI6i5SCNJjeD&#10;xSydDCbRzSSN0mm8jJd/0+k4zXZWIl9eXeuyixXaN9G+y/luOrTd5LuS7bnv/ZY2CMjTpw8RTCJI&#10;KFbrjHSioGUOtH4Hwu2Z04aH9owmAW3RFXTiQ33wgs1JOo0S32MnNqPSxro7qWpGCyCKGDyifA9A&#10;22h6E6RxDsAvIVLDYpDavsaQPoYbjdH3RtBDwbVECOT2GXEx1dtZ8UgV/qyODP2N+DozmhXMHaHv&#10;OEr6f4Eqnk4xmDEZktlkMpt0k4Hc0uyI4+Esns7a2ZFGo/Ho5QD4n5DxrFHUCgiVZ1VD35MCZWg1&#10;0r8bHeDnyGnljuujn5Y+CtKs1eYJyRqFciEPq8Vtidrdc+tW3OAtgRLvI3YLZX4E7IC3Zh7YP3ec&#10;hkz1pUGBZnGKicicFzAtEwjm+c76+U6zq5cKlI79bX5J9q7ql7lR9TfUc0G3Yos3AnfPA9cvl659&#10;AfGsCrlYeKN2dt03DxoTr21jYtrj8Rs3uqOjQ1W+qp4SPHvFyta2xXSxcyovPWXPKIGyJICefuUf&#10;Nd+N3QNMr+Zz2VudfyZc/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JF9Ld&#10;AAAABQEAAA8AAABkcnMvZG93bnJldi54bWxMj0FLw0AQhe+C/2EZwZvdTW1UYjalFPVUhLaCeJtm&#10;p0lodjZkt0n671296GXg8R7vfZMvJ9uKgXrfONaQzBQI4tKZhisNH/vXuycQPiAbbB2Thgt5WBbX&#10;Vzlmxo28pWEXKhFL2GeooQ6hy6T0ZU0W/cx1xNE7ut5iiLKvpOlxjOW2lXOlHqTFhuNCjR2taypP&#10;u7PV8DbiuLpPXobN6bi+fO3T989NQlrf3kyrZxCBpvAXhh/8iA5FZDq4MxsvWg3xkfB7o/c4VymI&#10;g4Z0oRYgi1z+py++AQAA//8DAFBLAwQKAAAAAAAAACEAcfl9W5HWAACR1gAAFAAAAGRycy9tZWRp&#10;YS9pbWFnZTEucG5niVBORw0KGgoAAAANSUhEUgAAAf8AAAFnCAYAAACoxECQAAAYO2lDQ1BJQ0Mg&#10;UHJvZmlsZQAAWIWVWQk4Vd3X3+ecO3KveZ5lJvNM5nmex1SueaZrVklIopIMKUrhFQ00JwmRlGRK&#10;lCJlLpUGM/kOqvf9v//n+b7n28+zz/ndtddee+211157r3MB4FaiRESEwAwAhIZFUe1N9AVc3dwF&#10;8O8BHiCAAeAAN8U7MkLP1tYSoOX3+z/LXB+A1t/Ppddl/Xf7/1oYfXwjvQGAbFHs5RPpHYrimwBg&#10;VLwjqFEAYKdRulBsVASKcaiWgIWKKohi4XXsv4nV1rHXJrbc4HG0N0CxJwAEEoVC9QeAbl0vgRhv&#10;f1QO3RG0jSnMJzAMZT2HYm3vAIoPAFzDKM/W0NBwFHOTUCzu9Q85/v8h0+uPTArF/w/enMtGIRgG&#10;RkaEUOL/n+b4v0toSPTvMYTQSgqgmtqvz3ndbsHhFusY1R16HOZlbYNiJhT3Bvps8K/j8YBoU6df&#10;/AvekQaozQAbADDJh2JogWIeFG8JC7G2/EXX9gs0NkMxanvYMTDKzHGzL+xDDbf/JR+O8400cviN&#10;KdSNsdZ5MqKDnfR+yTwb4Gv2W2ZtQoCjy6aecFdMoLM1iulQ/CYy2MHiF8+HhAAD69881Gj7dZ3R&#10;NUeAH9XYfpMHEQ6N/D0vRCMg0Mz6F7aMCnA03eyL7PSmbOjGgeIg30hXy996+vgaGm3OC0n2DXP6&#10;pT9yIiJK3/4Xf1lEiO0vfqTON8Rknb4FxR2RMQ6/+85Eoc62OV8MiIiyddzUDcMSRDG33dQBIwks&#10;gQEwBAIgGq1eIBwEgcCO6TvT6K/NFmNAAVTgD3yB9C/K7x4uGy1h6NMBJIBPKPIFkX/66W+0+oIY&#10;lL76h7r5lAZ+G60xGz2CwTiKQ4EFCEF/R2/0CvszmjMYRSmB/zW6N6prCFrX2/6LJkD/m4Yzwhni&#10;THHGOAkMF0Ybo4mxRJ+6aFXAqGHUf+v1Nz92HNuNfY99gR3GvtoVmEz9l+YCwAoMozoa/5qd1z9n&#10;hxFFpSpj9DFaqHxUNoYNwwWkMUroSHoYHXRsZZT6T12j/8z4b1v+kkWUI8JEdqIuUfzfGtBJ0in/&#10;kbJuqX/aYlMvrz/WMvjT8u95GPzDfj7o2+LfnEg6cgNpRR4gT5A65A4QQBqQGqQdub+O//jG6IZv&#10;/B7NfkOfYFRO4H+NR/k15rrVIuUuyU3JrfxqA1G+cVHrm8UgPCKeGugfECWgh0ZrXwGzMG+ZrQIK&#10;cvJoFF2P/Zuh5bv9RkyH2Dr/plHQGKemAACN/t+0cHRvV+WhLn/qb5ooug851QG4bu8dTY3ZpGHW&#10;H1hAA+jRncIJ+NDYJY7OSAGoAE2gC4yAObABjsAN7ETtHID6KRXEgr3gAEgDmeA4yAOnQTEoBRXg&#10;CrgO7oA68AA8Ak9BF3gBXqO+MgY+ghkwB5YhCMJDZIgZ4oT4IRFIClKA1CBtyAiyhOwhN8gT8ofC&#10;oGhoL5QCZUInoNPQeagSugbdhR5AT6Bu6BX0DpqCvkFLMAKTYBaYFxaFZWE1WA+2gB3hHbA/vBtO&#10;gFPhY3ABXAJfhm/DD+Cn8At4GP4IzyIAoUXYEEFEGlFDDBAbxB3xQ6hIIpKB5CMlSBVSi670c2QY&#10;mUYWMTgMM0YAI436qynGCeON2Y1JxBzBnMZUYG5jHmKeY95hZjA/sWQsD1YKq4E1w7pi/bGx2DRs&#10;PrYcewvbgu6dMewcDodjw4nhVNG954YLwu3BHcGdwVXjGnHduBHcLB6P58RL4bXwNngKPgqfhj+F&#10;v4xvwPfgx/ALBFoCP0GBYExwJ4QRkgn5hIuEekIPYYKwTGQgihA1iDZEH2I8MYtYRqwldhLHiMs0&#10;jDRiNFo0jjRBNAdoCmiqaFpo3tB8p6Wl3UKrTmtHG0ibRFtAe5X2Me072kUSE0mSZEDyIEWTjpEu&#10;kBpJr0jfyWSyKFmX7E6OIh8jV5KbyUPkBTpmOhk6Mzofuv10hXS36XroPtMT6UXo9eh30ifQ59Pf&#10;oO+kn2YgMogyGDBQGBIZChnuMvQzzDIyM8oz2jCGMh5hvMj4hHGSCc8kymTE5MOUylTK1Mw0woww&#10;CzEbMHszpzCXMbcwj7HgWMRYzFiCWDJZrrB0sMywMrEqsTqzxrEWst5nHWZD2ETZzNhC2LLYrrP1&#10;sS2x87LrsfuyH2avYu9hn+fg5tDl8OXI4KjmeMGxxCnAacQZzJnNeYdzkAvDJcllxxXLdZarhWua&#10;m4Vbk9ubO4P7OvcAD8wjyWPPs4enlKedZ5aXj9eEN4L3FG8z7zQfG58uXxBfLl893xQ/M782fyB/&#10;Ln8D/wcBVgE9gRCBAoGHAjOCPIKmgtGC5wU7BJe3iG1x2pK8pXrLoBCNkJqQn1CuUJPQjDC/sJXw&#10;XuFLwgMiRBE1kQCRkyKtIvOiYqIuoodE74hOinGImYkliF0SeyNOFtcR3y1eIt4rgZNQkwiWOCPR&#10;JQlLKksGSBZKdkrBUipSgVJnpLq3Yreqbw3bWrK1X5okrScdI31J+p0Mm4ylTLLMHZnPssKy7rLZ&#10;sq2yP+WU5ULkyuReyzPJm8sny9fKf1OQVPBWKFToVSQrGivuV6xR/KokpeSrdFbppTKzspXyIeUm&#10;5VUVVRWqSpXKlKqwqqdqkWq/GouardoRtcfqWHV99f3qdeqLGioaURrXNb5oSmsGa17UnNwmts13&#10;W9m2Ea0tWhSt81rD2gLantrntId1BHUoOiU673WFdH10y3Un9CT0gvQu633Wl9On6t/SnzfQMNhn&#10;0GiIGJoYZhh2GDEZORmdNhoy3mLsb3zJeMZE2WSPSaMp1tTCNNu034zXzNus0mzGXNV8n/lDC5KF&#10;g8Vpi/eWkpZUy1or2MrcKsfqjbWIdZj1HRtgY2aTYzNoK2a72/aeHc7O1q7Qbtxe3n6vfasDs8Mu&#10;h4sOc476jlmOr53EnaKdmpzpnT2cK53nXQxdTrgMu8q67nN96sblFuhW4453d3Yvd5/dbrQ9b/uY&#10;h7JHmkffDrEdcTue7OTaGbLz/i76XZRdNzyxni6eFz1XKDaUEsqsl5lXkdeMt4H3Se+PPro+uT5T&#10;vlq+J3wn/LT8TvhN+mv55/hPBegE5AdMBxoEng78GmQaVBw0H2wTfCF4LcQlpDqUEOoZejeMKSw4&#10;7GE4X3hceHeEVERaxPBujd15u2eoFtTySChyR2RNFAt6yW6PFo8+GP0uRjumMGYh1jn2RhxjXFhc&#10;e7xk/OH4iQTjhL/2YPZ472naK7j3wN53+/T2nU+EEr0Sm/YL7U/dP5ZkklRxgOZA8IFnyXLJJ5J/&#10;pLik1Kbypialjhw0OXgpjS6NmtZ/SPNQcTomPTC947Di4VOHf2b4ZLRlymXmZ64c8T7SdlT+aMHR&#10;tWN+xzqyVLLOHscdDzvel62TXXGC8UTCiZEcq5zbuQK5Gbk/8nblPclXyi8+SXMy+uRwgWVBzSnh&#10;U8dPrZwOOP2iUL+wuoin6HDR/BmfMz1ndc9WFfMWZxYvnQs89/K8yfnbJaIl+aW40pjS8TLnsta/&#10;1P6qLOcqzyxfvRB2YbjCvuJhpWpl5UWei1mX4EvRl6Yue1zuumJ4paZKuup8NVt15lVwNfrqh2ue&#10;1/quW1xvuqF2o+qmyM2iW8y3Mm5Dt+Nvz9wJuDNc41bTfdf8blOtZu2tezL3LtQJ1hXeZ72fVU9T&#10;n1q/1pDQMNsY0Tj9wP/BSNOuptfNrs29D+0edrRYtDx+ZPyouVWvteGx1uO6JxpP7raptd15qvL0&#10;drty+61nys9udah03O5U7azpUu+q7d7WXd+j0/PgueHzR71mvU9fWL/o7nPqe9nv0T/80ufl5KuQ&#10;V18HYgaWXye9wb7JGGQYzB/iGSp5K/G2elhl+P47w3ft7x3evx7xHvk4Gjm6MpY6Th7Pn+CfqJxU&#10;mKybMp7q+rD9w9jHiI/L02mfGD8VfRb/fPOL7pf2GdeZsa/Ur2vfjnzn/H7hh9KPplnb2aG50Lnl&#10;+YwFzoWKRbXF1iWXpYnl2BX8SsGqxGrtT4ufb9ZC19YiKFTKxlUAQSvs5wfAtwsAkN0AYO5C7xTb&#10;N3OzXwVBLx8w+naGZKCP8EMkBeOA1cWJ4bkIHER+Gi1aa1Iw+TjdXfppRmkmX+ZSlhE2SfZ4jgYu&#10;em4XnjLe7/zbBFIFnwkxCtuLHBV9Kg4kFCX9pE5ubZOelxWXs5NPUrik+EIZVpFX3aGWoX5b4902&#10;spaatqfOYd1rem8MCIYqRt7Gx01qTIfMIQthSxOrIOssm5u2L+0WHNgcFZ1snENdjrpWuT11f7d9&#10;xmN+x/Iu4ElD4fSS9tbzsffd5efrTwlwCNwWJBAMBQ+HNISeC0sJD4iw3a1GFYgkRH6J6ouuj6mI&#10;zYlLjA9JcNtjtldrn2qiyn71JL0DFskuKb6pUQcPpuUeKku/cbgxoz2z78jboxPHPmV9Oz6bPXdi&#10;Nmc2dykfc5K1YOspk9PehfuLCs5UnW0ofnqu9/xAyXDpVNmPcuQCa4Vkpf5Fj0uxl3OvXK/qrv56&#10;jfG64g2Hm5G3jt+uvFNb8+Buc23jvXt1t+5X11c2lDaeeZDXlNG892FQi8MjlVaO1sXHw0862x49&#10;bW5/8Kyuo7qzoCuy26CH3PP8eWGv3wvlPmxff3/Fy5hXugO4gVbUv5TfTAxmD2kOjbw9Oqw5/PFd&#10;8Xv7EWSketRpdHEsd3zreMOE/cTo5MEp2anRDxUfw6YVp2c/VX/2/sL45daM7cz4173f2L89+p71&#10;I2yWMueH+tHoUsuqzNraxvoLQVfhIEQBmcRcwybhXPFaBGmiGI0Y7RaSHFmDzo7emyGRsZipnnmK&#10;lYFNjZ3Ckc55k2uIh5ZXkW87f5LAecGGLa+FZkVoRfnFlMXNJDwl46Vytl6TbpeZlMPICypsU3RX&#10;ilLOVClTvav2TP29xo9tOC1ubXkdK90QvSz9qwZdhp+MCSa8pgpmRuZOFt6WYVZx1ok2KbYH7dLs&#10;0x0yHI84ZTinusS7Brg5uhtu1/Ew3uG+M3ZXnudVSpNXm3eLzy3fIr89/i4BcoGkwOmgruDakMrQ&#10;wrCs8OQI6m4Pqm4kf+Ry1IvoKzFpsV5xRvFyCcJ7ePdy7mNNZNiP2z+X9P5AW/K1lLzU2IM70swP&#10;GaZbHqZkHMj868ijo0PHPmfNHp/Pnj3xPWcm91PedP7nkwunGE6rF4YVlZ/pODtSPHVu7Pzbklel&#10;3WWP/6ovr7vQVvHpouClHZeLrryqZrlqfS0djV6Lt2Ru+9wprOmpxd5Tqtt1/2B9eUNdY/2Di03H&#10;m/c9jG1JepTVeuZx6ZOzbceeRrc7PJPuwHQMdF7vyuwO6rF7btRr9MKuz6s/+mXqq0MD+177vTEY&#10;5BqcHrr79tCw6zvp94T34yPNo2fGdo/rTpAmeidLp/Z/CPzoMx3wKfRzxJeImYiv1G8x3+N/xM4G&#10;zpnM08/fWDBaeLrovvhpqWuFtDqwsf5S4CFkAb2EfREckoWRwnRiE3CyuCn8X4QAoixxkaaNtpgU&#10;S7anU6Cno59jeMXYyFTJnMOyj9WfzZ5di0OCk5VzhWuSu4ennreKr5S/UCBfMHdLllCacIwIRdRI&#10;TEBsQbxdolgyUsp0q6A0LD0l0y/7WK5W/qJCgWKSkqeyugpOpVM1T81VnVP9lcYZTZ9tClo4rSHt&#10;2zpZugF6hvqiBgyGwPC70YRxn8k903wzX3MR82GLAksbK7xVs3WKjZkth+0Hu3r7HIcAR00nstOQ&#10;8xWXva7mbqxub90rtoej5//ijvs7k3YZeBI8uylFXsHe23xIPgO+F/x2+6v5rwQ0BCYF6QaD4MaQ&#10;A6EGYZiwlvCDEXoRC7svUd3QM7syyibqR3RBzLaYodikON64+/GeCWwJA3su7U3Z55oonji3vzkp&#10;54B/smGKZCrHQdo0kPbj0Ej6s8PVGUcyKUeUjuKPDhy7mpVxPDjb5ATTiUc523OmcxPy9PL1T6af&#10;IpzOKBw9w3lWoVj9nPp55RLZUvEywb84yxkv0FQQK+lRT9K67HnlUNWV6udXV66L33C/eeJW9x2W&#10;Gre7RbX9ddj7EvUmDV6N+x+cbapvfvtw7ZFgq8Fj/ydH2q497Wtf7ZDo3N51snvouULv0Ref+x1e&#10;3h0QfJ03KPuW7l3saOZk/Cfrb3OLduvrv/mNbr3gVADIQfNM56NonQIg+w6aZ94DgJ0GAFsyAI7q&#10;AD5UBWCTKgAFH/xzfkBo4klAc042wA8kgBKaaVoCdzRvjgOH0YzyMqgHPWAcrEBMkASki+aHkdBR&#10;NB9sgUZgCBaE9WEf+BCa5fXAS4gQYoUkIBVIP4aA0cCEYkoxr7BMWAs0I2vGQThdXBKuCY/Fm+OP&#10;418SBAkhhLtEPNGFWEFcorGiOU8zT2tNW0HCkLxIzWQR8mHyZzpHujo008lmAAy7GUYZ3Rg7mYyZ&#10;7jOrMd9m0WBpZrVnHWGLZsex53OIctRwWnNOcqVzy3OP8BTzevFJ8S3wPxLIE/TZoiSEE3otfEMk&#10;SzREzEJcSoIsMSP5Qure1rPSiTIesupyLHIz8s8ULioeVgpQNleRUWVVXVP7pD6k0aPZtq1F66F2&#10;q06H7oDepP6cITDCoXGOYEowI5qTLFgsBa2UrK1twmxz7ersxxzJTkrObi77XM+5PXSf8KDdIbfT&#10;eddezzJKh9eCj7Cvg99B/7qApSCD4FMhi2He4T27jal1UUrR1bHScdcStu3p2he+nyepLzk31fLg&#10;3KHcw1szWo74HmPNepv9LGcwb61A4LR6keXZXefiS86VDVyQrjx3Wa5q+Nr5mzvv0N6tqtvRINXE&#10;32L8uKSd1CnePdeb3S/+qvvN2bcn3/eMe04tfmL6cvkb+CE3pz6/tpixVLPcu3JvtfRnxJrqRvyA&#10;Nr45MAFuIAoUgA6wAh4gFCSCbFAG7oJOMAZWITZIFjKH/KAUqAR6AL2HMbAYbAlT4dNwM/wF4UEs&#10;kL1INTKK4cLYYzIxLVgIq4Xdg72HXcHp4FJwT/AMeDf8X/hvBD1CDmGcqEnMIU7TGKNrvkLrSnsT&#10;zYSppF6yOvkcHS1dHN0EvRt9B4MxQyOjNmMDkwFTG7MD8yCamS6xZrFJsj1l383BxnGb045znCue&#10;m8xdxqPLM8qbzWfOT8c/KHBD8NiWQCF9YQ7hjyL3RY+L+YnrS4hIMkkRtmKlCTJ0skxyjPIE+UWF&#10;ScV+pTblByoPVNvUXqt/06TbJqdlpx2oE6VL1QvQdzUwMVQ3UjJWMzEx3WWWaH7eotVyxprbxsg2&#10;GD3Tch1OOuY55Tqfc2lw/equvD3J49lOvl1Rnp1eQt5+Pnm+t/w6/EcDloPYghVDHENjwk6HN0Z8&#10;oLJHGkfFRF+IGYhjiLdKyNrzcp9o4r79Iwf8UxhS29Ki0nGHD2VijqQf485qzk7Occ0zOKl5SrNQ&#10;84x6scR5TMmjsphy7gv3K70usV4erGq52nl99pb8nb13n9bR1xs2UpvKH0616j+53i7fUdQ12POj&#10;92vfxMuRgck3P95C72hGWMaEJ0yn8qdVv2R8L58PWexYTl1pXv3xc3Fj/WF09zMCPiANtIEd8AP7&#10;QD64CtrBB4gISUFWEBUqgBqhDzAbbAhHweXwAMKImCGpSCOyitHEJGBqMStYPWwGth8ngTuAG8Rr&#10;40sIBEI4oZeoTjxDA9ME0bygNaS9R1InPSDbksfpkukF6RsZPBjmGI8zSTM9Yw5jIbNUsOqzvmGL&#10;Z+dj7+A4xunFpc8tycPCs8w7yFfDf0IgVNByi5wQhzBOeFHkq+gXse/iq5J0UsJbdaU9ZZJkz8jV&#10;yD9X+K7EpWymkqzarE7S8NC8qoVH76r1elv0cwzZjKpM3M0YzbstT1uH2zrZKzgMOLk7t7uauj3f&#10;7uexsDPFE6JEeL3wUfUt8icGHAiiCS4NtQoHEXeo4VF80c2x0fE+ez4nliXFH+hLXkmFDxLSGA4p&#10;pkce7s10OjJ1LP24TParnPQ8zfyvBZWndxbRnLlQrHrufolOaeNfhuVtFbaVvZccL3dVGVffvSZ+&#10;/eRNwq19t1dqDteK3uu6n9yg0jjVVPTQ5hGm9d6TyKdS7aMdZ7tce1ie97zI6jd/uTZw+Y3N4OTb&#10;6OHV98mjyFjyBDyZ8gHzcf/058/GX+Jnznw9+i36u+H3+R8XZ61nX88FzM3Nx8xPLXgsdC4aLF5a&#10;Ii9FLPUsKy8XLH9dMVspWVledVy98hP56frz8hq05rR2cX39I/0UFTaOD4ikDwB2aG3tuygA+BMA&#10;rGavrS2XrK2tlqLJxhsAGkM2//fZOGsYACh6u47aJLtr/v3/y/8A35LQbwvJt7IAAAGd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UGl4ZWxYRGltZW5zaW9uPjUxMTwvZXhpZjpQ&#10;aXhlbFhEaW1lbnNpb24+CiAgICAgICAgIDxleGlmOlBpeGVsWURpbWVuc2lvbj4zNTk8L2V4aWY6&#10;UGl4ZWxZRGltZW5zaW9uPgogICAgICA8L3JkZjpEZXNjcmlwdGlvbj4KICAgPC9yZGY6UkRGPgo8&#10;L3g6eG1wbWV0YT4Kesk2twAAQABJREFUeAHsnQlcFVX7x3/DviOgLC6IgqC44Z5mapa5pGmmWZZW&#10;RqVvmbZYmdlm5VtaZulf37JcMspMy10zLfddcQFcQAVlUxBBLjvM/zkzXAS8l0UB7/IcP947d+bM&#10;zDnfudznnOc8iyRTARcmwASYABNgAkzAbAhYmE1PuaNMgAkwASbABJiAQoCFP38RmAATYAJMgAmY&#10;GQEW/mb2wLm7TIAJMAEmwARY+PN3gAkwASbABJiAmRFg4W9mD5y7ywSYABNgAkxAt/AvSMaK6aEY&#10;PXo0Rk/5AbG5AlQ61s8q3he6ADHKPg3tm4LQ0FDM3RKj0EzeORez1scyWSbABJgAE2ACTMBACegU&#10;/jGrZmNN/ecRFhaG15vvw4zl4UjdtwRhccOwmPZ90C8SM2lfQfxu7MAoLFo0HSkr90KDeCxbeAPD&#10;BzQ10O5ys5gAE2ACTIAJMAGdwv/GtRzc17udQqfzI4OQte0ITkdGo8PILrClvX4hXWnfSWicXJBz&#10;JQbJybHIcbNB1PrFwPgJ8LdisEyACTABJsAEmIChEtAp/H1CArDri//D4ZgIrA7bCHg4kdC3g7uL&#10;ndIPW+8AeDjQpmt3TB6Yh3nzIjD8WR9s3uGDfh7HsWDWAuyL1Rhqn7ldTIAJMAEmwATMmoBO4e/V&#10;fRJmvd4Ke9YfBbx9gOw8FCAHmdkFCqzcpGikZuUp2/59x2DGjAlw2b8VPkNaYP2cI+g7tjs2zliG&#10;ZLNGy51nAkyACTABJmCYBHQK/9gtcxGW1BaTJo2Bb2YMHHp3RLMWvjiw8bDSi6RzZ4Fu7eGq7VPq&#10;TswJ74Cne3iQwPdGkFcbBNonIEUxCtRW4ncmwASYABNgAkzAEAjoXJ1v2vNB5E6aitFh1ESH+zBz&#10;fmt42Xpj6LqJ5AGwlHYGY9r3nYvbX4DtP67DoMkzYWuVi/5BCxE6cQd8uo7HGGEgwIUJMAEmwASY&#10;ABMwKAJSRYl9NBoNbB0dUXqEoGtfAa0GWJWqlKvJpfNY8hvUk+bGMAEmwASYABMoJlCh8GdKTIAJ&#10;MAEmwASYgOkR0Lnmb3rd5B4xASbABJgAE2ACWgIs/LUk+J0JMAEmwASYgJkQYOFvJg+au8kEmAAT&#10;YAJMQEuAhb+WBL8zASbABJgAEzATAiz8zeRBczeZABNgAkyACWgJsPDXkuB3JsAEmAATYAJmQoCF&#10;v5k8aO4mE2ACTIAJMAEtAbMT/vL8npBnB0M+uVrLgN+ZABNgAkyACZgVAbMT/pALgStRwE+PQZ7X&#10;HfL5XWb1wLmzTIAJMAEmwATMLsKfXEixiA98B/z9MZBZnHcweCgw8DNIXsH8jWACTIAJMAEmYPIE&#10;zE74a5+onJsJ7JgN7PwSyKNtyRLoMg7o9yEk14baavzOBJgAE2ACTMDkCJit8Nc+STnzCrD1I9IG&#10;fA8U5VOGInug12tA77cg2ZckLdZW53cmwASYABNgAkZPwOyFv/YJyinRwKapwMnf1V0OHsAD04Hu&#10;EyBZ2Wir8TsTYAJMgAkwAaMnwMK/3COU4w4CG98Czu9Qj7g1AwZ8CoQ8AUmSytXmj0yACTABJsAE&#10;jI8AC389z0yO2kCDgHeA5FNqjYYdgIe/gNTiQT1n8G4mwASYABNgAsZBgIV/Bc9JLioCjiwF/voA&#10;SL+k1mzRDxj0OaRGNBjgwgSYABNgAkzACAmYn/A/3pMM+3KBNpsA6/pVemRyfg6wey7wz3+BnOt0&#10;Dqn/OzwF9J8Byd2vStfgSkyACTABJsAEDIWA+Qn/Y13Iv/8w4NQZaLudrPudq/ws5Kw0YDut/++Z&#10;BxTSAMKSDAF7vAz0nQbJkQwEuTABJsAEmAATMAIC5if88xIBMfvPOQ+43k8agI2AhV21HpWcFgds&#10;eQ849jMg09KAHbkE3k/2AT0nQbImV0EuTIAJMAEmwAQMmIBu4V+QjBUfTcOaxCzAvgOmffIaWrtq&#10;sH7WGwg7Rvsc7sOM+RPgbyv2fYg/z6Sh7cipmNTfH8k752JZxjBMGdzUcLudc0EdAOQlAO5DgGCK&#10;8y9ZVbu9cuIJYAN5Bpzdop7r0gh46COg87OQLChoEBcmwASYABNgAgZIQGdsf82p1VhjOxZhi8Lw&#10;Qdcz+DTsFFL3LUFY3DAsDqN9/SIxc3k4CuJ3YwdGYdGi6UhZuRcaxGPZwhsYPsCABb94CHbNaMa/&#10;lVT+pKq/tg448yzN4OVqPx7Jpx2k0M3Ai9uAxrSMkBEP/B4KfNUOciRdlwsTYAJMgAkwAQMkoFP4&#10;2zZoDofInQiPjcHBE1m4L8QHlyKj0WFkF9hSJ/xCuiJr20lonFyQcyUGycmxyHGzQdT6xcB40ghU&#10;fxJd92gcKY5/GxLclrTmf5XU9zGv3HYbpIC+wESKDzD6F9Ik+FPioEhgySOQF/SCHLv/tq/LJzIB&#10;JsAEmAATqA0COoW/VaMQdEIkvpg6HZviHdAl2AvWsIO7i7o2busdAA8Hao5rd0wemId58yIw/Fkf&#10;bN7hg34ex7Fg1gLsi9XURnvv+JqvfnkKz39yHCfOZQDONFsPXksqf+pX4v8BF6fd9vVFACCJAgFh&#10;CmUMfIQ8AxwbABd2AfMpc+CyEZCvnLnta/OJTIAJMAEmwARqkoBO4X/mp0+wq9t4RcU/4xk/fDV7&#10;C3LoX2Z2gXLv3KRopGblKdv+fcdgxowJcNm/FT5DWmD9nCPoO7Y7Ns5YhuKceTXZ3ju+lnDdv5iY&#10;jde+jsTs5THIsCbjv1Yr6bqkrrj0Gf3/7x3dQ7K0htTzVeDtGAoPTEaB1o7AqVW0FNAG8uoJkG8k&#10;3dH1+WQmwASYABNgAndKQKfwL8jLhn/LpoqK37uxD6nEL8O1hS8ObCQXOSpJ584C3dqjJO1N6k7M&#10;Ce+Ap3t4kMD3RpBXGwTaJyCFvOEMrcx5LRhjBzWCtZWETfuu4rmPw7H9/D1A0FJqKuG4OJW0AN/d&#10;cbMlO2dIFAcAb58jVi+q19u/EPhvAGQKGiTn3Ljje/AFmAATYAJMgAncDgGd1v4FqeH478QvEOlA&#10;uv0se4z+4BMMDirAiikTsYZs2khXjmnfv4fWNKkFCrB91lRcHz4Tw/1zyfr/HfwZlw2fruMxYwyp&#10;1Q20XErOxpxfLuC4UP9T6dTSFe/2/xv1kmnWLgYBLcOABqOUYzXxoqj9N70DRPypXk4sCzz4PnDP&#10;S5RN2LombsHXYAJMgAkwASZQJQI6hb/2zFxNLiwdbYVCvKRoNBrYOjqW2VdAqwFWpSqJ82zpPGMo&#10;m/ZewXd/xiFDUwAbawkzH/kTIdak+pdIIAeToHYfVKPdkGP3qe6BF3er1xUGggNpuaHdSE4cVKOk&#10;+WJMgAkwASagj0CFwl/fSaa2Pz0zH//3eyz+PpSidO31Ht/jYd8fSQFAAXuER4BrrxrvshyxRk0h&#10;fIUMBEVpTJEHRc6AAAo8xIUJMAEmwASYQC0SYOFfCu7R0+n4+tcLiL+ag8mdP8eQgD8hW9Dafft/&#10;KRxwx1I1a2ZTLioEDtEgY+uHFCMgQb1o0EB1EODTtmZuwldhAkyACTABJlCOAAv/ckDy8ouwfFM8&#10;fvv7Mt7q+j76Nv0b+XCHdac9FNmwZbnaNfNRzqOoibu+Bv79HMglGwSJbA46jqFogR9DcvOtmZvw&#10;VZgAE2ACTIAJFBNg4a/nq3CRQhvP/fUsRjV8Gfc03Iv0fC/kttoBT58gPWfc+W5ZQ8sO2z4B9i2g&#10;xEHkSmllB9w7kfIGTIXk4HbnN+ArMAEmwASYABMgAiz8K/gayBTyd9PuWPimDEeb+seQkNkYh63X&#10;4eH728PSUqrgzDs7JF+7AGymGAHhFDEQFHbYngQ/DQDEQECypgEBFybABJgAE2ACd0CAhX8V4KVd&#10;T0XOod7wsYtAzHV/fBO1BOMfD0ErP6cqnH37VeTLR4GNbwPRf6sXcW0CiNgBtCQgWegM0XD7N+Mz&#10;mQATYAJMwGwIsPCv6qPOT0H2oXthX3gWkSmt8da/36L/vX4YN6QJHO1L+TlW9XrVqCef/YvcA2kQ&#10;kBiunuVNxoDCM6AlGQdyYQJMgAkwASZQTQIs/KsDLDcecvi9kPJicTS5C97dMRuuzo545fFmlPzI&#10;vTpXqnZdsQSBYz8DW6YDaRfV85v3AR7+AlITchPkwgSYABNgAkygigRY+FcRVEm17BjgeE8gPwnH&#10;rz2AN7d+hCLZEt3buuHVUX7wdKvd4EZyARkC7p0PbP+Uoi+mUrPI9oACBGHAp5DqB5Q0kzeYABNg&#10;AkyACegjwMJfH5mK9mtOAid6U2TjNMTJj+OVNW9Ak1MEO1sLZRlgWG9vWFrUnkGgaJqcnQ78819g&#10;91xqRzYFJKKIhBQqGA9Oh+TkWVHr+RgTYAJMgAmYOQEW/rf7Bcg4AJx8ECjKRLbHy/hi76vYeeya&#10;crUWTRzw+ujmCPStXYNAcTM5PR6gREE4vIQ+FAK2zkCvN4Heb0CyUZIvKG3iFybABJgAE2ACWgIs&#10;/LUkbuc9bRsl6nmYhC6lL2zyHvZnvo65Ky7gyrU8iIn/o/d747mHm8DezvJ2rl6tc+TkSPIMoMRB&#10;UevU85y8gX40KOgaSomDatcgsVoN5cpMgAkwASZw1wmw8L/TR5BCyX+iRtBVaNbd7CtkN3gVSzdc&#10;xqrtiWQLQIkB69kotgA92tWuQaC2G/L5XTQIeAuI26/uatIVeGU/Jw3SAuJ3JsAEmAAT4CA/NfId&#10;SP4JOPuMeqkWiwDvcYi+pMFXYedxJk6j7BfeAC+P9FMGAzVyz0ouIp9cBaz+D6C5AoRugRT4UCVn&#10;8GEmwASYABMwFwKWH1Ixl87WWj+d2gPWHuSCtxG4toFyAATD3ScEA3t4wsXRCqdibiAmPgsbKX2w&#10;Ay0BBPo61vpMXPIKJkNAWo6I+YeUEvmQ2gntBBcmwASYABNgAhzet2a/A3HkfhdLYXklG6A1rb27&#10;qbPtq9fz8C3ZAuw5kabcr2VTR8Ug0L9x7RrkydcvATP9AEtqz3sJnB+gZp82X40JMAEmYLQEeOZf&#10;k4/OtRfNsm9Qet7dQMpqwLUPYOcLR5rt39+5PgIaOyhagLjkHGwgLUB2biHa+DvDyrJ2QvVKdq40&#10;GKG1/6unqS2NIPl2q8ne8rWYABNgAkzASAmwwV9tPLizoUDyDzTjrkcBeEjt7hRScpfsnEL8uO4S&#10;/tyRpBgEernbYtIoP3RrUztZ++QTK4HljwONOkKadKSkHbzBBJgAE2AC5kuAhX9tPHu5CDj9BM3+&#10;SfBae9IAgCzwHQLL3OlsXKZiEHjuUpayv09HD7w8oincXUlFX4NFFuv+MxoC2RSDYNJRSI061ODV&#10;+VJMgAkwASZgjARY7V8bT00iJ3+PoUDmYbK2P05GgGuB+mRwZ0Vq+OLiQUJeGAQ62lsqSwHRl8kg&#10;cM8VODlY1ahBoGRBPv43Esn1j4IS0bbUapC2CfzOBJgAE2ACZkqAZ/61+eALaVZ/qr9qA2BPM3+h&#10;AbAhTUC5knwtVzEI3HfqunIkuJmTYhDYrKFDuZq391FOoAHI17T0YE+xBqaT4Z9V7eYfuL1W8llM&#10;gAkwASZQVwR0Cv8zK6bjozUxN9vgPwLfz3gA/8x6A2HHSKA53IcZ8yfA31aD9bM+xJ9n0tB25FRM&#10;6u+P5J1zsSxjGKYMbnrzfHPeKkinPAD3kwbgGOBIArjdv2U0AKXR7DyWinkrLyI1PV/JDfD4gz4Y&#10;M7AxbG3u3CBQ/qYLcJk0EaN/gRRCSxJcmAATYAJMwGwJ6JQq/sPewffff4/Fy5bhg6GNgIa+yNm3&#10;BGFxw7A4LAwf9IvEzOXhKIjfjR0YhUWLptPy9l5oEI9lC29g+AAW/CXfKKHqb7OFZt1BNAAIV8MB&#10;C42AjtKrgwcWT2+Pob28yBhQxi9/JeD5T47jcJSqEdBxStV3dRmn1j1IhohcmAATYAJMwKwJ6BT+&#10;VraOcHR0hK1VOravicczj4TgUmQ0OozsAqEw9gvpiqxtJ6FxckHOlRgkJ8cix80GUesXA+NJI0DL&#10;zFxKEbBpALTdSkl3fGkJYA8QOZwSAlFqXh3F0d6KwgE3w7dvtEZzUvsnpubi7Xmn8dmSc0i7ka/j&#10;jCruak+zfSs7CvqzHYr/fxVP42pMgAkwASZgegR0Cn9tN3PPbMQuh6Ho2cgK1rCDuwsJDyq23gHw&#10;EMvRrt0xeWAe5s2LwPBnfbB5hw/6eRzHglkLsC9WDWurnMAvBK0JaQBoACCs/6+TJuDMU2oWPj1s&#10;WjVzxsJ32uKFYb6wtbbAtkOpePajcCVKoExageoWycGNBiCP0T3JE+HQj9U9neszASbABJiACRGo&#10;QPgX4N/lm9Dh+T4QcejykYPM7AKl67lJ0UjNUmeu/n3HYMaMCXDZvxU+Q1pg/Zwj6Du2OzbOWIZk&#10;EwJVI10R7n5t/lL9/1N+B869WOFlLS0lPNGvIX6c3g5dg+sR/0J8+fN5vDYnErFJupcOKrygVvV/&#10;eCluZwBR4bX5IBNgAkyACRgNAf3CP3Uvlsb4Y3gXL6UzPi18cWAjGYxRSTp3FujWHiWOa6k7MSe8&#10;A57u4UEC3xtBXm0QaJ+AFHIx51KOgMgD0Ibi/1uQ6iSZZuDn3yhX4daP3h52mPlyS7w3LgBuLtY4&#10;SbkCXvzsJBavv4S8fJrJV7X4k+FhPbLHSLsARG+r6llcjwkwASbABEyMgF7hf+bvdXB44LGS9Xuv&#10;XuMwNGcpRo8ejalhtpgW2rkYRQG2/7gOgyY/QjYCfugfdBChE8fjbNehaM0eZbq/Li49gOA/1BwA&#10;8V9RCN6Pddcrt/f+TvWxhAwCB/f0REGhjOWb4hH66QkcO0MeBVUokog/0PV5tSar/qtAjKswASbA&#10;BEyTgE5Xv4q6qtFoYEvGgKVt+gpoNcCq1I5cTS7VYclfEUflWAql3Y0aRZuFQPNvKATvxEpP0VaI&#10;OH8DX1LK4NjEbGXXQ93qY/zwpnB1stZW0fkup8VSsp9m9MDo+UxPhGRfT2c93skEmAATYAKmS6Da&#10;Ef5sbGxQXl1gUW6HlU2pkYDpsrvznlHqX8UQUEQATNtMSYBIKItlgSoUTzdbPHyvJ2ysLHCKBgIi&#10;TPCmfVfh5mxNCYT0ZwtUhP3FvRR6+AwtATSB1KRrFe7GVZgAE2ACTMCUCFR75m9KnTeYvsR/TWv/&#10;r1FzLIFWZAhYf1i1mpZwNQdf/3oBR06r6v+QFi6Y/GQzNPGy13kdOXwFEEauf5zsRycf3skEmAAT&#10;MHUCLPwN5QnHfkjx9z8iOwBSx7cmg0C3B6rdsr8PpuD/Vl1EemYBrK0kjO7fCE8+1JC2y6pm1GQ/&#10;PpTsJw147Tgkn3bVvhefwASYABNgAsZLoKxUMN5+GH/Lm35IkRRfJT98cpGIHErBgPZXu08PdiWD&#10;wPdDMLB7A+QXyFi64bLiFlhUVDYugBLbv8PT6vUPLKr2ffgEJsAEmAATMG4CLPwN6fk1J/W/5zMU&#10;/Y8CJEUMonDAJ6vdOhdHK7z5tD/mTA5GfVdrRF3MxK5wSudbvnR5Tt0THga5QI3ZUL4Kf2YCTIAJ&#10;MAHTJMDC35Ceq3DFC6TY+x6PAgWkkj/5EKnmo2+rhe1o3f+pAY2Uc3/fnnjLNaRGHZQ1f2Sl0kDj&#10;z1uO8w4mwASYABMwXQIs/A3t2Upk9NfyF7LEf5DCKibRAKAfkBt/W63s160BHO0tEXkhE6djM2+9&#10;hjbiHyf7uZUN72ECTIAJmDABFv6G+HAtyOgvmGbjzt1J8F9UBwD5KdVuqb2tJYbcp0ZoXPn3rbN/&#10;hDxJDgZ0r+i/KdnP5Wpfn09gAkyACTAB4yTAwt9Qn5sl+eoLq39HssTPjgJODaClgIxqt3YYpQcW&#10;cRh2hqfiahoZE5YqkoM7JfsZrib7Oby41BHeZAJMgAkwAVMmwMLfkJ+utZuaCMguAMg8QmvzQygY&#10;oBrRr6rNbkDBgO7v5IEiSgGw6h9aRihftKr/w0s42U95NvyZCTABJmCiBFj4G/qDtSG1fdu/AZvG&#10;5P63k8IBjyBvgPxqtXr4/T5K/U17ryA7l0IJly7+fcm+wBe4dh6I+af0Ed5mAkyACTABEyXAwt8Y&#10;HqxdUxoAbAWsG1AY4I3A2bGqqr6KbW/Z1Alt/Z2VlMCbKQRw6SKJNQHt7J+T/ZRGw9tMgAkwAZMl&#10;wMLfWB6tQ0taAqD4/5YuwNVfyUhvQrVaPuIBdfb/x79JtAQglz230zP0mdwMT66GnK2GCC5bgT8x&#10;ASbABJiAKRFg4W9MT9OpIxkBrgcsKGZ/0nfAhber3Prubd3g7WGLeMoDsPckxRAoVSR3PyCAwgkX&#10;kD0BBf3hwgSYABNgAqZNgIW/sT1f1/so+c8qmqhT6t7LXwCXZlapB5YWEh6731upqyvoD7o+r16H&#10;Vf9V4smVmAATYALGTICFvzE+PfeBQNBP1HJ6fBffBRIWVKkXA7p7wsHOEiejRQpgCiFcurSmTIJ2&#10;9WhAcRhy0qnSR3ibCTABJsAETIwAC39jfaANRpGqfqHa+phXgCuVq+uF4H/4Xk/lnJXbEsr0XLK2&#10;Azo8pe47yMl+ysDhD0yACTABEyPAwt+YH6jPC0AzUv2DnPjPkNFe6rpKe/Nob2/QCgB2HL2G1PRy&#10;CX20Vv9Hf4ZcWD13wkpvzBWYABNgAkzAYAiw8DeYR3GbDWk8BWhCqn8UUAyAx4Hr/1Z4IS8y+uvV&#10;wQMFhTKE5X/pIjUmg0JviiiYRaGEI9aUPsTbTIAJMAEmYEIEWPibwsP0+xTw+Q/5/ucAkY8ANw5V&#10;2KvhxYZ/G/ZcQW4eaQ1Kl26h6idO9lOaCm8zASbABEyKAAt/U3mc/vOABrRmX3iD8gCQQaAmUm/P&#10;Wjd3RnAzJ2RoCrBl/5Wy9UJGUywBG+DcVsjpt5dNsOwF+RMTYAJMwDwIpGfmY8LnJzHpqwiD77Ae&#10;4Z+LfT9MwejRo+n/dOyMFwlh0rF+Vqi6L3QBYpQcMRraNwWhoaGYuyVG6WzyzrmYtT7W4Dtucg2U&#10;aCE/aAngTjP/glQaAPQDci7o7eaIvmrQHxHvX5ZvBv2RHD0omNCjpEWgMMCH6XpcmAATYAJMoFIC&#10;WTmFeGf+aZyN0yAvv5xGtdKz676CTuGviViOb7e1xIKwMCyeFoh1a08idd8ShMUNw2La90G/SMxc&#10;Ho6C+N3YgVFYtGg6UlbuhQbxWLbwBoYPaFr3PeE7ku+/FcUAWAG43g/kkTX/yQfpXUcqX2LVs707&#10;PN1scPlKDvaful6Wntbwj4V/WS78iQkwASagg4AQ9tMXnlEEvw/ZVX0yPkhHLcPapVP4XzwaDg/K&#10;A39k9QpszeiBWRM641JkNDqM7ALK/g6/kK7I2nYSGicX5FyJQXJyLHJIkEStXwyMnwB/kkFc7hIB&#10;C3LZa70WcOpKM//zpAF4WGceAEtLCdq1/1uC/gTQoEEk+0mNhhzz713qCN+WCTABJmD4BArJePrj&#10;RWcRfi4DjVzy8GO9F+D+M0VMNfCiU/hb2dghdVc44OuLS2HTMfGnCFjDDu4uJFio2HoHwMOBNly7&#10;Y/LAPMybF4Hhz/pg8w4f9PM4jgWzFmBfbLkgMsqZ/FInBCydSHW/iR4UCXDNMUoG9JfO2w7s4Qk7&#10;WwuEn83A+fiskjpKsp/Oz6qfOeJfCRfeYAJMgAmUJiCWTD//KRr7SHvq4miJBX6zYJ1E6dfzb/6e&#10;lq5vSNs6hX/2tRzc99Zr6Nu5Oya89wxSN+3HdeRQVjhyJ6OSmxSN1CzVR9y/7xjMmDEBLvu3wmdI&#10;C6yfcwR9x3bHxhnLkGxIPTW3tli7qx4Aot+JuiMAOtlb4WEaAIhSPugPSpL9rCInggylDr8wASbA&#10;BJjATQLfrLiIbYdSYU+TqO+6roVDDOVeEZFSn6LlVwMvOoW/T2tf7PphC4RNX+r504CHG3xb+OLA&#10;xsNKd5LOnQW6tYertnOpOzEnvAOe7uFBAt8bQV5tEGifgBTFKFBbid/rnIDXOLIDIMv9axtoxHZJ&#10;5+2H9fGGsBX850gqrmWoAzpRUfJoDviT7YAYwYb/ovNc3skEmAATMFcCP6yNw9pdybC2kjD34TjU&#10;P/QZ/XCSSH3yZ0j1Awwei07h79VrHEbU+x3PkbX/xG8vY+J7j6AJ7Ruas1Sx9p8aZotpoZ2LO1eA&#10;7T+uw6DJj8DWyg/9gw4idOJ4nO06FK2FgQCXu0fApgFQ/zG6P1nuJ36vsx0N69vh3nbuyC+QsWZn&#10;OV0NJ/vRyYx3MgEmYN4EftkSj7AtCbAgCfrZKGs03/GCalvV/xNIrQYZBRyJ1ixu+nmVa3KuJheW&#10;jrYobb+n0Whg6+hYZl8BrQZYlaokzrOl87gYAIH0XcCJXoA1ufZ1i1M9Aso161TMDcUv1dXJCr9+&#10;0hE21uqYUM7PBmbQeTnpwBsRkLyCy53JH5kAE2AC5kVg/e5kzPnlgqIxnfaUD/rsHQwkUzK01uQi&#10;PXYV7SdVqhEUnTN/bbuFAC8l05XdjuUEv9hZWvCLzyz4BQUDKSIFsAMJ7fxEWsPRHbK3jb8zWjRx&#10;RHpmAbYeuFrScMnaHhBBf0ThZD8qB35lAkzAbAn8cyQFX/96Qen/q6OaoU/MFFXwe7YCRi01GsEv&#10;OlCh8DfbJ2xqHfeZoPZIj+GfOPj4AzTDp7KqXLx/aFX/nOxH4cMvTIAJmCeBA6fSMHNJDAVFA0If&#10;aYIh+T+SVnUlGfiR9dszf0KyczYqMCz8jepx3WZjPcfQMI98M69vB7LP6bxIr47uqO9qjdjEbByM&#10;uBn0R2rciZL9tCWXwSuUN2CdznN5JxNgAkzAlAmcIB/+D8mXv7BIxpMPNcQTzSKALe9Rl0nF/8RP&#10;kBoEGl33Wfgb3SO7jQZb0ci0gVDf05A1caHOC1hZWuDR+9XZ/y1Bf7o8r55z6Aed5/JOJsAEmICp&#10;EhDheqdR9L68fBmDe3ri+fvIgPrnJ1UDv4c+ghQ8xCi7zsLfKB/bbTTaZ7x6UvISoIiy/+koD9/r&#10;CVsy9jtyOh2xSaWCVHSkhEEi2c+ZLZAzyHaACxNgAkzADAjEJWXj7XlREHH77+/kgUmPegFLybAv&#10;+xoQTHlUHhCzf+MsLPyN87lVv9XOpL536kJJf+hLe/U3nec7O1hhYA9yD6Ty+7abQl5yrE+WrENp&#10;pEsj3sNLlOP8wgSYABMwZQLJqbmY8m2Ukv20W+t6eOcZf0irQkl7epw0qUGqut9ILPt1PScW/rqo&#10;mOq+Khj+DevtrfR+68EUsv7Pv0miJNnP4pv7eIsJMAEmYIIErqXn4c1vI5FyPQ/tApzxQWggLHd9&#10;CRz/ldzZyLBPMfBzMeqes/A36sdXzcY3GEXqewo9eWM/kEmjVx2liZc9urd1uzXoTwtKEezSCEg5&#10;B/n8Th1n8i4mwASYgPETuJFVQKr+00i4mqu4QIsMfTax/wCbplLnyMBv1DJIni2NvqMs/I3+EVaj&#10;A5Zk8e/1jHpCBW5/I4vd/kToyvyCIqW+ZGEJdHlOPZeT/VQDOldlAkzAWAhk5xZi6vzTOJ+QBV+a&#10;CH3+Sks45MSTgR9NnMSy54PTIbUZZizdqbCdLPwrxGOCB31eUjt15Wda/7+hs4PtW7jAv7ED0jLy&#10;KWlFys06nZ+lbRr5nvidkv3oPvdmZd5iAkyACRgPgbz8Irz/vzOIupgJL3dbfPFqK7jYUvhaYeCX&#10;lQq0pPToD35gPB2qpKUs/CsBZHKHHSgSlWsfsvjPBK4s19u9kX2Lg/78k1RSR/LwB5r3pmiBGnXt&#10;q+QIbzABJsAEjJeA8N//dPE5HD2TATcXa8wmwd+gHnk4/f4ikHCMcqS0oIQ9yylvj+mITNPpifF+&#10;7+q+5Vq3vyTdPv+iQX3IrUX8EZyPz8JRcv0rKdqIf6z6L0HCG0yACRgvAZHeZvbyGOw+ngYne0t8&#10;8UorNGxgB3nnHOAYTZBsnChm/x+Q7MleyoQKC38TephV7orHcEr0Q/6qmhNAxl6dp1lbUdCfYsv/&#10;ldtvuv2hDZ1rS1aucfshJ0fpPJd3MgEmwASMhcD832Px14EU2Nla4L8vt0TzRg6QY/4FNr6ldmHU&#10;EkjerY2lO1VuJwv/KqMyoYoW1mT4N07tUAWGfyKalY21pIT7vZScrdSXbMhoMISiW4nCEf9UDvzK&#10;BJiAURL4cd0l/EH5TKytJMx4MQitmjlDvn4JWP44LY3Sen/faZDaPmaUfaus0Sz8KyNkqsd9aC1L&#10;5HW6Sokp8smYRUdxdbLGQ93UoD+rSs/+tar/o8vJAJb+QLgwASbABIyMgAhk9vPmeFiQDfN741qg&#10;Y0tXyPkU/VQY+GmuAoEDgIc+NrJeVb25LPyrzsq0atr5AW4DyX0ll1JSLtbbt+H3q0F/hFosQ6MK&#10;eqkJRQr0IjVYZjIQtV7vuXyACTABJmCIBDbtvYIFq2OVpr01xh8927urzVw9Hog/AriTcfPoMJMy&#10;8Cv/HFj4lydiTp+1hn+J/6NBgKyz5029HdCVQlvmkhvMOvL7Lymc7KcEBW8wASZgPAR2HE3FV2Hn&#10;lQa/MtIP/Yq1m/Lub4AjS8keypEi+JGBn4Ob8XTqNlrKwv82oJnMKe6DyHjPF8iJpnS/f+vt1ohi&#10;t7+1O5NQUKgG/UHHp2nVgGwHzmyGfOOmO6Dei/ABJsAEmMBdJnAo8jo+WxIN8uzDuCFN8GgfVbMp&#10;n98FrH9Tbd3jP0LyaXuXW1r7t2fhX/uMDfcOEj1+b7H2T0VPql9xqBOthfn52CMlPR//HFbtAyQn&#10;sgUQWa2EUcxhGi1zYQJMgAkYMIFTMTfwwXdnaQIjQ0xonhpA4cqpyOnxZOA3kn7LKJdJn7chtSdj&#10;PzMoLPzN4CFX2EXv5yloH83gU9cCuQl6q2pD/q4qFfQHnOxHLy8+wASYgOEQiL6kwbsLTivLlwO7&#10;N8CEx5oqjZMLyOZp2XDVfknkLxnwqeE0upZbolv4p4dj+ujRGF38f/qKM9SMdKyfFaruC12AGGJG&#10;JpG0bwpCQ0Mxd0uM0tTknXMxa71qSKHs4BfDJmBDai8PEauaZvBJi/S2tW/n+qjnZIVz9Ed0/FyG&#10;Wi+oPyX7aUgeA2cgX9it91w+wASYABO4WwSEm/Lb86KgyS5E7w7ueH1085tN+eNl4NJBMn5uBjz1&#10;Kxn4Wd48ZuJbOoW/5sIRJHabiGVhYVi2bDHeeywIqfuWICxuGBbTvg/6RWLm8nAUxO/GDozCokXT&#10;kbJyLw0F4rFs4Q0MH6COqkycnel0T5vqN+l7NXmFjp7ZWFtgaHHQn9+L3f6UPxQl3j+dwBH/dFDj&#10;XUyACdxNAlfScvHWt1G4nlmALsGumPpsACyEbx8Vee//qbFKrCl2iWLg5343m1rn99Yp/GFtg6wD&#10;G/H9grn4ZfNJFFjR4CgyGh1GdoEtNdEvpCuytp2ExskFOVdikJwcixw3G/L6WgyMnwB/qs/FiAjU&#10;ux+wDwLyLpP6f53ehg+5z0sJhrHvZBqluyR/WFE6Pau84cRK8hqkfAFcmAATYAIGQCDtRj6mfBOF&#10;K2l5aOPvjA9fCKTfL1XkyRcpsunayWorR3wPqWF7A2hx3TZBt/C3c0Oj4EB079sbeTu+wgsLDsMa&#10;dnB3sVNaZ+sdAA8aLMG1OyYPzMO8eREY/qwPNu/wQT+P41gwawH2xWrqtid8tzsjUOL2t1Dvddyc&#10;rfFgl/qKV+Cqf9SQv1KDFkCzXjRwIMF/fIXec/kAE2ACTKCuCGRmFyiq/stXchBAGUo/nRAEOxtV&#10;pS+nk23TMoraJwz8er0BqcPoumqWQd1Hp/B39B+MWe+NQUhQCJ5/JxTYdRzXkQMBVJTcpGikZuUp&#10;2/59x2DGjAlw2b8VPkNaYP2cI+g7tjs2zliGUl7hSl1+MWACns+Q6549ufz9BWSrPrC6WvtYsdvf&#10;5v1XS74P0Eb8Y9W/LmS8jwkwgTokkJNXiHf/7zRiLmehsacdPqdEPU72qjpaLiC59dMIMvAj92T/&#10;vsCgz+uwZYZ1K53CP+KHiZioGPlRsKPjFO3Iww2+LXxxYONhpfVJ584C3drDVduX1J2YE94BT/fw&#10;IIHvjSCvNgi0T0CKYhSorcTvBk3AmgJa1B9FTZTJ8O9/epvarKGD4vqXk1uE9buvqPVE7GtbZyB2&#10;L+QrwjiUCxNgAkyg7gnkFxQp7nwR5zPhSUvRsyg1bz3SWJaUNRMpKdk+oB7ZpT29wqwM/EoYFG/o&#10;FP6tR4yH79aPMDp0NKYsysDrHz6CJr3GYWjOUsXaf2qYLaaFdi6+RAG2/7gOgyY/AlsrP/QPOojQ&#10;ieNxtutQtBYGAlyMh0DDCWpbk34klZj+kZs26M+aHUkoJJ9ZyYYiYrV/Qj2Xk/0Yz/PmljIBEyJQ&#10;SJF7RACfw1HpimfSFxNb0QDgphCS938HHKD/VqThHLsakmN9E+p99bsiUS5jmurpLrm5ubC1vQlP&#10;1NJoNLB1dERpm74CWg2wKrUjV0PnOZY9T/cdeK/BETjakR7yMSDoZ8BztM7mia/MczOO41JyDqY9&#10;FwDhBijHHQDm3QM4eQPTLkGyLPWF0HkV3skEmAATqDkCs5bHYPO+q3C0t8ScycHwb0yTkuIix+4H&#10;FvYGCvOAUcsgdRqjPWS27zpn/loa5QW/2O9YTvCLfaUFv/jMgl9QMNKidfurINWvJEkYWbz2rw36&#10;I/l2o8FCK3Ut7fQGI+08N5sJMAFjJLBgVawi+G3JJXnmf1qWFfwi/PhPtDQpBH/PySz4ix9whcLf&#10;GL8E3OY7JCBm+5YuQMZu0gCc0nuxB7s2gIujFU5fzIQIm6mUkmQ/tGzAhQkwASZQBwSWbbwMEXvE&#10;ylLCxy8FonVzsj8qLnIhWfQvIwO/DLLwb04z/4dnaQ+Z/TsLf7P/CpQDYEmqMs9ilVgF8f5tbSwg&#10;/P5F0Qb9gVClWZC6//RGSvaTXO7C/JEJMAEmULME/vg3CUs3XIaI2yOWIDu3qlf2BmteJUPkPeSW&#10;3oQM/H7j5chSdFj4l4LBm8UEtD7/V34iVZn+eA1De3kpo+09x68hKTUHkpMn0GqImuznyDLGyQSY&#10;ABOoNQJ/HbiKeSsvKtd/46nm6NXBo8y95EOLgf0Ut8SK4tMIAz/x+8SlhAAL/xIUvFFCwLENxezv&#10;SYKfYvhfCSvZXX7Dw9WGjP08lPSYq7UJfzjZT3lM/JkJMIEaJrCbJhyzfopRriqS9AzoXlawy5cO&#10;AasnqHcdvgBSE613Wg03xIgvx8LfiB9erTa9CoZ/4v6P3e+jNGMTWdlm5RQCLQcCzrTvShSUEJq1&#10;2ki+OBNgAuZG4OjpdHzy4zll0jF2UGMlPW9pBnImxR8RmfoKyV25xyuQtPlHSlfibbDw5y+BbgL1&#10;yTrWivxghdvfjYO669DegCaOCAl0UQT/hj3JatCMTs+o9Tnin15ufIAJMIHqE4i8cAPT/3cG+QUy&#10;Hu3jjWceblzmInIh+Z3/NJKS0F6mJDSkvRzyVZnj/OEmARb+N1nwVmkCFhSnwXucuidhQekjt2xr&#10;g/78uSMZItAGujyn1jnxG+Q8/TYDt1yIdzABJsAE9BA4H5+FqfNPIyevCA91q4+XRzS9tea614AL&#10;O2nZshEw5ncy8CsV3e/W2ma9hyOxmPXjr6Tz3i8Bl8k1JmUFucnQCFqEANZRurWuh0YN7BBPmf52&#10;h19D746BkMWo+yK5Cx7/7eZgQMe5vIsJmBsBYRwbfjYDR8+k4zi9W5CLWvc2bri3vTvat3AmI1qe&#10;k5X/TsRTgp635kVRPpFC9Gzvhjef9oeIN1K6yMLIeO88clWmicvYVZCcVW+k0nV4+yaBCiP83azG&#10;W2ZL4OQASvazhYT/HKBRcQpMHTDW7kzC3BUXEdzMCd++2Qby4SXAb6QBoEGA9J9dOs7gXUzAPAhc&#10;S89ThP2xs+k4diYDiam0Fq2nONpZoluberi3nbuSf96xOCGNnupmsfvq9TxM+jICyddy0THIhTL0&#10;tYQNBfMpXeTLR4D/owlHQQ4ZIlGK3m6hpQ/ztg4CLPx1QOFdpQikrgEihwH2QUDn06UOlN3Mzi3E&#10;E9OOKiPzeW+2RstG9Mf5MYX6Fal+p5yB1CCw7An8iQmYKIEbWQU4fi6DBL0q7GOTssv01InCz7Zv&#10;4YIOQa703wW5pMbecyINwmX2YuLNuiJojTjegwYCPdq6oX49mzLXMYcP6Zn5mPxVJOKSs5WJhYjX&#10;b2+rpubV9l/OvAp8Q9b81+OAe8ZDIut+LpUTYOFfOSPzriGTBf9BPxLiZEDTdjtlw7pfL4/v18Th&#10;178S0KejB6Y/3wLyShp9i0Q/fd6GNOi/es/jA0zAmAmIga+IcqkIe1Ljn7ukQemMKXYUEKttgDM6&#10;BKrCPoBizluIqDQ6SkJKjjIIEIOBCLqmMKHRlpZNHZWlgR7t3ODn46DdbbLvGkoh/8bcKIVnc8om&#10;+tVrwXB2sCrTX8XAb9FDQMw/QNMewEv/QLIyv0FSGShV/MDCv4qgzLpa7MeUBvMDSvlLVrStaA1f&#10;T7malovR75N3AJWfP+6ABhlHgfn0Bylc/0SyH4uyI3Y9l+HdTMCgCYi0sVEXMpU1+2Mk7MW2Yuha&#10;3GprKwmt/JzUmT15wrSipbDbWccXs959J9OwlwYCIlNdbn5RCZeGDWyVpYF7aSAgwtnqG0yUnGBk&#10;G0Ib8vb8KJyMvgHR17mvt4a7y61CXV5LBn67v1Z/YyYdgeRCvzVcqkSAhX+VMJl5pdwEmv2TZa0w&#10;sOlKqjUbUufrKZ8tOYdth1Ix8gEfjB/eFPKsVsBVWi54di2kYIr+x4UJGBkBIdjPxmkQLtT4JOxP&#10;xmQgL//mlFxM4gN9yeWV1Pgd6X8bEsYi/HVNFiEMj5y+jt3H07D/VBrSM8mlrbi4OlmhOy0LCIPB&#10;TnT/mr639j519V5QWETufGdxMOK6stTxDQl+Lw8y4itX5KOUefTXp8nAjwYFYsbvRxMNLlUmwMK/&#10;yqjMvGIk+f2nribV2ieA7zS9MM7EZuI/X5xS0mqu+LQj7PaRl8DGt4DWwyA984fe8/gAEzAUAiJl&#10;9YWEbBL06pr9CVq/14gAVqVKs4b2iqAXAr89qfTr0jCviAYjp87fUDQCe05cQ8LVmwaEIqtdl2BX&#10;xU7gHjIcdHUyLlc30bfPlkTjnyOp1HYrfP1aa/h625cir27KCeGUQpyEfQHZSAxfCOke8kwyhFJA&#10;Sc5OPkA5Tmiw0t6wDZ1Z+BvCF8YY2pC2FTj1EOVr9iXXvQukBdA/s5k8J0JR170y0g/DOlHnPm1C&#10;LzQ9eu8yx9c2hmdthm0UrmRaYS/eS8+sBQ7hyiqM78S6vQhqVc/ZcITqxYSsEoPBM6Sh0BahkWjj&#10;76wsD/Qg97iG9SnGvYGXr8LOY8OeK3Agr4cvJwUrGpXyTZY1qaqBX9pF0kSGQhrxffkqd+ezMPSI&#10;fAS4th5w7Ah0JA8EAy4s/A344RhU08QX+3AgkBMNBK8DPAbrbZ6Iu/3Bd2eVtbql74dAWvYo/VGQ&#10;1wCl05R6v6n3PD7ABOqKgLBPESp8rUW+cCcrXYRlfQcS8sIiX7iXNXC7Ve1cur6hbKdQP/aSNkAY&#10;DIpYAgWFN5cnhLZCLA0IO4FAXydDaXJJO777IxYr/k4kNz4Jn7/SCu0CXEqOaTfkItLALCL34+i/&#10;gSbdgAk7yMDPQJ7NhakUF4UMm63cgRDKLWDfXNtsg3xn4W+Qj8VAG3V5NkXPmgK4DaIpxQa9jRSq&#10;u7Efhiv+zB+9GIh7rXYDS4dSquBgSG9G6D2PDzCB2iIgjOeEMNRa5F+mmX7pIlTMIaXc7xp73qpq&#10;Ll3fGLaFtfzByOvKQODgqetlli7E4EYMAoTngNBk3I5BYk0yCNsSjx/WXoIlqStmjA9Et9ZuOi8v&#10;r6ffn530O+TkBQgDP1eK5GcI5cqvwJknqSXkjdB2C3lF9TWEVlXYBhb+FeLhg2UI5JO67QD9scn5&#10;pPo/D9g1LXO49IfV/yRi/u+xiovTnFeDSPXfGMhMBl7eB6npPaWr8jYTqHECQvCdIEtxrSpfhIYt&#10;XYRaWazVizV7oc4XrmTlI8aVrm/s28KITgx+9pDB4F7yIBAaAm0RgYW6kn1Az7sUWEgbIEzYE097&#10;LgD3d6qvbVqZdzl8BRD2BK2n05LLS9shNetZ5vhd+5B5lCKZUluKyP7Afz7Q8D93rSnVuTEL/+rQ&#10;4ro0uh1LGft+AhqTiqvZZ3qJiAx/IuiPMJRa8HZbtDj5MbDjC1qje4HW6L7Tex4fYAK3Q0BYw0eQ&#10;EZwQ9kcpit5ZMjwlBVRJEapkYYWvBNahmW5gUydllllSwcw2hGGuWBoQSwTCuFFb6jqw0LZDKZi5&#10;NFqJi/D6k83wcE+a0esocuIJMvDrDuTTIG7YfEg9DETA5tGE5lhnNQ6K9wtAC+P5bWPhr+OLxrsq&#10;IJCxl0a591Kcf/oj7XpJHYXrqb5wdSxWbkvEA108MHUQrdXNbkUGg7SONz0Rko2DnrN4NxOonICY&#10;yZ6+qClR44tsbyLTm7YI9XFLP8cSYR/czPmWkLDauub+LgIL7SWNwG4aCOgKLCQiDN5LBoM1HVhI&#10;aCA++O4Miih8wYvDfDGqX0Odj0LOSlMN/K6RtrHTs5BGLdZZr853FpH25EQfynq6jxIJ0cxfBEET&#10;WgkjKRUK/4LYLRg/4wq+XDQGrkjH+llvIOwYjbwc7sOM+RPgb6uhfR/izzNpaDtyKib190fyzrlY&#10;ljEMUwbrVwkbCRtupj4CR9tTql8aibekda4Go/TVUmJxP01Bf4Q6NWxGB3j8TOtgsXuAx5dQju1n&#10;9J7HB5hAeQLCjiT6chaprovd78jXPieXpEZxESrjgMYOxcLeVVluKh8GVluX3/UTqKvAQuI5vkMZ&#10;+sSA7an+jTDuEeERdGuRxcjgx0HAWVpHb0wz7Am7IFnb3Vrxbuw5Ow5IpoGI8IAKOUzxTxrcjVbc&#10;9j3Lxkosc5lkzJ+6FFkOQ4UJA1L3LUFY3DAsDhuMiysmYubycCwckIwdGIVFixpgeuhOaPrbYdnC&#10;Gxi+jAV/GZSm9sF7PIXTJLVb4sIKhb+Xuy16dfDAv0dT8ceOJIR2oT8WIfwP/Uh5Alj4m9rXoqb7&#10;E5uURTN7YaSXQbHy03Eji7RHpUpT8v8W6/Uhxe535UO/lqrKm1UkIOICDOjuqfzXBhYSywMi0qCI&#10;JyA0eeJ/SWAhMhjs1LJetQILnaYlh/cWnlEE/yP3eekV/EqTN7+rCn5HT8rUt9pwBP/lr1TBb0Ea&#10;zGDyZDIywS/Y6hX+hxfMxo2hA+F/OA8FVPFSZDQ6jHwCwqnCL6Qrsj46Cc2IAORciUFychZy3GwQ&#10;tZ5GQeNJI6D3quKWXIyegOfTZPX/FpD+L5AVRZogUufrKY/19VaE/4bdyRjz/mOwtX5Vybctp0RD&#10;qh+g5yzebc4E8iiM7WsUK+J0rKYMBm+K8qZ1vxPv7q42ZY7zh5olICIFKkmFSO0vNC/CpkIMBLSB&#10;hTbvuwrxXwQW6tzKVXEjrCywkIhJMJVm/NmktXmwS328OspPb6PlE78D/35OqnQSKE//Bqmebu2A&#10;3gvU1gER80T8/onYJYFLyfMgpLbuVKvX1SmmNRErsDBhIBZNaIopu/dCKFms6dXdRVW32HoHwMMh&#10;GnDtjskDozFvXgSGP9sam5dkYvCzx7Fg1hmEPD4W3SkRBRcTJGDlTG57TwFJ/6PZP/33/1pvJ8Va&#10;q0jzG0nxz/86lo0h7R+neAE0SBSz/4H6DQb1XpAPmDyBpRsvK4Lf2cGSotXVU1T5wtfe28NA1L0m&#10;/wRu7aDIHdCW/O7FfxG2WxtYSBgMikGaOihIQ0WBhRLJtuCteVHI0BQo4YjfGuOv18NCTopQU4KL&#10;pgz+EpJ/71sbdTf2ZJ8DToulTtJC+X5Ams8Rd6MVNXJPHWv+Gvw0+gVs8r8PA/1SsWlbMu4b8Qw6&#10;py3F3uAPMam7B3LP/ITnPsrDgrDnyRZALRE/TMf+Fv2QuOwARn7aD8un7cMriybAq0aayRcxOAKZ&#10;x8nKlUa8lvWAbgn0bq+3iTtI7f/xD+fQ2NMOS8ZmAgvuIwOZRsC7sZzsRy818zwQTRnxJnxxUrH+&#10;FslcRNIaLoZNQAksRMsCIiWxrsBCQnsgYiiI6H2JqbnK9syXW+o1wJSzr5OBXxdaa6YJZscxkJ5Y&#10;ZhgACjKA8G5A9mkKcvYoJTlbRZN/mv0babG4td226DvtLbw+tDtatWgBB9RDUJAPGrXwxYGNZNRA&#10;JencWfrBb18i+JG6E3PCO+DpHh5IhjeCvNog0D4BKbm3Xp33mAgBJzL6c+5OA2D6Q736S4Wd6hni&#10;Dk93G4jAKvszW1N2wEAgI57cBjdXeB4fNC8CIoHOrOUxivX38Pu9WfAbyeMXAYPE2r2Iyrf68054&#10;bxz56nf2gIgfINwIf94cjynfRimCX6Ql/mR8kH7BLwz8fiGtohD8jToCj5Fm0RCKTO06/aQq+B3a&#10;AkE0IDFiwS+Q6lD7W6FR6xDQvIySJljDbWUeRVtqBEeMw9B1EzF6NK1xIBjTvifLS6UUYPuP6zBo&#10;8kzYWuWif9BChE7cAZ+u4zFGGAhwMV0CPmT4J9xchOGfNxnz6SnC7Wp4H28sXB2H37cn4h5h+Lfp&#10;HVX13+phPWfxbnMjsGJrgmLRL9b2nxtsIOu75vYQ7rC/IsGRCNIj/msDC4mUxMJgUNhozPxPS9jT&#10;oEBv+et9ErIbyY6ofrGBn36Not5r1MaBC/R7lUbtsqJ2tV5Lmk6n2rhLnV5Th9q/4vtrNBrYOjqW&#10;GTUUFBCTUsOIXE0u1WHJXzFJEzhalKNG/Cu4prq6OIssPrpLJkVcE0F/hKHPD5MaoOkPQTRyJsXT&#10;e/GU7Me4XGR095D33gmBy1eyEfrpCcUC/PNXWpIBGS0ncTErAvKpP4Blj6m/Cy/8BSmgr2H0/8rP&#10;pKV8mtplTWHNt1LoXgOxP7hDOvTrW73iWE7wi7NLC37xmQW/oGAGxYIMsLyeVTsqZv8VFCeaEQzq&#10;4anUWLFfphgB5LtblA8cpWiBXMyagEihO/vn84rgH9i9AQt+M/w2yMnkNbTiGeo5/TY8/IXhCP4b&#10;lKDnbKj6RPy/MRnBLzpUbeGvUuBXJlBMQKj+hcuLWPcvSK8Qy6Ok+hfLZCJXd2abMWrdQ4srPIcP&#10;mj6BNTuTlRTQbi7WeIksybmYFwE5m343lg4Dcm+QBvFJSL1eNwwAeYmUjZTaJZOG04fimii/dYbR&#10;tJpoBQv/mqBoztewb6FmsCoin2wR87+C4kP5xHtSSlER1WtVIi0RiMAdyacgxx2s4Cw+ZMoERGrd&#10;RWvilC6++rgfOFCPKT/tW/smtD74lSYCKWRE7kNGxCMW3VrpbuwpImv1SLLozyNPJtfeQPOv70Yr&#10;avWeLPxrFa+ZXNxngtrRSlT/otKIvj5K3bV7rqGwg3b2/4N6Pr+aHYE5v1xQ7EB6d3BXokGaHQBz&#10;7/DWj4CodYC9O/DMH4aT8+Pci2TMfIDWsP3IpY+CDRlRzP6qfqVY+FeVFNfTT8BjKEWBIqGeRYE5&#10;0nfqr0dH2vg7I9DXEemZBdhj/Yha9/gKyhKcXeF5fND0CGw9cBUHIq7Dyd4Sr4z0M70Oco8qJCBH&#10;kNX83x/TqiFZ/z/1KyT3ZhXWr7ODl2eRFnMZCXyy6BeW/dZk4W+ChYW/CT7UOu+SRK4e3sVGMVWY&#10;/Y8snv0vPexKUbK6Azm05idCeXIxGwLXb+Tj/1bFKv39zwg/DtVrNk9e7ah85Yyq7hcGfgNnQgrs&#10;ZxgErm2m0L3vUFvIOEn48juST7+JFhb+Jvpg67xbPi/QLWkEn0JRr/KuVnj73h09IAKDxCZl40Kj&#10;J9S6ItwvF7Mh8M1vF5Qwr51auqL/PezqaTYPnjoq55Bhn2LglwG0exxSnymG0f0sGpCcFr9HFNCn&#10;KS1H1Kc1fxMuLPxN+OHWaddsmwDuFLBHphzXyRULcktLCcLyX5Qf43qQWo0yY53fAXHpdRwAAEAA&#10;SURBVDn1fJ02mW92dwiIgC87jl6DHSWOeX20gah67w4Ks7urYuC3Yix5B50mbSHNqh+v+LeizgAV&#10;XCcDP1qGLCQtZP0RQJP36uzWd+tGLPzvFnlTvG+J4d//aBBQVGEPH77XU/nx33e2AJkthlNdUv/x&#10;7L9CZqZwUEPBnr7+RR3khQ715WQ9pvBQq9OHbZ8AEX+SgZ9bsYGfY3XOrp26ciEZHdKMP5s8DhxD&#10;1Ex9Rh66tyqgWPhXhRLXqRoBt4fIOpZmcrkXKBTmXxWeI1y6BlBAF1HW55DGQJQjS2nMUPGgQa3I&#10;r8ZKYOEfcUhJz0crPycM7eVlrN3gdt8GATlqA7D1Q1pOJ7EzOgySh/9tXKUWTrlAyw7Xt5AGkn6P&#10;gtfQ6iVpIs2gsPA3g4dcZ10Uf9Q+L6m3S1xQ6W21QX+WRjVDoXsAeQpcpmha9EfIxSQJHD+XgY17&#10;rsCKln3efLo5RJpYLuZBQL56Tk3YIzSC/T+BFDTAMDqevAyIn0MDEgrdK7L02fkaRrvqoBVWdXAP&#10;g7rFX3/9hfz8fHTp0gWenmq4WYNqoLE3xmscEPs+cI1G+bmXSBNAtgB6SmNPe9zTxk1J+nHC9TF0&#10;uPa5qvpvOVDPGbzbWAnk5hVRCN8YpfljBjWCn495zK70PS85T0Pf9cXAnm/ISJYEo7mUNo9B6jvV&#10;MHqbsR8Q/vyi+M+nYD73qdtm8mp2M39hcJKeno6///4b+/fvR25urpk86jrqpg2pzuo/RjejdbTE&#10;7yu96cgHfJQ6Cy72gSw0B5FrIWtSKj2PKxgXgcXrLyHhai6aNbTHE/0aGlfja7C1cnoC5E3vAp/S&#10;oHjNRPMS/E26AaOW1CDNO7hUbjz91pCtkUy//w3pOSjeSndwPSM8tdpZ/Yywj2WaXFhYiIiICERG&#10;RlLe8CLY2tqiU6dO8PPzK1OPP9wBgfRd5LffSw380y2OVGoVK5hemnlCSeX6S/PpaJD8NzBkDqT7&#10;Jt9BA/hUQyJwJjYTr8w6pTRp3pQ2CGpKwVPMrMiJJ4CdXwHhlAOjME/tfdMeQK83KJDMMFoGN7t5&#10;2N37BohspMdplp95mGb7fYG2Wyr9jbp7ja29O5vdN87S0hLt2rXDoEGDFLW/mPnv3bsX27dvx40b&#10;5H/K5c4JCPWZQzCQT4kxUsmAppKiDfn7+41idT8n+6mEmPEcFjndZy8/jyJy5hBaHnMS/ELLKJ/Z&#10;DPk7CmAzh+LWk0Erikgj1m4k8Mp+SC/vgdR2OAv+uv46n31eFfx2zWmdf6VZCn6B3OyEv/Z75uLi&#10;ggcffBDdunWDjY0NkpKSsHHjxhKNgLYev98mgRK3v8oN//p08oA7ZXT782pX5Nt5AEknIF+iUTkX&#10;oycQtiUB5xOy0LCBLZ55mFTdZlDkglzIB38AvmwD/EAD2mjSZtk6Az0nAW9HQ3r6N0i+pALnUvcE&#10;Lv2XYgyEkUU/PY/gtaSddK/7NhjIHc1W+Gv5+/v7Y/DgwYraXywJhIeHY9OmTbh69aq2Cr/fDgHP&#10;MTS0JKOu69vJf7ZigyZrKwsM6+1NVgJWOGAzRL3bIfrx5GLUBGKTshC2hdZWqbwxujlsKaiPKRdh&#10;qyL/PQP4rCnweyjFh48ktXJjYNAXwLuXID3yNcWv9zNlBIbdN2GEfHEatZG8TIKWk09/a8Nuby23&#10;zrT/GqsIz87ODj169EDfvn3h7OysGARu3boVhw4dQl5e8fpcFa/F1YoJWFHc/gaj6QPpe6sQ739w&#10;T0/YWEtYnEQqUlHCf+VkPyoJo3wtIj2/UPeL9M1D6NmGBNL3wUSLiFMvrxpPRnzkJvYXebpkJgON&#10;OgJPkIB554ISvlayN93+G8VjzYqi0L3i96gI8PsU8ChOKmYUja+dRrLwL8XV29tbsQVo3bo1+SBb&#10;4Ny5c1i/fj3i4uJK1eLNKhPwoR9EUZKX0N8cGdlUUFydrNG/WwPEys2R5NCekv1QuM2Tqys4gw8Z&#10;MoHV/yYh8kIm6rtaI3QYCUUTLHIMhaReTEJkdivgwP+AAvqOtxoMvPQPpElHIHV8ihLWVWzsaoJY&#10;DK9L+WkUVZCeU2EGeSKNotC9Uw2vjXehRSz8y0EXBoHt27fHwIED0aBBA+Tk5GD37t34999/kZmZ&#10;Wa42f6yQgHMnwKkL/Sheo3W23yqsKg4Ov99HqbMyQ2v4x6r/SqEZYIWk1BwsXkcxHqhMerI5pew1&#10;HQEoFxZAPhYGeS59t//XR81Fb2UHdCN/8TejID23DpI/7ediGARE6N7TJPBzoknNT9qYQIqtwEUh&#10;oFv458bihymhGD16NEKn/IDYXFE3HetnqftGhy5AjLJPQ/umIDQ0FHO3xCgXTN45F7PWxyrbxvzi&#10;6uqqGAR27dpVMQhMSEjAhg0bEBUVpbgIGnPf6rTt2tl/FSL++Xrbo2vretia+yAKLOgHNeZfyNcu&#10;1Glz+WZ3TuCrsAvIoaA+fTt7oEdbiuFuAkXOToe8Yzbw32ZqpLr4oyRMKEhYv4+AaXGQHvsfJM8g&#10;E+ipiXXh/Otkd7SVDPu8yKWScgpY2ptYB2+/OzqFf+zWRdjXfDzCwsLwWvN9mL0hBqn7liAsbhgW&#10;074P+kVi5vJwFMTvxg6MwqJF05Gyci80iMeyhTcwfAAZvJhAkSQJAQEBikFg06ZNIQwCjx07hs2b&#10;NyMlJcUEelgHXWhACTMs6wE39tNa6PFKbyjc/rLgiD3yA1SX7AXY7a9SZoZUYdPeKzhyOh0ujlZ4&#10;eYSfITXtttoiX7sIee1rZMTXBNgwRQ1B7UlurI99rwr9fu9Dcqx/W9fmk2qZQNKPQMI3ZN9nQ5b9&#10;qyuMNlrLLTHIy+sU/k0Hz8CiCZ2Rmx6LUwnEzbceLkVGo8PILrClbviFdEXWtpPQOLkg50oMkpNj&#10;keNmg6j1pFIZPwH+pqPlUx6aMAi899570adPHzg5OeH69esQYYIPHz6shAo2yCdrKI0SSTK8nlFb&#10;U4XZv8jvLqLArckapJ5zeAkn+zGUZ1lJO66l52HhalXr98pIP9Rztq7kDMM9LMcdgLyc1MWfBwC7&#10;v6ZQ1TeAABqQjttIrgunIHULpdhV4teQi0ESyNhLLpYT1KYFLABcKKASlzIEdAp/tYYGe5bMxpqY&#10;LHg5W8EaduSLTapYKrbeAfCg33S4dsfkgXmYNy8Cw5/1weYdPujncRwLZi3AvliNUteUXho2bKgY&#10;BAYHB0NoBc6ePasYBF66pK5vmlJfa7Qv2mQ/V36m9X/6Ea2kiNn/iaIOuGpBblLpxPYcqe24GDyB&#10;b367iMzsQmXp5oEuxjcbFhkl5VN/QJ7fE5h3D0Wp/I1mjfQT2XEsMDkc0ot/Q6K8E+Jvn4sBExA5&#10;RZTQveSp1XAy4D3OgBt795pWgfB3RN9J32LxBwPx+0drcQM59IddoLQ0NykaqVkElop/3zGYMWMC&#10;XPZvhc+QFlg/5wj6ju2OjTOWIVmpYVovVlZWCAkJUQwC69evj+zsbOzatQs7duyARmN6A54aeXoO&#10;rWig2Ics/slg8srySi/Zt3N91CPr/7XaVL+HSH3HxaAJ7DyWil3h12Bva4HXnqR1cSMqIsmOvGce&#10;8EUgsGw4Jabao+ab7/MOMPUipCeWQmpIHihcDJ9AYTZZ9g+j6KIkfer1A5qTnQYXnQR0Cv+IHyZi&#10;ymrVgC/zGllqO9igUQtfHNh4WLlI0rmzZN3aHiWeq6k7MSe8A57u4UEC3xtBXm0QaJ+AFMUoUOd9&#10;jX5nvXr10K9fP3Tu3BnW1taIj49XDAJPnz7NBoG6nq7W8C9poa6jZfbZWFtgKAX9+atgEHnl0iwr&#10;Yg3kLPoecjFIAjeyCiBm/aK8+GhTeLoZhzr8liQ71+g3z90fGPotredTUJ5BMyG5NlT6xS9GQuDs&#10;c4CGjDHtaLmm5QrS3FgaScPrvpk6V+dbjxgPzzemY/RG0u1nuWH8rPFo0igTQ9dNJA+ApdTKYEz7&#10;vnNxawuw/cd1GDR5JmytctE/aCFCJ+6AT9fxGGMcvwG3TV2o/wIDA9GkSRNl/V+o/48ePYoLFy4o&#10;YYPd3d1v+9omd6IHzaiExa3mBCDW4ypZg3vkPi+KDueFw4Xd0BVkLHiUNAY9XzU5LKbQoQWrYpGW&#10;kY+2/s5KQB9D75OcQIanIsnO8V85yY6hP6zqtC/uU8qSSALf0oUs+9fS741peJpUB0F16laY1S9X&#10;kwtLR1sKunqzCNW2raNjmX0FtBpA2vCSIs6zpfPMrYjZv4gKmJWVpawLioGBSCIkNANciMCFd4HL&#10;MwER+jdoWaVIZi+PQebBFfjAbhql3GwP6bXwSs/hCnVLQFj2v/VtFKytJHz/bjs08bKv2wZU8W4i&#10;yQ7ObgF2fKnG2hfniVkhJdYRmfU41n4VQRpqtVQS9pGk7heaQiH43R821JYaTLsqFP4G00ojakgB&#10;jYROnDiBM2co5Cf94Dg4OChLA40bk/GauZeci+S6R2pViQZD3eJpZO5RIZELlBBm/KdHsMJhCFyl&#10;dOBViprWuGOF55jiQTmBBj0U7hjHyQAthzh4tqTQyUFl/3v4k/W5TZ12Pzu3EKGfnkBSai5eoCh+&#10;T/QzPBW5SLKjaI3ETF/E2hdFJNnpQkZgPSdzrH2ViHG/aiLob6M7aXHImNjvc4rg95Zx96eOWs/C&#10;v5ZAp6Wl4cCBA7gmbCaoiKWBTp06KYOBWrqlcVz21GAgbQPQbBbQ+M1K2yxmlV3Pf4THrEmd1/0/&#10;kB6dX+k5plBBvnJaFfgi/3sK2dhUVsQs1r1Z2QGBMkAIhOTiU9nZt3V83sqL+IPC+LZo4oD5U9rC&#10;0pJmXQZSRJId7CMXL2HIp7mitkok2bn3VSUaH8faN5AHdafNyKff1/AuNCg+r+YSafnznV7RbM5n&#10;4V+Lj1rM/IU74PHjxyE0AlpPgRYtWpivu1DqelLPDVENcjqTUKvEbepgxHV8t2A9vncYA9m+HqT3&#10;EklxYFeLT+3uXVoElMFxGuQIgZ9I69La4kS2Em1HACFPUGzyAJrB0sDg6pmb/ymxDNLoXBHKVFcR&#10;M90GpbQFIhKdGBh4BFD8E7LruY0SeeEGXv0yQnl8C95qi4AmjrdxlZo/RSTZwa45wBFaViogy29R&#10;RJKd+14H2o/iWPsqEdN4lWm9+WR/cgferoYRb7+TMoma5m9DbTwwFv61QbXcNYUNgAgIdPnyZeWI&#10;h4cHRNhgNzczNEiRi0j1TzPU3DigzV+AW79ytMp+FAOocTNO4K30J9HSMgp4MgxShyfLVjLiT3JG&#10;IvmTr1Rn+XH7bvbEnr4bbR4lgUUCP6AvuZtXbLUsF+aThuBc2QGBdoCQrWqfbl5cu0Uz9Xq+N7UF&#10;2kGBGBjQLFmfP3t+QRFemnkSsUnZeKp/I4x7pIn2gnftXY75VzXii6LBpYgMKdZ+W9G6r1jP9+9D&#10;n7mYHIHoV2iQTJpAax+gwyFazmlkcl2szQ6x8K9NuuWuLYS/GARoDQJbtmyJtm3bKhqBclVN+6Ow&#10;yo19j2aew8lxZFWlfd2wOxlnV36JybazlChrItiKMRdZkwqcWq3O8M/vIFlFAyJRbJyIB2lFQmhw&#10;E9i/xtbwlftdJW2BmBVrBwTi/dr5m9buagtuvlqTRqA++b2XHhCIQQHtW7z1On7eHI/GnnaKkZ9w&#10;zbwbRSTZUQLx7PwSELH2RbGyBzqNpZn+axxrXyVimq+J35Ph5os0xrMF2tHfkEs30+xnLfaKhX8t&#10;wtV16fz8fMUgUCwHiFmtI3lOiFgBjRqZ0ag1Lwk4SDNO6j+6xtKIvWJDsVxKEjPuvZ34QR4AGykX&#10;ksiR7u6nC6/B7pNzyBgp4k/VvezsVgp4lK+2VWSECxqoqvRJ8EvWJLzqqMhFtEyQSgOA0gMC7bbI&#10;Sa+npMr1canIF75tQuAe0Pam5sCtaaUaCj2XrNZukWQHB76j9fxv1Fj74myRZKfHy/Sf7EI41n61&#10;eBpd5fRdpO5/gH4/6G8ocCmFD6fBHpdqE2DhX21kNXOCMAQUBoHCMFAUX19fxSDQ3r7ufvxrpie3&#10;eZWox0lNvZI6/hHQ9P1KL7J4/SU03v4CHrTaAjz4AaSHPqz0nLtdQc6nNecoMm4Ulvqn6V3kexfF&#10;gvxiAx5UBT6p9iU7F3W/Ab3KORm32BbIpD3ITzoHG+TqbqklzcKETYJiaEhaglLvksOdL3EpNhG7&#10;59Ky0Q9qrH3RCpFkpxet53d8mjQldH8upk0ghyYLwsAv/yrZcrzBEfzu4Gmz8L8DeHd6ahHFEhcu&#10;gcI1UGQMFPEAROhgkUlQ33rrnd7TYM6//g+N3vuSqrsxzf4vkvqu4jVtkTRm5geL8IXNyyh08YXl&#10;uzT7t7g76uaKGCpr72fJlkEIfDHTz8tUq4sY8c3uU9fw242k2alHRZcxyGMrtibguz9jEVwvFbOf&#10;sIBNenRZrUE6uW8q6+06mu/YoMxgoGRg4NGcHr21jhNu7hJJdiBU+ydpqURr1CiS7NB6PoIGmP7f&#10;yk0U5r1VmEWasx7kvXGcbIUGkD8/2XdU8rth3sAq7j0L/4r51MlREThJ2AKIIEGiiJwBwiBQhBA2&#10;6XK4JZBNa8+t/qBOD6u0q58vPYcxJ3vDxyIRCP0LUmC/Ss+piwqK+lys3Qsr/ZOrqE+qNke5d5Ou&#10;6hp+u8eNOlRswtUcPP/pceTly5j5n5ZK8p7ybEWMfFw9W3ZAoCwj0D7tIKj8SUIL4t5cx8CA7A1i&#10;96pBeUSsfVEsbdTBE830Oda+isRsXsUS4WmhLfyd8i7QdyOEBoRWJv77WMsPl4V/LQOuzuXj4uJw&#10;5MgRJVmQmPm3atUKbdq0MV2DwPivgfOvkcV5f3Jl21wpqpjLGuyY/Tqes/kOBW0eh/XYFZWeU1sV&#10;hL0GYvepM3yR/a30Grl3O1WlT655kvC9N/Ii+vrm3CiEn8tAv6718c4zpNqvZpGFVkBrTyDetcaH&#10;10mNqzV41HdN4fnQ7SXy0Z9o1AMofd3j/VUgEPsREPchDQBdVcHvEFSFk7hKRQRY+FdE5y4cEwaB&#10;4eHhOHfunHJ3JycndOnSBT4+PnehNbV8y3yaIR9sRMZvtBbemVTI9jQDrKR8/OU2TEvqB9nCGpYf&#10;JKEm1pIruWWZw3L8MVXgi7jw1+NuHhOW8eRHLiz1Ja9WN/ebwNa6Xcn4+tcLlGnRCovfD4GLI83W&#10;a6goEfi0LoraAYEYHIjARk6eZMBH7lxdnqN4BI41dEe+jNERSPmDbGceo2ZLpOon2xl3UvlzuWMC&#10;LPzvGGHtXCAlJQUHDx7E9evXlRv4+fmhY8eOsLOzq50b3q2rnnmOZoFLKNrfW7Qm/nmlrdh3Mg2W&#10;iweii9UBFD3yDSx7Tqz0nDutICdTfAFt8J3S0faEjzyp8xWBb6Jhh69ez8PzM45Dk1OI959vgd4d&#10;jc9W4U6fP59/FwlknlDX+YtoSanZbPqdIDsPLjVCgIV/jWCsnYsIg0CRIvjkyZOKQaCNjQ06dOiA&#10;5s3JSKqSyHi106JauOqNgzSTJh9dq/qk2r1MlvC2Fd5EqKDnvz8bL+e+hcx6beH8Lv041EJRo+3R&#10;7F4Y7pWPtkcGe0q0vaY9TOc56GH43sIzEAOuHu3cMOMlVrXqwcS7a4NAfgpwrAt5dlwkrw5y5wta&#10;Wht3MdtrsvA3gkefmZmpZAtMTExUWtugQQPFINDV1dUIWl+FJh7tSBa8pE4P+pn+yEdXesK6f+Nw&#10;34a2lOwnA5h8jIy/Qio9pyoVlGh7InmOUOnH7b95ihJtb7gq8P3vrxNf9ps3v3tb2w+n4NPF0XC0&#10;s8SP09ujfj0yuOPCBOqCgIiDcYoMetN3AM40ORCBfCqZGNRFs0zpHiz8jehpxsbGKgaBOTk5sCA3&#10;t+DgYLRu3ZoSqlTsJmfwXdRG63LpSevmuyptbk5eIbZOewqDpRVIa/Mi3Mf+r9Jz9FVQot8JC30h&#10;8G+JtveIKvBrMNqevnYY2v70zHw8R+r+9MwCvPFUcwzqQevvXJhAXRE4NwFIWkiuwGQTJEL32pig&#10;zVNdsdRzHxb+esAY6u68vDzFIDA6mgzkqDg7OysGgd7e3oba5MrbVUjreQcaUqhZmsl3PEnR2tpU&#10;es6qsM0YHj4Q2RausP8kuVoBXpQANhFrSKX/C3BuKxkcFqj300bbE7kDWg2u02h7lXa4jit8tuQc&#10;th1KRUigC76cRIF0uDCBuiKQsACI+Q/Z99nRZGAn/ciR6p9LjRNg4V/jSOvmglevXlUMAtPT05Ub&#10;NmvWTLEHMFqDQG2SDp+XKfrdvEohCkO0tE/ao4XFaaQP/Qn17n26wnPUaHsUFESJtrexbLS9FqRe&#10;FBnzWg8zyGh7FXasFg4eiEjDu/93BrYUs3/Re+3QsD79CHNhAnVB4Dqp94W6X4TuDVpOy4BP1cVd&#10;zfIeLPyN+LELg8DIyEicOnUKYlsYBAqPAGEQaHRFcwo42pb8eCnUbbcEeq/ctWvzVx+if9JHuOza&#10;8//Z+xa4qqq07796uBOKqKBoqGiYWJKaSqWWZmbDlDk1zTBjVuLvxSnfxpmY4lOn/NLPJszL6Iy+&#10;b5qTU06O5VTDWN4IycQLKGpgqEdEREA9IsrtwDG/59n7bNjnBudwzoGDrFW499l7XZ71X2uvZ12e&#10;9V/oN99yuUBi28vfIU/p80hfIZqR2PbGywqfjsptj2x77irfarLqf4mm+7lzNWd6BJ6ZJKZb3YW1&#10;iNcMgdpzsoGfgQz9+r5O1v3vmHkQP12JgFD+rkSzjeK6ceOGZBBYWloqSdCrVy/JIDAoiBRpe3LH&#10;iP72+j4a+f8v0Ht2s5KfOX0B/f43EhrUo+73WviFDSC+GDqsRpsuK3wLtj0yHOIRfjtn22sWGCc8&#10;8H5+3tc/JCIAf35tGLp07uREbCKoQMBOBG5W0qzcA0A1LfsF/4Rm4b6kaf/OdgYW3lqCgFD+LUHN&#10;Q8MUFBTgyJEj0Ov1kkEgGwOyUWC7MQi8tBnIp2m+gPto7f+IXShn/fEnGFm7HYV9n0PEnT3piNet&#10;lmx7vIZPBDy3A9ueXaC00NPxM9cxb0WepPD/J/keDOjj38KYRDCBgAMIMFsmk/joiMzHjwiyYg7Q&#10;1t92NnBxILue4lUof08pCRfJwYr/6NGjOHv2rBQjnw/wyCOPoF2cFvijngz/+tJ6PE37MXf3HaOb&#10;ReXEjn9h2B7ahqd2zLbHI/zhRK97m7HtqbPpyvu6+h8x+/8dx4VLtXj+ib6Y+RMqB+EEAq2BwLk/&#10;AkVvk8IPlr97v8GtkWqHT8P6vIqhGH9fmID4+HjEJyxGZhk1yqhAaorybC20/AhV9CwJCQkJWLVD&#10;K4FZlrEKKamF0r34p/UR8PHxwdixY/Hoo49KOwGYIXDnzp3gpQGPd7yPN+wlWUy2+LXDRT/6FAo0&#10;w1H6Yxi21P0Km4d8ieq5uXTk7yKh+O3AT/Hy4X8uSIq/f28/xE+hnRfCCQRaA4HLn5LiX0wp0Xbl&#10;IVto5C8Uf2vAzmlYVf75/3gTXwU9j82bN2P1rDuwes13uJT5N2w+Pw0b6dmbk/Ow9KMcGIr3YS+e&#10;w/r1C+lo9v3UFSjGpnU3MP3xiNaSX6RjAwFe93/ssccQEhICPjVw165dDVTBNoJ4xuOw/yI5aJ35&#10;CjUEzP3fjOvcpTP6LjqCr8Yfwgc35+KD7J6Swdp+YqUTzj4EThdV4Z97LhJbIfAa7en30lhtFuyL&#10;TPgSCNiLQGUOcGom+aZp/4HLaK2frPyFazUErH7lkT9fhY3zyBqanMZLlqUo7wzue/Z+0NgM/WNG&#10;o3rPCVQFBqH2khZlZYWoDfbGydSNQOIcRGrkMOLftkWAZwEmTpyI0NBQMDHQ7t27wWcGeLTjw326&#10;PUZ772uI8/9Du0T1pi1pLz3ZD/9L69RDBwTiSkU9FhIt7Vvvn4Kuos6uODzdE3fgvvrqK2zfvt2l&#10;szg3b97Cso+0tFsE+NkjvXH3gDs8HQoh3+2AQN0lIO8p+s6rgdAXgfDf3g65ald5sKr8NT4B8CEF&#10;ri9Mw5zlBxH/whj40n/dg+T9vj5hgxDCtkBdY/HbqXVYsyYX01/oja/39sbkkGNYm7IWmYVE3CJc&#10;myPg5eWFhx9+GH379gUTBO3ZswcKTXCbC2dLgN6J8puSdbZ8WH3enwzUVv0uGi8/EwE/n874Nueq&#10;xFK3ff8lSEfwWg3l+Q/Ly8ulpRu+8jLOjh07XFaGn+y6iDMXqhEW4oMXfyrW+T2/NtwGEjJ1Lxv4&#10;6c+TXQ9Z+A9y7Du/DRDwiCxYVf4sWVnW3/Fi8nrEv7kWcZEBtJmqFpU1BklofekZ6KrlEVXkxBl4&#10;++05CDqwC71/OhipK7Ix8flYbH97E8o8IotCCLb2f+ihh6T9/zdv3sTevXtx/jx9eJ7qQn5KdJ6k&#10;iGry6djcbxySsjNtTZtOI9iNxEUfO6wbqmpu4r2Pz2LeyjwUldFsQjtz3FHjJZuamhrwUo7SiUtP&#10;T5cOfXImO4zH37+6IEXx+/iB8PWmdVfhBALuRkBLRF68pZe/8aHbaPHZ290pivitIGBV+VfkbsG8&#10;5V8hMWUj4qK6wkA6v/fgO3Fwe5YURenpU0TEMhxdlQh1GViRcx9+/UAIKfwwRIUOw11+F3FFMgpU&#10;PIlrWyLAZwGMGTMGUVFREiHQd999B61WNtJsS7mspt2JlFDYbPlViX2Gf+bx9Az2weI5QzD/xUEI&#10;vsMLJ87ckKzZN+8ohuEmzXG3A8c7NljJG+gDjIiIkHZtjBs3TjrPgWcyeFtnZmamdOKjo9nh8Muo&#10;U1RvuIWpsT0xYkjD1+xoVMK/QMB+BC4Se2fp+6Tw/WgvPxFveYfaH1b4dCkCVrb66bFj8Yv4ME+V&#10;TvgzeD9lAlKT5uKLYn4+FPPfX4BoiYTNgLSUZFybvhTTI/Vk/f8GPj9fg96jE/H2jFGqSMStpyDA&#10;RwTzHzs+Ivjuu+/2FNEa5dBfBA5FkO0fWaGNplkK77DGdw7e3ag2YO1nhdhx4LIUki3a2bDNk9e3&#10;mbXx+PHjkrxcPjExMSbHB/PMjaL42aiTOwX+/vbvy/9XeinWbD1HS3le0ixJoL8w1HGwWgnvjiJw&#10;LQ04MYVC0Wgy6h9E3UvbcYVrMwSsKP+mZWHDI5+AAGJVa3Q8M6BRPdBX6ckPmwYK56kInDp1CllZ&#10;8kwOkwENHz7c80TNY+IPmhaMWAzcOd9p+Y6eqsCKzQUovlwr9SmenhCGl37aD350ZK2nOKZpPnTo&#10;kMTT0Ik6PiNHjsRdd91lVTy2AcjIyJB2c/CZDuPHj0ePHj2s+lU/LLuqx6zFx1Cj/xFvzb4L42K6&#10;q1+Le4GA6xGoOUsMfnRAj+Eq0O//kNX4EtenIWJ0CAGHlb9DsQvPHo0AMwIeOHBAMoYbPHgwRo0a&#10;ZTK6bHPhy3fRIR+PAT53AvcXuITuk8lseE87b21jC/eedEb9b385AGOHEcFIG7v6+nrs27dPMuZj&#10;O40HH3xQWuNvSiwmdfr2229x6dIlidVx9OjRzZ7tkPyXH3Ao7xom3Ncdf0yw3rFoKk3x7jZA4BaN&#10;2H6spZM0yQ6Gd9Y0/NGzhnt63vDe7Lnkh5+Rtb5JPNb8cTzkD0S93f1Jmjj+XJ7Ruw1gbM9ZEMq/&#10;PZeeC2QvLi6WlAePOHldOTY2VlIiLoja+SiY9jOLlFPtGWow/g2ExDkfpzEGbXEV3vvoLPLPy7tS&#10;HhkVQrsE+kv2AS5LxIGI2KCP1/d5NM9bNCdMmGDXKJ6T4LLLzs7G6dOnpRTZroOXc9jOw9ztOngZ&#10;72zS4g7/LviAjCK7B3mbexG/WxsBVsRNKllWzqRUG/woytqaorXmzxheUeocD0+9t7YLHA3cs5um&#10;icV20taG3lp6QvlbQ6WDPSsrK5N2ALBhWZ8+faSdARr1Ok5b4nFhGVCQJB/2MSzVpZL8+OMtfPZN&#10;Cf6WegG1dT9KCnHOz/pjytieLk2nucj4WOZvvvkG1dXVEisj0zEHBgY2F8ziPRtwHj58WOoMhIWF&#10;STMH3JFQXPmNeokA6XqVAa8/H4nHxrRuPhU5xJUQYIKby5/If/rCNoCE1mk709btLmR4x8Z30h/9&#10;brg3e9acP37fyTw+joPjJFsU6WokjWmD3IokLREQyt8Skw755OrVq5IC4mnknj17SiNPPiK4zV29&#10;jvj+w+Xzve+n3Qm+/V0uUplODz7NjqfC2cXcFYTf/XIgwntRw+Vmx9P1vG7PHAy8Xs8jfrXCdjT5&#10;y5cvSzM5TOrEHQi2A+DzHdj93w2nsPfIVYy6uyv+9MrdjkYt/DuLQPUPRoVPxm41tGOqwZEilpRr&#10;E8qXlXKDArbmT1G0an+qZyZKncMLRdwAfwe9Ecq/gxa8tWyrR6DBwcHS1jI2JGtzl/88sf39nc74&#10;TgYG/D+3ibPr0GVpV0BFpQHeXp3ocJt+eHZibzoVkXYcuMEVFhZKFvs8bc/793mN3xUnMPIMAnco&#10;uEPHMzi8lFNUHoCF/3MKvkR+9MH84QglUh/hWgGB2nOk8LfISr+KRvuK8woFejxDRie/AIIeFGvg&#10;Ci7i2moICOXfalC3j4R4N0daWppEIXvHHXdI9MABtLujTd31/cAxaiC5wRxd5NZRS0VlPf5K2wJ3&#10;H7oiZTmyrz+YACcqwvFp+KYwO3nypHT6Ivtha3626mfrflc5JnM6ePAgzp07J0V5siwE+88E4ZVn&#10;B+Dph8NclYyIxxoCdSWk7LfKCv9GZqMPPrUu5GlZ4XebSArfc3aZNAop7joKAkL5d5SSdiCfPGXM&#10;a9BsfMZ7xyfS+QBBQUEOxOAGr0doK2IV7Xsf8gk1ns+5IQHTKLN/4G2BZ1FCSwJEGoif0QwAH3Pr&#10;5+Ncg83kOrzFUjHOczfPQl5eHnUycqStjbqaIPzXjCnw9hZTvqal7YJfvDx1hbalXv4HHYC6lyKk&#10;rSTsOlOnkRkre/6S7Fam0G8PWEqTJRP/dnAEhPLv4BXAVvZ5DZppgHkNmdeg2Qite/c23A/OR/xq&#10;f0PnSTwM3PuNLbFd+ry27qZkDPhZWgnINhCh3X0wj7YF3j9UXkN3NDE2qGRmRd5hwZb4DzzwAO68&#10;k7YxutFJ3AYfEuV21CV4a36U1v/ZDqAlBoVuFLN9Rm24QTwUn8sj/Gu7ZLsUzgkbvnWfKo/wu5Pi&#10;57V64QQCHoaAUP4eViCeJA4rK953fvHiRWntmA8IYn75NnHc0B7sQwOqSmBkHuB/d6uJwUfevvex&#10;FqeLeK8y8OjoHvjNzyLQNdD+ETTPpnBnSqfT0cjbWzLEczeW3HlJWHIcJcSz/dITIeh6Kx/Xr1+X&#10;0mdGQD7tUTgHEeBtclf/Iyt8vt6irXWSI6O94Edlhc9T+5o2nilzMFvCe8dDQCj/jlfmDuWYjdGY&#10;RpaN03i0ykojPJys79vCnU4kXvD/Afq8CkSubFUJbtLQf+ueEmwigiA9EQUFBWjwGzo9cPLo5rfL&#10;3bhxQ1pGqaysBNtP8CxKayyjMKXxpzRrMTDcH+tev4e2AMozD9yZa449sFXB9fTE+BS6aztlhX+F&#10;RvrcAZUc8Sh0HScr/B7Pkk1KiKfnRMgnEGhAQCj/BijEjS0E1OvUrDTGjh2LAQMG2PLuvueVx4Cj&#10;MTSN2o0Oliqmq/1c9q4S6uKVWqz8RwHYJoDdSDoQh5cCevewviviypUr0oift1Dysglv5fPzc/80&#10;8A+FlZib8r0k41/+QAdt3SkbLHJZHjt2DGwLwG7gwIG4//77XbLLQIrwdvnnFrHR8dr9JVrD131G&#10;nDjljTljsppetIbf4+fEPkmzUcIJBNohAkL5t8NCayuRWWnk5uZKyTMVsC3OebfKlxML3DgADN5A&#10;J/+95NakmoqcDwlat60QTJjj49UZL/60r3SUcBe2DjS6oqIi7N+/Xzp1rzXJk/jUwsR3TqDgYg1+&#10;MbkPZk+ztCvgmRymduZdAcwvwDM6rdEpUbDxyCszSrJ1vkS+80+gvqxRzIB75RE+b83zbYOOb6Mk&#10;4s5DEeBZUt5dw20kb5GePHmyh0oqiyWUv0cXj+cJp96ids8994D/WtWVbQJOzQQC76cjCQ+1atLm&#10;iV0jxrw1n57DN1k66dXgfgH4PZ0WyNf8/HyJcpdfDBo0SDo3wRrdrnmcrvjNZxds2n4B4T19sX7+&#10;vcRZQNPTVhzv5mA7BOYFYMXPhoB8QmCHc5VHjQr/E0B/vjH7fnfR6J52lvAovxVtTBoFEHftAQFW&#10;+nz8Nit93irNjjvUjz32mEeLL5S/RxePZwrHNLJ88hxPITOP/IgRI1y6R73JXDPHOTP+8elgMVnA&#10;HSOb9N4aLw/lXsOKT87i0tU6sou4hV+Nq4O3gZYlyN17770YNmxYa4ghpXHuYjX+i0b9hpu3sOK3&#10;Q3Hv4KYNz9gQkQ8G4l0d3DkZM2ZM2yzptBpCxoSqT5LC30J/NK2vZtvjQ6R4Op8VfuCI1pZKpNeO&#10;EOBZM0XpcweaHdvy8CmpfE5Ka3X2WwqZUP4tRa6Dh+Pz5HlKm3u9vG7Mp8m1WmU/+3ugeDntvUsg&#10;hpz3PaIkavQ38cEXhSgvPYGBPaqkrYHh/YfjkQejW00+Pqvgv9/LxclzlfjpQ73otMKBdqXNZcjc&#10;A2fO0AFK5O6++27ExMS0XofOLild4Kn2XOMIv4rsRxQnse2RwZ7EtveAYNtTcBFXqwiw0udvhe1m&#10;+EAudl27dm1Q+q4k67IqgIseCuXvIiA7YjQlJSUSjSx/DK6kp20Wy5rTdNpfFBGmkMEfG/5pujYb&#10;xN0e1LwIhh87Y1deKC5W+EmHBCVOj5B2B7hbBrbsZwv/HnRM8QcL7kWAH20/c8Ax8RB3AnhGp3fv&#10;3hLdsEec7+BAHiy8Smx7tH7P6/hsK6I4iW1vuqzwuz0i2PYUXMTVJgK89VlR+jxjxo7PzeCZvX79&#10;+rW7zrJQ/jaLWrywBwG2ZuejaFn58UlybDjm5eVlT1Dn/JygPdXX9tCWv9W09e8V5+JyMjSv8zEj&#10;Iu+hl9fOH8aOrGpp3b3ecAvdAjV4+dn+mDiqh5Mp2Q5eQrsQeE8/n064ZE4Uxg4Ltu25iTd80BAv&#10;A/DuBKZ3ZjsAHtW0Kyex7ZGFPit8C7a9J2WFL9j22lWRtqWw9fX1EiMn2zvxd8GOd+7w9D4PetrL&#10;SN8cQ6H8zRERvx1G4Nq1a9J5ANwbZoMxJgNy5mQ6uwS4Qo37yWfIEIum1UfKW9rsCudiT3x4Dnd+&#10;OO88CuC8MyUyu+JLtVhOFME5p69Lv0dHd8NvfzFAYgqUHrjwn6Q/5+FI/nXqYIRg/ouDnYqZOzN8&#10;MBAbBPLBQHzgUJtxO9ibEwNhrPtCXsMv30WhjOfVN7Dt0Rp+9zjBtmcvnsIfWOmfOnUKrPR5cMOO&#10;2zce6Xv892BH+QnlbwdIwkvzCDCRDR8IxIqDR4p8HoBbt47dosb9IBln1ZeQVV2GTLbSvJgu9cFk&#10;OcyAyNOBzJbHo2Rrsx7b91/C/9C2wMqam9KperN+2g/TJoSRjUTjtkBnBPuK4l/28VlpaeFvfxzu&#10;EPOgrXQ5T7wVkG072A0fPlwa6djy3ybPJba9VHmEf3W7GdveZHmEHzJNsO21SeG030RZ0fNuHf5T&#10;lD5b77PS5y27t4sTyv92KUkPyAdbvPL0Nx8NzEx2kyZNci+H/Lk/AkVvUyNPo7ohm1sVAV77O3z4&#10;sLQ+zoRHbCXflMHj1et1WPPPc9h7lHYpkBsSwdsCIyX2PWcE11XU4cW3j6GKOhbzXxiEife7dmnh&#10;+++/x/HjxyUR+RwCJnji2YA2c8y2V75DVvg80jdh2xsvK3w+Klew7bVZEbXXhHlKX1H6POpnxxTc&#10;rPR5SfN2c00q/8Idi7HswtNYPYstliuQmvJ7bD5KWxr8x+Htv8xBpE8VPXsLn+eX455nk/HqlEiU&#10;ZazCpuvTkBQXcbthJfJjBwL8AfE0OHPYM9EFzwDwdLhbnJ6O9z1EhCt8NOroC4B3T7ckYx4pK0NW&#10;iux43Y9Hxfa6zBPlWPVJAS5fqwMTAjEJz6+nhtvci99cvG/+bz72HSunNf5utNY/pDnvLXrPBxHx&#10;gUQ8GxAcHCzNcLTqMc/Mtnct3ajwablHzbZ3xxijwv+5YNtrUemKQLxk98MPP0hT/FzH2fFMHnOY&#10;uPv8jbZE37ry12uR8vJCsJ4PnzofKTOioctchbmbI7FxdRzObZmLlMpZWPd4GZI3hyAlqScWJmTg&#10;jfUT8df4jZi+aQEi23Bw0JaAirRpJp56zbxmXFZWJh0iw+vgPG3mFpf7FB208iXQ/x2g3+tuSUKJ&#10;lLfEHTx4EAUFBZKRD9PiMoGPo6669iY2fHkeX2SU0cwB0LeXL34XPxDDm9mTb57O3iM6/N8Np+Hv&#10;20Wy7u8Z7GPuxWW/eTaHy5SXd9iegw073dowMjDMtsf0ule2WmHbo9kePtpZsO25rIw7WkS8TY/X&#10;83mXC+9YYse7XHik37Nn6wwk2hJz68qfJOIOUFX+BizIGInVc2KQs2Eudg1egKTxodDn/x0vLgLW&#10;rh2EBYvPY8FrvbFsWQmem3Aa3wTNIT8dkCWsLUvRA9Pmj4lHixcuXJB443k9nD8sl7urXwG5T9Do&#10;35sUwUAa/YXTDACty3krV0rTp6/8nPdzt/A8de7QsBV8aWmpNO390EMPOb3+l1dwQ1qrLyypkWB5&#10;4oGe+K+nIxDo33zPmWmFX6Lp/nJiGWQjwp+Oo7y52fH6J5dpCW3xZAtnpngePLgFxoW8Vs9b8Oou&#10;0l+xfK/ne9WfnmZyfpTZ0qRsMdse78PnP8G25+aSvr2j5+VJVvq8dKcofV7L55F+R2K4tNnK8LKe&#10;+qUXfNE9yFeqFT5hgxDif4aMrGLx26lnsGZNLqa/EI2v/1aJuBeOYW1KPmJ+/jxiaV1TuI6JQJcu&#10;XcAKUhkpM42sW86v5y1bQQ8B1/cRU9sP8p9NyMnAzot69ErHgA9l4fuGDgP/pj/2Q8pNcdxY8FIG&#10;72rgpQyeyeCtPs66oQPuwP8m34N/7LiIj3cUY/v+y8j8/hrmPtsfE0Y03YFe+9k5SfHfO+gOxBGh&#10;T2s43vPPeT969Kg0Tco2D7wjgDsBkr3Dj3WkwEsbFTorc0mpGxW8otzV0/ZNCe5DS4cS2x4pfMG2&#10;1xRS4p0dCLAxsqL0eRaPHW/V45G+K75nO0TwKC9q/d6kYPWoJWtlmg4gpy89A101fejkIifOwNsT&#10;afC1YSF6/3QyUlccxLNLJuOj+ZswcP0cuH88Iokh/vFABFghsIEYKw02pOFRI4+gIyMjXSdtp85k&#10;iv4tTQuXG0eOrGjUSofvjc/q6KCW+kvyX9VR2zJ08pI7AdQRqOvUEyVlN9H75h3oHdIHQ+6lXQy+&#10;l2lqjPxo7rAdh51vNF06Y8YTffHwyBC8Rxb7J7Q3pKn82ENX8Opz/WFtKj/r5DXsPHiF7AQ6SWcJ&#10;uH2fMa+5M3aEayf6G9H7IgZ0zsXV0u/hd60cVd/eQKD3dXQy6CjXNF3fnOvkQ/iGNWAMqRNm7HhJ&#10;szZ0z880brIVaU4+8f62QoCP0mY2PqbiVZQ+G6+yvQ7bsHRUZ7fy7z34ThzcTlzqsVNQevoUMas9&#10;ha4KaroMrMi5D3+ZGYLXNoUhKpSOEPX7DFf0ZDhB37lwHRcBVkwjR46U1onZUI5nAnj6mClkXeq8&#10;6CPmvwA2TrXhblFvn09qa+gMqDoGDc+oo8DnBugLpT9viirSj/7hP3ZniFZYcZ0DjbMGPHugKC/j&#10;ckPDbAItO9ix1NAv1A8r5g1F6r5LeP/z82DDwJxTFdKJfE/SlL6i4GvIXuA94g5g98JP+pG9gCKY&#10;IpQDV15Xr6eOjDIib+g0ES7KMx65S6fbySMlJXZuMoPVE3s0LriFLrT6YodS93KT/YcinIdf2aiM&#10;l494qyj/MaMiG5gpf4GBVK+EcxoBtk/hw3bYRocxZsec+zzSb3fEVU6jYRmBzTV/9lqVuwFvHRiJ&#10;lFkx9EuHLUlz8QW1jcBQzH9/AaKlj9+AtJRkXJu+FNMj9WT9/wY+P1+D3qMT8faMUexZOIGAhAAT&#10;ZjB9LDtHreSlQK31z496FGkPIv9EGnw7XUWfHrfQv483OjOngKQg6SPgNWv1mrRN2XipgZSdstTA&#10;I1ulY6Bc+Z1qqYG37/15yzmy4pe3BQ4dECiN8Pv39sfqfxbg871l0smBf/nDMGnHgNWk6ymsosBt&#10;KnWaor9VbzW46UOaXZGWS4wdnIaOTh/oEYIj35eiRNcJ9Z2CaabnAamBNQ0vfvHok3dNsLJnQ1hl&#10;BGoNGVb+SkeAr27ly7AmQDt/xkybrPT5eF1W+txxVpQ+H7wjnIxAk8rfGki8buJDe7jVUwZsHKje&#10;+quv0pMfMeS3hl9Hf8a9cCaP4Y+SjcV4vVgZ1XoKNtxwHDt2TBJnyJAhuO+++6zLaKhQzSJwh0A1&#10;k9BwTwpWYZtrKoO81OBFo2alQ0DXc7puSD2kwbmrwbim74Xhw4ZgF0339/S/grdfDESfIGWpw2yk&#10;zh2TW7VNpdb4TkO2BeqpduVe6qQosxkkVyf1F98YnO/YaIrX/3lald3QoUOl7Y+eVq6ScK30Dyt3&#10;PilRUfiskNSODcvYyIyZ4tg+hmcCuFPA9MoKsYzinxUW7zNXOgTt/rwFJWMuvvKOFN6CW1hIs3bk&#10;uP4NIA4OHmgwVbVwpgg4rPxNg4tfAgHHEeAGkS3nuYHkHnlsbGyTBDmOp9CyECyP+nQ7Xq7gI4ud&#10;ctJSA9kZNHQGzDoIbO3OU+uGK04lYxG4Cy3KmShwRZHzzIPq3o4lCYu4bTxgu44jR45IHTtWbEwL&#10;bI3x0Ebwdv+Y94srU/l8VfaMc8YYB97twrjwHxuOWnPcKWYjSnVnQLFIV/yzcZrSEeDtlm1KuqQI&#10;1YZXNsRlpa+wUbKtEZ80yp1QsYRiu2CE8reNjXjjRgR4lMM7ALiB5MaQdwa0ZSPGcjBVLzfaPBLj&#10;nQl8UlerOVpqkJYSGmwP1J2EYugridCIOwroBO+AcHRSZgisjtRJuXfxbzXR1QlxuXLHjkevPGLl&#10;LZ6361SroqiV0T0TW6kd55tH9ly/ed94UwyQ6nDqe+6Q8uFZjCv/8T0/UxyPbplDgzsDPDvAMwpc&#10;fzuC43M1WOnzdmJ2jC8bE7PSb1USqnYKtlD+7bTgbgex+eNlOmBmBeTGccKECdLOgNbOG5N9cEeE&#10;5WECG1ZYHYHkw1048/o2EwLxiIxHvDwDwArwdnC8W4VH5YrC59G+4ljp8kicFT7/uUMBcSeVOwDK&#10;zADXWe6EKI5l4LqrzAzwLEFLOh1KfJ545U4WK30uA3acZybbYiNi5VAtT5Tb02QSyt/TSqSDycNr&#10;oXwgEO+l5203jzzyiM0pUXdAw+lzB4RtWXiK8GHax367jlTdgZ+tOFlJZWZmoqiIZizIxcTESCMy&#10;W/49+TnXEZ4RYmXDa/JqZcvKhjs2rOxZ4bb27BV3RpRZAe4Q8Lq32nHnizskyswAW7m3V1sMtqFg&#10;pV9CJFPsWOmz3RArfWEUqS51++6F8rcPJ+HLjQiw4uUOAG/NYcMcPg/AHaMm8yxwY8Ijfp6i5ulS&#10;nnmwtRZrHlb8bh4BVpLcWJ84cULy3L9/f+kAJG60PdnxGjsreUXh80yG4pRpdkXhu+3cCiVBB688&#10;E6F0BvjK35Ta8cyW0hHga3swhOOy4HrEnRt23MG66667wMa44ntVl65j90L5O4aX8O0mBLjR4hE4&#10;GzvxaIo7AO4cgbNx0P79+6X1Ux618dR0a4/a3ASlx0XLa7KMNc8G8DQ0L6t42vQszzyxsuc/VjIs&#10;q+JYYaqN9dqTtT3nS1ki4CsvcakdlwN3ApQOgSeVC3deuOPIyp8dz2IoSp/LRDjnEBDK3zn8RGgX&#10;IsAjcB6J84icP25eAnAH7Saf4MVW6ew8dbuhC2H1iKh4/Z/tAHgUzaM1PhioLe0qeFaC146VtXvu&#10;dKodj+i5U8gjfDaoa69T5eo88T0vYahnBtjeRu14JkDpCPByQVuMrHlan5U+2zaw484W77rhv/bU&#10;8VLj6on3Qvl7Yql0YJl4xKVY3fNInNfguRFyheMGn5U+b0lj157XoV2BR2vHwYqGKZ55BMpGaMzx&#10;0JJTEVsqN3cuWbGwwuerWvHxUgRbyysK35NGwC3Nb3Ph+HvgTpm6M6Ce8eDw3AlSdwZ49O0ux+XC&#10;0/vKrglW9Dy1z0rfnem6Kz+eHq9Q/p5eQh1QPt7KxMZiTNbBSoJHidwoO+N4HVc5ZZDj5DMHeA1a&#10;uNZFgMuWDwZSOmA8jTtixAi3WaSzclPW7nkkyQpPcWzgySN7/mMF5+m2CIrc7rpy2fDuAaUzwDNw&#10;ao4Bnv3gmTiFcIhnRJxdKuPyUJQ+p82OZ/3YiI9n5YTSd1dp06ZhAr/xa3BfOiJmgYBDCHC1ZMId&#10;PmubGx1W1szW1RLHIzxeTuDGnxsTXnPmxl64tkOA2QAPHTok2VzwzA7zPLhiiplHrqy8FIXPa96K&#10;43rESw3K6F7wuyvIWL+y4udvhvHk2RoekavVBXeizTkG+Jk9juPhnSA80ucOGjsuf0XpO9upsEeG&#10;ju5HKP+OXgM8PP9Ms8t0u+x4mphHio44XmNmQ0K2euapXLYjEI2+Iwi6zy8rFrYDYGNP3t3BnbKW&#10;nLLGu0WUtXtWVOrRKisUNtZjhc9XMZJseXlyx4qN75TOgLmdBCts7lwpMwNclua2Eqz02diWlb6y&#10;LZG36TExDy8BdfTZl5aXjuMhhfJ3HDMRopUR4DO4eaqY3b333iudymWPCDxSSU9Pl9Z2uSF6mOwH&#10;xH5ge5BrPT88MmdGQC4rbviZ6pmPW23K8fQ0dxyU0b2iRJQwPDWtbMXje3MFpPgTV+cQYBsK7ggo&#10;nQE2JlQ7XrPnWR2lM8DT+tyRV/xxZ5yVPrPyCaWvRq517oXybx2cRSpOIqDVaqVpYh45sAEQrxM3&#10;1ajz9jJe4+dRII/4eFpZjPqcLAQ3Becy4iUAPvSJHR+5es8995iUL88OsJEeK3y+suJRHI841Vvx&#10;RAdPQaZ1r7yNUOkI8JVnZKw5nuXhw3aYf9/eZQJr8YhnziEglL9z+InQrYiAem8+NxyjR4+22njw&#10;0cHZ2dnS+mRT/lpRdJGUHQjwFkye4eEOHk/Ts4LgtWZW+DzSVzvekqas3fPoUigRNTqecc9LburO&#10;AHe+uUz7k6GtKK+2LyOh/Nu+DIQEDiDAoz5eJ+bRYt++fSVyHmXKkJUG2wjk5eVJMfLokf+Eaz8I&#10;cPnyjI16ZM/Ss7JgJa8o/PbATNd+UBeSdkQEhPLviKXezvPMo0Bey2cFwVb7bCjGyuHAgQPS9kBe&#10;DhgzZow0rdjOs9ohxWfjTOZ64F0airEerxsLC/AOWR1Ept2EgFD+bgJWROteBHh7EJ8HwGvByjGm&#10;bInMCoJ5AVhpCCcQEAgIBAQC1hEQyt86LuJpO0CAR4jcAVAMi9jQiy36W7JdrB1kV4goEBAICARc&#10;hoBQ/i6DUkTUFgjwVjEm8GHH0/+tcRpgW+RTpCkQEAgIBFyJgFD+rkRTxCUQEAgIBAQCAoF2gIB9&#10;XIztICNCRIGAQEAgIBAQCAgE7EPAAeVfgdSUBMTHxyM+YS200kmQVfQsCQkJCVi1QyulWJaxCimp&#10;hfalLnwJBAQCAgGBgEBAINDqCNit/HWZf8Pm89OwcfNmvDk5D0s/yoGheB/24jmsX78QV7buBzFs&#10;Y9O6G5j+eESrZ0QkKBAQCAgEBAICAYGAfQho7PMGFOWdwX3P/gI+FKB/zGhULzqBqmcGofaSllic&#10;qlEb7I2TqRuBxDmItDNW5vPmP+EEAgIBgYBAQCAgEGg5Arzlmf/sdXaqacALvuge5CvF6xM2CCH+&#10;Z4Cusfjt1DNYsyYX01+Ixtd/q0TcC8ewNiUfMT9/HrERAU3K4aiwTUYmXgoEBAICAYGAQEAgYBcC&#10;dk/716MWlTUGKVJ96RnoquWDNSInzsDbb89B0IE2j42vAAA8UElEQVRd6P3TwUhdkY2Jz8di+9ub&#10;UGaXCMKTQEAgIBAQCAgEBAKtiYDdyr/34DtxcHuWJFvp6VPAmOHoqkiqy8CKnPvw6wdCSOGHISp0&#10;GO7yo8M4JKNAxZO4CgQEAgIBgYBAQCDgCQjYrfxDx7+Ep2o/lKz9kzf7YH7CKKP8BqR98G888dsn&#10;4aPpjylRh5AwNxGnRj+FaDYQEE4gIBAQCAgEBAICAY9CwGGSH6ZS9aHzmNXGAgZaDSBK9Qanr9KT&#10;H6H5GwARNwIBgYBAQCAgEPAgBBxW/h4kuxBFICAQEAgIBAQCAoEWIGD3tH8L4hZBBAICAYGAQEAg&#10;IBDwQASE8vfAQhEiCQQEAgIBgYBAwJ0I3DbK31BRDG1xlTux8qC4DSjO1xKjoptdVRlhWuHmRByJ&#10;3oAyrRYV8o5TRwLa5beqTItid0VulwTCk4xA0+VcUUzlVOWmStAGRdBUvfOEdq118K6CVlsMV5Vq&#10;U5g6V8SOyNl0PbZfDve09x6n/PXabbSjIAFz5yYgaRWd1W4nQvqCL7Hw05PWfetzkURnEmyTDySw&#10;7scVTyvykZnrDGMhnZWwkM5PmDsXcxPmImVLFqzvlqzCl4uW4qTqpaF4B+YmbSO8dMjMyHdFbqA/&#10;t40wPe2SuEwiMRRjC+eTz4mIT0JasSojJh7Nf+gJn6XIo0qRtngutuTTjdOYN6ZxbttSfHra3hrX&#10;GM7mnT4fCymPf8+RO1C5f1+IDcZ7m2Fa64ULcbMQuSoHC5P+DqXb6Hi+G8tZibsiPxPKp1XwKZeT&#10;vXVGicFd1ypsSVqIHGO1qcr9O5I25DiUmEW9U5WN3K654RskCbXbFtM5LdTWcFubsg22PkMLvA2F&#10;SElYiFy9AfmZma7hc9GfxtKFX9rd3jcHsAWmZgG02xZS27MKxQ29DQMyVlGbtDC1aRkckrOxHje0&#10;V2ZyFO9IQdIWbq+barfl9v64C5smFsPjlL+hthwhk5KwevUq9D24HvvKqHT0ZchKS8W2HVTR+Js3&#10;6JBPI9/czB1IyyqUe4te3ggJ9KOXZcjMzDdRmmUHM+jUAeCbnUfoX9lVFecidVsqcgrlJqo4JwPb&#10;UtNQaBz5lVFjk7ptB3KNswk6bX5D2jlZWuityJD79XqsXvdPZND7hjqlJGjX1YDya8H43TurKZ4F&#10;CNu3HClpLDnlKjcDqSSfVpJPg8AQP2i/S6NnmdBRYprQUZj53HDU5u6msOuRmpElPVeSNc2vHtqs&#10;NGyj/OVLgOpRmJsv40ktrKGiEGk70vBdvo4wVW3jUCJz8prz/pvY1ScRm+iciI2rExGhMU2fyzsj&#10;NZXKVsHRgEKSNy3jIK76B8OPRBr+7CyMCvOBLczV5anXaZGWug07jPXCoCtEbn4OdqRmSBhVFNJ9&#10;WgbydX5wbXYNuEZYffXuZvq0qYzqaiFTY3GVzqf0U5GRK5dvA6TmdZ1emJYdoM4bxUQN8A6k7qA6&#10;LjUOVLa5VD8pnKFCixwqQ2vfiy3cGuRw8qa2XMkpRaTk21AhfcepGblyA2tHOcti6PD1+tVY989t&#10;yNHq4NU9GDfOHkQG5Vn5Xi3rjJMZsDu4gbJXq/re61ArZV2us9uojslKVY/cDCqntMbv0la9Mykb&#10;r0D43zhLHfodyDK2VVzm5nHZLa7KY215Bca9spja2nV4Luwb6gCkSfnQl+ViB7WNWYQ1O8b7Sv5B&#10;+oaovZAam3A8mfgzhFV+j/WrV1M7Qu0SP1dcVbH8/eZw29x0W0O9d+SkpSHjICnAkEAlBrpaqccU&#10;G7cDLcFUFbF0a6ivpetBfJljHKzpDmPrwWrgWpWEgU6bRe3/NmTmK1R1VuS0qL9KKrbbK6me7qC2&#10;LSMTmTlahI56Er8aFYYKk3bbHDNQex9MLLuudR6n/AFv6HLSqGHcREUTiSGhGhQf+Q7nNQMwsH4P&#10;Fn9AREP6IqQsWojdVG4n1iXjMx4BUjjfynxsSJqHQ/W+0hkEMlRVSP/3Rfxh9VLc+e125HMdJVKi&#10;N5I+gf+d/sj8/FucyVyLpM8K0TvoMrbv0UKXtQHzUg4hpHc91iW9ijTqgBSkf4mzXF/0BVizfCdq&#10;rcngRfTHvt6m+x5lIRz/VxOK6bPG4dyJyyTPWsz/5AoGDwbWzVmBQsoDoYR9+dXwKtuGuSsyYCC5&#10;1pFc9ITSYhpmldI2y++l4iPYf16D6IFVSJn/EX1+1Otdsggr9l2iUKV4f04y8uvrkf9NHiXk6ipX&#10;gexsPyQ+P0qS0CckEpGhXUzS3/DaYpSEUWYPr8Q7Owqhy3wfyR/mo/76CRyt5kKgsybS1iCVR+lW&#10;MC8zKc+TOLJ7PzQDolG/JwUfZOmgL92NJYvW4BLFY7icid8nf4x6XME3eTrXZtdQj26RkxA/Lg9r&#10;uRMXKNNjU4bw2rw1qCce7tx1SUjJoHdGZ1HXzcrOvK5mrX0NKYfqQTEhaTaNZFCJ/Z+k079cVXfi&#10;3a8LrH8vVnBTZHDXNffDBdhyOQR9qYN+hRpOe8pZkcXL1x/dvOnbolqj8a5F3qcnUFN/EMkLeLRo&#10;GZcSrq2uVbkfInnLZUT1BUpKq8Dl9K8rIRiAw3j9HVKyVAds1jt12Wi8UZ33DUpqruHD5MU02oZl&#10;XE5nUoNRP58J/7wCVEl1818IGU6SrnwLO2horCF2V+2uE/StncWiuX+hOlaFfcvX4FS1FxG9+cPb&#10;m9qahuamDGtffROFQSG4vHc7Tpxpqq0xIHPV77GB2rErR3ehukYVjZV67BSmZhgZ6rpizDOTkLdl&#10;N3UzgNzPt2PozHgM9aWeG81M7k0/jwHRd2LfosXIovGhpZy265zt9uoqti2Yj9NBfXF562psOFFL&#10;qiwN76byzA63s3K7rb9ojpmZ8C762VBkLorPRdEEInTAIIwL/xafU8P46pgH0ePzncgs1UN35iQp&#10;q3sQHDIVL8dNgbZ8N9KIdlhzB42IDn6K8qfexPrxqlMFddn4orgWiVcq0T2ERoDU0+uryQUm/QIT&#10;R0XTH5Czdi79XIbYaB/EUg5y1q7BpHny76Ccz7G7qAoTpIaHXhKhQbA/N0KwkGFQ1F0IKR+B8TGq&#10;9CWfTvxDSZUey0Z1SX/sS6M8UkNXTtNtdQhH4uw4RFNTmvp8Nn2OI0muQAQNGojwkCo8Mj4GyskK&#10;VUWm+SVtgNHd/oN92UXwq76AAl4/DQnHK/89AzGGLGz1n4plhG2XwZcwL63eCeFtBTUqwYbXqvSR&#10;g0102FP/w2k4T8r4nHc5iuryMClxGaZEd8G1HclSz9zPOxjc5ljDvCSH/KvKU1/WGf9J3YciSu/M&#10;Mfp3LGV30jzMiItGVc5a+E16AXETozG4OBOuzm7ttUA8siARe19ch3331cI7ikbyRTQtPCkRcbHR&#10;0Pvl4OW9JcD4cAmN8BGmdb2kiNS4zbpagQ0JvnjlL3GI8alC3odvoKRKA++gQKkt1vBsGINEzvx7&#10;sYab5NFV//h5N+oD+XNB2PAYFC/fjLO/ewPTUYJMO8pZFicEUf2DUT72EcREBiA33ReT5r9M9SEf&#10;uz8/QB1fy7gAF36DzWDCA/3GhlTOrE/YUIQXr8b2s7/Db6YD27KpLvf/Dhl3XEB1WSAuU7naqnfq&#10;sqmiEWEI1ZXpU6JQn5qFGkMVTprFxUOfBrbVZmS1/VoDnjetLs2jYcU5HE7PQB6Vj/flKvStI7zn&#10;JYI+ERRvfY3qGI0JeCTavT8i6HrP5PGIVGhdqoqQhwlYNj4WPvTHbY3/eRttjQ/V3xXBmLWO6i91&#10;izITqSwbBLSsx85g2hCtclNXge4jZuCRzGX4rjAG2ZlB+Pl7A7A+tZwKMxwPju2B1H3HoPfX4VgB&#10;tRknzORsos4Vcftjtb26San7Ibg7KStyE0YPoo7GAekb7WrSblP7fEaNmeTd5f943si/ntQanRoY&#10;Ex2L6VOH4mDuZeR8MB+7uk3ES794BP7UO5RcTZ3UYzMYZxcNNCAMGToGvb9YI43UFaS0e3chZEws&#10;as5dQOjoSHz7RRZVMBo3X5Wne6qognei7/WqjsdKBjplsArUZtJvnrClSQJdtaRkUHkGxy5QH7Hy&#10;KsopvOTMZeCHdc4rS5kwqQI7Pv4W/Qf2pEj9EDltBmbNWYBNG5chJoCamppylPGKRcVV6KgzIjc+&#10;RjBIrsaPiIUyzW9FzgdY9E03/HrmNFD1a3BM1iQ1Y9VXpZFjRVkpB3WxC8CA/rTmn0odEnZkVFis&#10;k+WW0+fcDsWMl+YgacUm/GVmjFwe17l8dCilYpPzKoWW82mGuVx+SnmW4KN5SxDw+K/xzAOkeRWn&#10;hCHPNVevS0/LShtKVvHl/LWG5PCJxivxwJ6jxTSzQNJTmroSuf5d43poVNCcmGVdNy0707paR8VT&#10;jqucVSqxq/QvY1OZn4UCKstKHT1Rys9NdZVTtnA+d8BXdxznWCvRV1pwvBiBtFYTMmoWNm96A2XL&#10;30QGZduRcuZ81NU31uq6evoWaWZFyaB5XBYyue2BL0J9i3HinLx8WJp/imZ4/KAJiUXK5o14qGgd&#10;/prBc0zAtBmJmPPqUmxc9ksENVHvpFwq9ZMDSvf6hiUj87icU/zy15T7n8+gGzqAxvHkIp/FS7Pm&#10;YMWmjZgZI8d+tYzbw2sopZlx9ffH1Uv5bjmo0n6wb0OFDpezm2pruPTKcZ3rCfk1//rM67EzmLJk&#10;5q6OqOgnPTcU65MX4dLk6eBz6GrpO0FVFuYvycCjM3+N8VHyKXnW5LRV56T2x0Z7xYP7o1+mov7p&#10;NzEjSukxGSUztttVNtpnc/md/a0uR2fjck14v0AU0/Rs0g/Uy6yNwvzFMehxbCRKNq3Egq3FNK39&#10;lFz5aGTBjmbFjK4OvhFxWDDjGF6c9yGGb55FU6FV2P/NNcQvno5YqQ7H4GT8MhQM/C0mXUoiY5d1&#10;8O8fj1Wz40lBzAX9RP/4t/HGtJn4ZO48JGylTyE0Hu9JH8BDeHfJi8gJD4df71FymmYyBEQ9gDuX&#10;LESCjuJcENcw8lYkbP6qQQA1JO++Npc6OTT6nTAX86aEI0A3Cz6vJyNpbwhqu07BOwsegXdwNda/&#10;noD11dWY+ofVlBb1Tlken7vxaP81mBN/FW9uTALXr4Bhj2PSx+r8RiNcuxWLk2ugpSb4UakW+Mq4&#10;BgyjaeqPMZeMLsPD/dDtXp6OcqXTYOLc+cj+/RLEf8FNjR9mLv0jXY3p+wzDrKdSkfxyEs1t1CI2&#10;6R08GRePdVw+2wh7/640rpAdF701zKPI/98ayvMtTBoXjg0rF2MrWYn7TX1CCsyrM+wCoh5HLE29&#10;xydsRrifH1yeXSoTbswj4hIxZnMS3RkQEB2HqZ/MJ8POTdSJozr+XgyLIrne0aZ1PWjYRLOyM62r&#10;sxMnYB4ZbP3Lvxqhz8ynjmFXeE32xZLn5fILHcXlR0rS5XXVKLC1iyYSiYkDaRkiHv5UxMEjE7E4&#10;KgBZGxZi3Q+18AuPxRO97C9nTmLQ+EexJHkOKun75BKUOlE8VcrDVSt1Zjql1zrOB5N/m4gFSXOQ&#10;QJmt9huJpcuipKXD19f9QOIF49ln+iD6lafwevLL2EsTPF1jk7DgSdv1Tl2nlz7NK4lchkpTHYAn&#10;zOOarurUOpBpDS1DffvuG8jjEVXvCVi6YCK6+uiohX0dLyfthl95LySuojpL/o5upvq6vhqRU/9A&#10;dYwGwtL3GoCxcb2QPJsM5d5ehTialaHGBvGTPsY8aj+AKCz40xjbbQ3NVzw2Kxbz5sRjq7pdlfLQ&#10;FWPN6jEvx7YUU2uwcGey66jHaHE5G088GgnczDG2ob0RG3IOaxYtQDHZPUx9srulnE3UOW5/rLdX&#10;BlTVEtY9vHH+mzVYfC0R86jopLZI1W43jZm1nLTsWfth+NNTT9/HrKfUsjw3hNLT9LmPj/JRkWmK&#10;QUPnEzS8hun7xudtdacnDHxMMLCUWZFNT91xHzXnMr1wJD8GwkajBkOJ2IVXA+VHY5IfVeQGPY0Z&#10;fUzKQ/XWjltTbJrLD2XXibTsEMeKF5v5t1LXTcvONG/coTCvu83l14o4bnhkKZdFHXa6nFViuzIu&#10;VbT23pqWEZWKsRwbmxTCQ2rGGp+0vN5ZxmWvnPb4s5Tddvthra7ZrNvWEqdyo4bA2hvC0LQdspTL&#10;EoeWY6oWwbLukjCWcjpS52gXTMLszzBv9RsIzF2P5F1DsPntKepE6Tu2bLdNPLjwR/tR/i7MtIhK&#10;ICAQEAgIBAQCrY0A79ramXGaZpQH47GfjEeo9T5Pq4gllH+rwCwSEQgIBAQCAgGBgOcg4HkGf56D&#10;jZBEICAQEAgIBAQCtyUCQvnflsUqMtVqCBBxjVZbJu86aLVEm0+oojCXSESMBFjk3V6KVk+gk20+&#10;d8IHI9C+y8o9lLWiZtiPgFD+9mMlfAoELBGQ6D63SdtOLV+20RNDPu3k+BtKaLsR7yxmV/AlUeKe&#10;lPbeyQ9s/GuLJruRPtpKQBUdrZW3jj+yFp+1Z47HbF+IBvpaa96bomG15r+ZZ9byZe2ZlWjcSf1r&#10;mpyL8yxFbqSslXdImiZ3G/9S01Rby2aT35m1AE486/IWOSfCi6ACgY6NQP0lfLuHtnR1q8Spwpvo&#10;H9FD4sxmw570Q1p0Ce2H7r7Ux2bK050Z0Fb7oF+YHwqy6P2BU+jcvR96BN4kSt5CBPTqTkN0LY4X&#10;3kIYbQcqzEpH2pEiBEVEIIgokHMz9uCQ9hpC+vWBv6rbzlTBe9IP4GJ9ACJ6BUGb/gWxkvXAhMce&#10;Qt8geU+j7vi3uNB3PO4PJordjHQcOKVD9379JDpjpg/eufsQqv1DEXIzH/svDcATI24RTXYxevXr&#10;IW0y60y0yr16dEPfXrdw+nQJyk4fxvdlXujXpxtOfvEnLNt2ET1J/vA+3XHZJO/1RB1NB/Fos/H9&#10;9WAE3ShCyY0yHN73PbwIm26MDdOkfp0O7fUuFF93i/g4q7nmaRD9dnpGHuqDeqOXMY9cEZmGu6Sc&#10;4k8/ipu9+qMHAcVUrWmEj65zd/TrVoWc4zqEhXWjoTPRhh8pQx9K08R1DkSPPj3Qq08wLp8kxs/L&#10;p7H/ex0Rj4VBn/tv/HFFKnx6diderD7ocjkXe3YewjXvEPTp7i+lX1ByGoe+r0a3H4mXwgV5rTcr&#10;X0XWet0P2HPsGrrVnMPFmyHo10NO/0ZADwQSJ0bOkRLcunEel7x6SHVQR/wPRZ16SZgocdhzrbDI&#10;s2l9U+Jg2uzTxF9x+vBh6Px6olPJIaQfL5dw86XusdakzhvwQ/ph9H/iMdz6PhOFJFcvL51JPWio&#10;4lQ/zOuskmaLr0zPbqzHhwpuYiB/t2bp6LU5KFFj96MGugulKMujul/uh16dSrAz/Th8wqkee1vW&#10;4x+JVvx0SbmER5lXT/ShuvfFn97CtoudqK5QOXQpQfr2dBT9GCR9t5yXhu+sD23epu9GXffMqdFa&#10;nHdjwAZ8nY1IhBcIdEgENF6orT6K/OteuLCVKJIzyqzQMTdHeWpJydsslakCtkTHakYVTDvJ+BQB&#10;gyn7ihSiOfrg60S7YpUm20gfXdUMrfVVCypqNXW0AaXpKVi4LIOIa7JtU/Oq6W2VfKqeXbVCv614&#10;k+JfmQGvACMVrTlVK82GfPzuMuRTgIr9m7D8O2J0s3BG+lpivsxYsQgrM0pQd4L2ZW/hULznnpth&#10;Avkq0zSbUuFy+ktW7KPXNK3tgrw2RQXNIlTn7cN14jrYtuh1qzTkV3M/xtIvtSSvDh8sWocbZtt/&#10;6YUdzjzPZvXNGAPTZi9auA4l1CFeQ7wHi78m3LJl3PQWlOIUyNcX+bvWYt67OQjsds2C7lkRzKLO&#10;Ki+cuRrrcYbOC2X/5u+22IJGvtIcu5sXJVr5jOv1yF6ThNmLv5br8VtfUtfGku5XX5pOeKxECZEj&#10;rTNSMzfSVNfhH79fiOI7B9LBLSXESGN0yndGC4mWdU/x5JqrUP6uwVHE0lERIJY5X6KafiluImYm&#10;TkL+0SIjHXMe0THvJzrm8ygvlylPf050p8+9Ogf3DRpB9MpXjPTKPxC9si0q0y+IHtYfdxNTrUTp&#10;mkf0sCfOEj0ss6vLrpEqOJZY2cZR+iWIHDMSg+6KxagIS+43iT645Agy6YRLXd5JlDRQP08k9rk4&#10;GiESuRbRZGeOehOvqmmySdMwfTQ7hSr48QnhuErU2hId7ZCxEq31ZYmKWpV33nRtpI4eHx3KoYn6&#10;dDamTH8C4cRSqVDzniY652ymc75QbhIf6TfJqdO4eDhHopuNjY1D4jginCH67UbH8b+EiVNewlT/&#10;MyjRy1StBxSq1vM98CsKwweCHcg4j5nPxDQGVd1J9LWkwImRCLNmT8f0xyeg9moNZBrWuyT6bN/L&#10;plS4F4gKV8rfvN8gbnw0daOcz6u+gQq6sXwbxCR60/BJRBM9Pg4vTPKTcNAQDTmraoWGvO+U5+C3&#10;dx8KCzORHxkPI2FfQxT23Jjk+WKOkZraijwUWcikFzA97peYQGU+6+XnMP1JGTefcPM67wtvIt36&#10;dHM23tw0h8iYZYpmdT1QZDOvs65aKeB6LH23L/B3WwLzdLqZYxck1/3ZcXF4Mjac6tnLiON6XF5O&#10;Z71Yl1+mZv4ZJhNRYI1BpqnuL9FU98TdFMdXH+6Ff9TdKkI45TuzrHsKHq66Kt+Wq+IT8QgEOhwC&#10;tUSje41yrSkjOl3pWEAjHXNcBGa+RERGhpM0RJP9hDCN6Zl/Er1yFDa+ORKVe9ZIeMlUps+hn5GS&#10;V6YyHUEHirxM9LDziYhUpoeNi+gCirLx4CprVMG11HDUWf+0JfrggYuw4OFwZM8vplhN6YMVmuxu&#10;XxBN9sMrMJEO1mp0Mg0zmqQKNsu7Ty2xwdEMO4mkCG2Lmjeiy2waQWlgyKcQanpbDs9CGJ9J9KkS&#10;/XZoI/02vzc6haqbqWjvqZapWhduSkLh1RzQDmsMezKORqbJ+Db8KawNV+dPicH0aiDDCb3CI86v&#10;jDSsUkiJCpfOwZj5ElUAH+Rns5iStFIkzua1KSpoTqCcptnZ6UpqEDiSbow05KPCjDTkATF4OooO&#10;GUomprr5a3myoGVOybO1+qaO0UhFzI/UuMmUteo6TxgRq9+YvkAKHUy27r+DiA1RpvVW6oESrWWd&#10;Vd44eTV+tzzyZvAs0rHArkAqe/r8pPrYfNlKlYF8q6iZaRVOrh8BGDUrBRvLMvDyvPVYsvlVcNdY&#10;dsbvjH6oMVTeuuoqRv6uQlLE00ER8EI3On9yfkI85q6/jsRpwxA9jeiYPyc65iSiZ07ZhSqJ8vSC&#10;RHn6/JwPcLkX0yv/i4zy3qaQtfDSyFSm7xIl7zv/Po/QQC+JHjYhYQE204EiYyL7SJSunxM9bFJS&#10;IlL+w9O4spOogvWbiCo4AfM2+1Aa1key7JtX/yX64K1ElT1/PVFleyOIqZ8vrSN643i8ujaTDASN&#10;NNlLH8F6osmWVYuclkIRrFwVam2Jjvbbd5GwOBX9zfMuBTVSNxujsaTmhUTnnJQ4D//RVsmUzcb4&#10;lDG9Oo1+RL99fR3Rb1OeKeeIVw1nNYG1OLqOqKDj5+H61FmICW6kal13lA6qoTMGNOEPYQLRDkc+&#10;OraJA3EUmZUrLYew/BINaybRZ6fgwqBpRIW7lahwkzAv8c+QDhclL0bmaCm3zuYVTAVts3wDadp/&#10;E+WV6GQrJmMa4TAg9iHsIRryue98RTTkLIkGY54YTdehGB9tORMkCdncPyZ5bkoehYpYjlDd0fDp&#10;bV7n+ShkXzye+BamUf17/0QfovU2rQeKWOZ1Vh2v4sfhKy3XldPXxzTE89brpe/WMh0r2Blpsk3S&#10;a6CYtpTflJpZpqn+9t05SEk9RCfQJmDBsq0IHncfUdGrXEMaZnVP5cUVt4LkxxUoijgEAkTzaaCR&#10;n7phMqeybY7ytCVUpgrwzcWt+JOuzdIHm/hu0Q/zvDcbCeHnKJ2zOZ0up8EndGbGvoU5Merm1Jyq&#10;tQyr4hdj9NrVxjM/mpXOwoOahtWSctbCu+mDFuS1qfI1rzemidGSckYK5h+lztyrxjNJzD3Y+ds8&#10;zzapue2Mz6o3W9hYqbNWw9v7kA7vmfvqMSxeP8u0A2iWjsPY2ZLfqlyW1MRWvbnpobD2dxOwItoO&#10;hkBnjWTlr861xsy4qrPZb7Vfvu+sMZ2IY/9mT2gp1/SJEkdzcSv+pKsVOWzFaxLOgR/meW82KOFn&#10;I2s2g1qT+WanLggKvwt9pOUXJWhn07j1OlQE3I2H7g0zw1fx3/xV07mxHCzLqZnwLchrU+VrXm/M&#10;U6+4WIkh48aYYWLuq/nf5nluPkQLfNjCxkqdbUHsjUFu1aNLQDAGDQoz6bCzrYTaOYydLfnVkTbc&#10;U710tNI3hHX+Roz8ncdQxCAQEAgIBAQCAoF2hUBj97VdiS2EFQgIBAQCAgGBgECgpQgI5d9S5EQ4&#10;gYALEDCn4XVBlG6JoikqWYU6WLm6RAAPpU12Sd6ajKQ90d62oawuqh8urbNNlqvnvRTK3/PKREjU&#10;URCwQsPbHP2nbWgsKVhdSRVqjUo2bfFcbCETd4U6WLlalbFJylwlhCoP7qZNtpNCV5HMvVcD8jMz&#10;iSaGnUx7e5L3kxmdK8tRidM1V0tZWxxvK9YP9TdW8CnRXp9Wgd3iDFgLqC5Xa+/b9pkw+Gtb/EXq&#10;HQiB5ml4dSb0n15EDqRQxd4ZVIHCGwHoTjw72pzjqO8RBt8b2gZ60G6X001oZ5n+t4Eq1Aolr6O9&#10;fmtUskGhfdA9rA9u5X8nUQcPvHRYphDuoUdW+m4cKapHeEQveetbE5S5Cm2pCY1sLw2yv/kBd/Qk&#10;WtiyzhKNMMtsQZss1R+9RCGsI9Kd9EMX0WtgP6I/NqeT1aCiMAu7044QJXA4LqctN6EkdhQPdVxM&#10;L1xmRjfcQDO8n6ifQ7uh5NBeHL/shQFEh8zOJB/67/GnP65AaadgdO/VB2WHvsX1roG4pC1Hd6IU&#10;9m+CWrkz7ZGQaZ8vQldaDv/e5N/OzBgU+tn9+3HhlnV64GCimS1W0TMPoLqUm/EN0UxXIrRfTxRk&#10;7DWR1ZLG1xR3CSsT+mejsG6tHxLkxn/MvrEr2ThWRXv1zhcBPcOt0k0rcFrDS08YZqSl45SO6ihT&#10;YdOMREPd71aK5Q3lSjTfVDAGXT6Ol3ghjNi0uD3IKSaq3x5dzKi7zevuTROK7AG9aJ+qC5ySLxdE&#10;JaIQCAgEbCJgJw1vI/2nRqLCVahibxSkY+fZSopej53vrsFZfZUJPWi1mnZWEUKhCrVGyav4sfdK&#10;RtDmVLJFaWuQelrZid8YUe6HC7Dlcgj60lj2SsOgqinKXCWsikaW9mGj+iiOltTjxLpkfEYzDDoL&#10;6mAlnEwhvDLjOgLKtmEukcZUmdPJ6nOwIPkLhESFEacLUTKp6IKVWOy+msWls0I3rNAM11dlIGnO&#10;HHx9Rc7HFuIxsMyHF20384e3N4FM/xPtEnYdvYJrCqVwE+Wo3bYY6077IaR4K1avPmFurN5klhT6&#10;WR0x19miB65lmtklRH+77xKJZiDSqTfwSaEX/C9nYo+WyaBNZbWg8bXAai3mf3IFgwcD6+asQGED&#10;H5I764cpDOpvTONdi7xPT6Cm/qBtumljcEu8qnBk935oBkSjfk8KPsjSwaTu15mWqxRNZS7eXfq1&#10;RBJ08P1F+O6GBllrX8O/roRgAA7j9XfSLOuuWRmY5qblv4Tybzl2IqRAwG4E7KPhVdN/MiEL0cMq&#10;VLHEqBPoJW9DCgwJJlXvY0IP2nvQQISHyLSzIbI3Cq9Qhcq0pC/HTYFCyWu34IpHK1SyXt7BYH1l&#10;7sKGx6D4i8046x+FCJ/Gt7YocxUfahrZENQTV+xUvDy9UeZSC+pgJSRpEKKTTZwdhykzf4WQo6dh&#10;MKeTNfTG6BAtNm8/j8i7w61SCCuxNXv1MY2ryCrdsEztG/fc0wj3n4rE6XEy9uV0voF5Pnz7I4LK&#10;dOTk8YikYifSXsx7uZFSuKlyJHZphIaGIMjbl+AabbpnvdmMMB1v0/TAEpddAz2zL/JO+OIXP5+I&#10;ic/NwfQofwtZLWh8zXC3yHtD55A6PVyvrVAqK9loef1QYuCr6TdmqPTFpPkvY0qcbbppk9AmeBkw&#10;4uERuHJgH5h2K+9YEUzqfk91ucofiiZiEiZhHw7TqP/gufvwzCiNBXW3Rd2lMyZMKbLVErX8Xij/&#10;lmMnQgoE7EfAGi2qRMNrFkUD/af8XKGK1aASh45doIeVKNXVklrXyPSgC+7DuqT18nqxkYLVNEbr&#10;lLymfuz7ZUIla0XpK7GEjJqFzZveQNnyN5FhQhGo+GiCtlSdB7pn3dDIrGukDp6zAJs2LkNMgBIf&#10;C1MLHZO+V1yFzt8bdTkfEIVyN/x65jQMkryFYsbqzXhjTBGS/5ohjbwUumAlFvuvpnE10g0Tza6O&#10;eBON2DTSv9IhSxS5lA/pnWU+mItPfQ5TjTmlMKlZyZlj4uWDsoPbkVE3FW/NiJL9OPBvzVW5gMqI&#10;JliiRjDSA6PSSA9sjKtRtnLoeALKQDMYrJTIqWWVaXxt406HJSBy2gzMsihDKaqGf2zS2raofjRE&#10;K99YfGNUy7gXJS9QNdAMJ63YhL/MNGXMNMXrOj6atwQBj/8azzwgY29e983LFdQ9e/zZO7F63iJc&#10;mkAdDqNo02Yk0tkaS7Fx2S+hsai7sqfGMjAGcvIilL+TAIrgAgF7ELCXhnfQ+Ech03/KFL7ceLAL&#10;GBCLbnuWEKXtMpwPYRZwOkVMTQ+qomDNV42mFCpe5apQ8kqROvSPJZUsB1fkU1+zNixEQvJK5IXH&#10;wvRsIYWuVLkaKXMVOczzYKQ5VWS2oE1WwrEcNTqsm0tUv3PXY+orTyDYnE72eiaSEuZi5dYzGDcm&#10;0iqFsCq6pm9pCUcdV5QNumGZ2peiaqBrlaO1zEcAxsb1wvLZCUjV0oEERCQs9x9U+ChxmGFSU1WB&#10;Gi6F0m/w1uJtcOTQGw0BW31UpnZeX/GUDXpgllmRpyviZsXKOD//KjJLuUOivJNltaDxNcPdMu8c&#10;v+KUuJSrKv/sxYn6oaTAV4tvTJpRo2WmJmh6OZwlXr0xdFw4tq5cjDfXH6VK6AXTuq8u18blsfCH&#10;npDofB+dyB2GAAvqbgsMpcqgYMKSuMYJkh/X4ChiEQjYhUBTNK12RWDiyZIeVE3BauLVRT+ao5JV&#10;knGY3lcJSNfm8mAZdwU2JCzA8PdWYFRX47BbFV/DrUPUqw2hrN9Yicsa3bD1wPJT83zYi21jnJTv&#10;+DkInL8Cjwfmkk1DNl6jA4wimoCgMSztK8hZizcyY7F6junoVu3H6j3l3ZzK2qo/5aFVrIjM2Ue1&#10;JqT4tePqeP2wI1JzL1ZktoWXebk1W666DOqk5mL15jkqTn/Lb9lcJFf/Fsrf1YiK+AQCAoFWRoB2&#10;F6R+h96PT4Qdh/S1smzuTU5flov/7DxAh9QEY+xjP0F0qP0KVV+chfSSfpgyqvE8OfdK275jdxVe&#10;ejpeOf3ywDbHXSj/9l0fhfQCAYGAQEAgIBBwGAGx5u8wZCKAQEAgIBAQCAgE2jcCQvm37/IT0rdL&#10;BAxE2pGFnEJHzLOcyWgb0rA6I3a7C9u6OHdkatp2VzU8UGCh/D2wUIRItzcC+vzPkLzuO1yv0CIl&#10;YSFy1db5TmTdNg2sTMN6vNHg2IlURFDbCBhxvl7YonJV6JJtx087GYlJMNe4fdK91LRNSWHnO4+i&#10;ULZT5g7kTdD7dqDCFln1BAQqkPHF56gIG4HHxt+PAf17oVefYFw+qYXu8mns/16HUKJ0taRJlSk+&#10;Tf2QxXZxLnbuPoRq/1D0IWrXXj26oS9RshZkZSD9wCl07t4PPQIN+CH9MEIffQx9lD15bQiFVYrT&#10;O24g4+t0aK93ISrf7uisL0NWRjoOnNKhe79+tAddpvAt1mbj++vBcBXFqSMwWKXwvVGGw/u+h1do&#10;P6KGrZdxfuxp3Nu/h41ypd0MZKS3Z+chXPMOQZ/ujVStCl1yUFUBTpeU4/Thwyjz6ok+3RQC5JZT&#10;0zqST+t+XUGhrEd+FmHVR67ffN+pVxi6XDbFw5wyF7pCnCw6h6NUn4MHRthNX2w9H+KpgoAY+StI&#10;iKtAoJUQkHZi1dWjlohS9i1fg1NElpKxYhFWZpSgzkjpakGTyhSfZn5AW4beSPoE/nf6I/Pzb1Fh&#10;pIG9ak5t20r5sjsZC4rTcmx4bTFKwojz9fBKvLOjEMVHvsN5zQAMrN+DxR9kUdSmNLN2p+UijzYp&#10;fJdlECVftpEaVknMdrlConn+F0KGE5nryrewo1gmyuGQCl2yQiNbgmtYl7zYZGaopdS0imQtv8r4&#10;O0uhfPrDd/FlPuW54iAWLc+GpiITr81T42FJmasv3Y0li9bgEgnP5D/CuQYBofxdg6OIRSBgJwJd&#10;MXLsMNwV+whRuWpsUppa0KQym5pfOGbNbqR9rSrKBSb9AhNHTSR2sDjiDpPpfC3D2ilaK3mzoDi9&#10;pxKZOh2NdNOQnafDuQvlCB/xIHqUHEGmVg9d3kkir6H8N9DMtv7WtKYofKdMN1LDqvCzRVVbVZpH&#10;bPjncDg9A3mU5wuXG9di1HTJTLs7fcrPMDmEGPQa+gfOUdOqxGvBrYy/cxTKPhg3axz2puVAeyAD&#10;Q2c+Do0FHpaUuSxsyKR5mBE3Hg7sZGxBHjtWEDvpIDoWKCK3AgF3ImCoJ2Y0Qy0lYfr5qSlNZZrU&#10;KGx8cyQq96xpEEfth/n1dEZ61ipSJD7S7HAdqiV6UMuwDZG0+Y1McZpEFKfhU+cTxWl9A6VqRJfZ&#10;ROmrQc77Cdg1cBEWPByO7PnFDRJLFKf2b2VvCOfsTSOFb6gNCl/b6ymmZUaSRD6Ll2ZNQZeZL1EV&#10;sJEZmhniQ5yMpL6N4lMyCuUzP2ykEJbT98NQzHhpDhQcGwM6e8d11UihDDWFsrqeybTHEzNWIYko&#10;lN9/QhLQJOGuMU8gak0yFn4biT+8T+S25+i1CR61+DB+CfqmbMQz+VfxToExuISHSVTih5MIiJG/&#10;kwCK4AIB5xBQaDuVqw2aVKmfYOonYNjjmHRJpmd9dW0mpBlRon9tLXpQZ/JtQnHqMwyzngKSX05C&#10;UuI8/IdOvusdPRIlW1diwfz1ILZ8YzdJyb8zKbcsbNMUvkZqWClqRUbzq1yuAdHT8BS24uWkJMxL&#10;/DPosEITp3QhfIkq1rxzyB5bSk1rkkgLf7iGQjkCT0wgO4fIhzCMzmawxCPAgjKXxfVVgGmh7CKY&#10;JQKC5McSE/FEINCuEHCUVtYjMmeN4tScUlVP2yBaSAHrrjy6Cmumeea8mc79uEhqcxxdEq3rKJQz&#10;UxJw6JE/4dVRtKZhdOZ4mFPmKv7E1XUIuKXuuU48EZNAQCDQHAI+Pu3vM9ZXemHm76aruM0plzQF&#10;bjIJ7mGKn8vBVVhr3Jk3cxybq0B2vffF8GlPo3dAM3Wt2bSp03P3s3gmplHxc/LmeGjaYZ22C0YP&#10;8iRG/h5UGEIUgYBAQCAgEBAItAYCYs2/NVAWaQgEBAICAYGAQMCDEBDK34MKQ4giEBAICAQEAgKB&#10;1kBAKP/WQFmk0TERMDhA86qiQi3ekYKkLfnM5YpMhcvVCoJqqld7qGGtRCEetQEC6nJrg+RFkgIB&#10;CQFB7ysqgkDAXQh0DkSPPkzzGoaagnyUmFDB/ojCrHSkHSlCUEQEilL/hGXbLqJnr+4YHD2YaF/D&#10;iMBvZcOzUJ9yFN4IQPdAQJtzHPU9vLA75S1su9iJ/PbCXXdHontYH3Qnitn8zD04kHcRAb0jEOSt&#10;0LKqqYPpYCFV2kHN2HC5C57bIl6DDvmnS1B2+jAOFdzEwIgeqNdpkZGWjlO6zujXrwdZ9KvxDkTa&#10;ssZyC2N6X0MZco7rEBbWTbrPOlKGPkTRnJuxB4e01xDSrw9R2uqhNaFslume25Lu+LYovw6cCTHy&#10;78CFL7LubgQUmlegND0FC1VUsJdzP0TylsuI6guUlNJmby9i6OHNzBoN9EVpeDf1tMmzqoJ07Dxb&#10;SQLrsfPdNThLRtNqqleFGjZr7WtIOVRPVvS5SJq9CsVMi2tGC1xlnra7Ybid49cXIWXRQmTovFD2&#10;70VYkVGAI7v3QzMgGvV7UvBBlg6meFeblJsMTSU+fncZaK4HFfs3Yfl35eBy/NeVEBAJMF5/J43O&#10;cDiC/ec1iB5YhZT5H0mMhxlLKL19l6TOxe0MscibexAQyt89uIpYBQISAjLNK98GY1LibChUsF3C&#10;hiK8+AtsP+uPuyMCMCjqLoQMGYvxMRHQEJ1ciLfG9JnGG4Fe8hA9MCQYXqTeo/oHo//YRxAT2RUy&#10;Nex1HMv2xSuJcYid8jwm4QxKrNAC+5ilLYrKOQSCQ6bipbiJmPnCJOQf1WHEwyNw5cA+aCnavGNF&#10;MMW7n0m5SSlrIvGrcUBaViEOZJzHzGcG42Q2kQDnfYeME2dRXUZduPARGN3tCvZlF8Gv+gcUcLm2&#10;Id2xc4iJ0J6AgFD+nlAKQoYOgYCairVLSCxSNm/EQ0Xr8NeMMmauZ65WExzUzzSoxKFjF+h9JUp1&#10;tTI5DE0UqKlemRHOG+W4yhME5O8q/avM6KspZjVmabNv4ZxAQHeVjuABdGUlQKAeH81bgoDHf41n&#10;HoiSIrXA26LcgGFPxiF7eTI+rHgIY8PlUps2I5HObFiKjct+CY1E2dwNv545DYNUokp0x6rf4lYg&#10;YC8CSttgr3/hTyAgEHAIAYXmlZj4pZG7TAVbnrUBv1/3A3HaB+PZZ7ohIPQB3LlkIRJ08Vj6tLwC&#10;EBDV+GzV3Fh0e3cJEnLC4RciH2zDVK9LkuegMv5tPEEyecMfjyVOwLy5CfiXfzVCn5mPGKJQPUEH&#10;BMsfukwxyyfUva5K26HsCM+mCGi8qLt1EPPiE+h5b/xu9UjU14Vjw8rF2Fqshd/UJ2CO96CIxnJL&#10;iouU4tOEP4QJ/h/i1KNj6YCmADzxylN4Pfll7CX6+66xSXjjwWiEa7dicXINzSj44VGpQJVyNRVJ&#10;/BII2IOAIPmxByXhRyDgBgTMKU1dl4QBeoMGTZGkuS9t1+WiXcRUlYW5rx7D4vWzSGk3OnN62ubx&#10;LsOq+MUYvXY1YhsionIk2w5XsQo2SifuBAKNs4ICC4GAQKCVETCnNHVd8k0rfk7HfWm7LhftIiZN&#10;T8Q9O5LmVkydOT1ts3jrazEkfhbub1D8HB+VownfsWka4pdAwBkExMjfGfREWIGAQEAgIBAQCLRD&#10;BITBXzssNCGyQEAgIBAQCAgEnEFAKH9n0BNhBQICAYGAQEAg0A4REMq/HRaaEFkgIBAQCAgEBALO&#10;ICCUvzPoibACAYGAQEAgIBBohwgI5d8OC02ILBAQCAgEBAICAWcQEMrfGfREWIGAQEAgIBAQCLRD&#10;BITyb4eFJkQWCAgEBAICAYGAMwgI5e8MeiKsQEAgIBAQCAgE2iECQvm3w0ITIgsEBAICAYGAQMAZ&#10;BITydwY9EVYgIBAQCAgEBALtEAGh/NthoQmRBQICAYGAQEAg4AwCQvk7g54IKxAQCAgEBAICgXaI&#10;gFD+7bDQbjeRDRXF0BZX3W7ZaiI/BhTna3Hb59hQAa22DAZrSDT1zpr/2/RZRbEWxVVWEbLIsSN+&#10;GwMbUKbVosK+JBqDibvbHgGh/G/7Iva0DBqQtWUx4uPjpb+1GcXQF3yJhZ+eNhE0bfFcbMlvL+qx&#10;CqlJlJ+UNJWiK6bz2eOxcFu+Sb7kH1X4ctFSHHc0e4ZCpCQsRC6d8e6JTruNyjVhLhLiE7B2hxbQ&#10;n8bShdugFrd4RwqSthAmxnfXi3dgbtI2uztC7ateqEupCjtSkpAwl/BJSMBc+ltMdaPg06X49LQa&#10;IXUY+V7Jc8GX5Peko5VGj9SFS5HnaDBLMcST2wwBzW2WH5EdFyHw3+99j9yzlS6KDRgWeQdW/S4a&#10;FVnvY/kXvbFi8wKE6suQf4GqYG0g/G+cRWZGGbwixmJURFcMf3YWroX5QKfNxzWNAWdOlGHIuPGI&#10;6KqhZ1nIPHYeIdEPIjYq1CEZb/3lIaDwO4fCNOm5/0Po9JuvUVVLvo5uxmHdRMSGALrMr3GQHoVL&#10;ozo9tFnf4dj5ekQ/+DBY5MCQYHjRe9O8dEN+1kmEjYpBV1KZfN9j2AAU7P8WpZoBeGR8FJ5M/Bl6&#10;dDEP5xgGO3fuxJUrV5rMliMve/bsicmTJ6O2vALjXnkHc4ZdQNLzK5EzYhaC/SuRnUmdIq9IjB8V&#10;gdBRT+JX18Io+hp6F4guoaMw87lr8DHokK+9BsPVMyio74/HKa8EDugRrp48CQyOpbIOabJegOpT&#10;xq7DMITdTWlFQkOzC1kZCnbRCLA3U8eojlx3YR3hdIMewpSkbzGlKgdJr2ZjwfpZVMZA7t+DcePs&#10;QWSUaRAx9gGr9Vv5Fmq9g+HNLTblM+u7wzhfH4IHH45FaJdG7Mq8hkg4a6gbWpiVAW014ecfDD/R&#10;0nMpCKdCQIz8VWCIW/cjUHA4D+N+9wwkdeUTiqhI0pQab1TnfYOSmmv4MHmxNLItSluD1NNVKE1P&#10;wcJlGUBdNpIXfIkqQzH2pp/HgOg7sW/RYmRVuF/m5lOgOdVuQ/HU1P7Ytp1GtaS4t287R6PgSfCt&#10;q4e++Aj2n9cgemAVUuZ/hAaRb1rm5fSH7+LLfIqv4iAWLc/GmY8XYMvlEPRFGa7oq7Bv+Rqcum4Z&#10;rnkZW8mHoRaGiquopRK+w5+6N9VHcbSkHifWJeMzmsnRF6Xh3VTVLI++AOuW70SVvggpixYiQ+eF&#10;sn8vwgqeESpNx6KFK6ELArYteh1pZQbYrBeEz4bXFqMkbDBweCXe2VGI3A/V2LVS/u1KxrvBl8a7&#10;FnmfnkBN/UGb9VvJsxKo+Mh3OE+dwYH1e7D4gyyqbjJ2u3VowFmX+T6SP8xH/fUTOFrNPVPhBAKm&#10;CIj+oCke4pcRgT//fpj7sNCYVTtDJUImJWL6lCjUp2ahhnSfnzLKQTAmJc7GlOh87N5+AAZNOB4c&#10;2wOp+45B76/DsYIKjIrhMZR9rtPL++zz6JCvCtRd0+Oex36B7+elQftAPxzqOhlv/f92zTekrjKO&#10;49/weI9XBhpO6HJja20gTccu+xO53IZ2MSaXrLFByeKS7kUiMrYQFJU1WGQsLLDINxvkC98sYi/q&#10;hSUG20CoSTdGFpVzy+QqdLWiq169o37n/vOe6xk9C+q44/d5c8895/n3/fx+9/6e5/ecrWEMyVpA&#10;9+7Bk8Wf4vrYFNwLv2AynYLNy9WyhGNNB/HaSAgHHr+KncFXsEPWRtO9g7h1ph1HdcBlZAz03Hb3&#10;x6C2tva+1KlW1jYB13pfxy3vFrxwthXbMQmUHEHL0WcxER3GiGHYfBdKEtvXdK9aIgNgfHtY6jYG&#10;apC3bRKvDocBvzQXvwgcKse2H4cwPBWF/15+EQtjNBLBY1+N4OfxCG675vHIbp+JXXrEf/zc/V/4&#10;iPWo8T8L8ExnS9K/r1j791MZzck+vHuexuYrn2F0JobIT9/JYnJXgl1LQDjPJzlPhcbld/O29JuH&#10;34Y6so6jrOfBuxuPAHf+G8/mtioulZz3tYtDqd3v77gzndoHyw7Z2DEvW8xueUXOROPGc9kxRW+g&#10;842r8AdP4JCkgddPWUJ+STnqD46ju3sQVS8dQFE8qSYauoRzXxTjRPB57Mie8MJaLUW+OpSN9aL7&#10;wxgCVV6U7GvC4EA7ZnvPyq441diiXXa3dl3LGk4CWQ8uyNl2TVlqQba4LFYV81kZNmPt1MPIHCTL&#10;j8isBP5NWkLG4lxS9Gw4kr6VkWfyC7nrxk683NiMtncG8H7QZ80u03r9XJh0KPh36FInPi+uQeOL&#10;1ShcTOnI4SxrLMz9YRzbRTAjCJM0149mzsR+AvQJ+22woWbgrWlFw1gXmhs+QqEo3xV8EycfBQpc&#10;xgm42R3TyVFXvnFfnrvlQ/fImfptvHeuC9MTERx5ztxGathWVu4Cvtpq2f7Owr9dw91vJaiJCN1T&#10;Du/EZZzvWMSEiPAnplwAzVLLVtQdLsTXP1ShQg6pb1zsRv/3S3B7K1En8fQO7tXONtmmgZdXZHef&#10;XdxJK8rJTqYUpK9TzyTNI6bPx7y8JXFaXhYEPDjTVwHt15tyatAvxyf9khaoR59keGbGEkgTfZn9&#10;ogJN9Z+go6UNXjl0qGzrwZbrPSZ2mQnYfWH4cVYx67D27zQy49NTvhfhgXfRdXkaC6hP/mpyOJcF&#10;GtB/Wl4u/NgLd2ERDmeNx0sSMAg89JcUoiCB/51APCYpfD0n3KvOIo5YXIO+fuK+6sQt6q3VMnrh&#10;JL6sfgun9iUzG7FYDLouOX9TWdvO9PhB+yI73tZT3+B86kU4Y/rR0AdoH61EX7NPXY34ldDK+IY1&#10;O/Xu7KmpYFvxCXEKe6bHUR1BwBF/n46wxEYT8a8DvwHKKYHfSov8qT9xHMd8q0caawO/VTvj3gNc&#10;tFIEju+VvMZq0Ur3I7Dfs3pD5Ur8KjskWrNT6cjOOgr+zcBvp4EcMTZ3/o4wI0WQAAmQAAmQgDoB&#10;vvCnzoo1SYAESIAESMARBBj8HWFGiiABEiABEiABdQIM/uqsWJMESIAESIAEHEGAwd8RZqQIEiAB&#10;EiABElAnwOCvzoo1SYAESIAESMARBBj8HWFGiiABEiABEiABdQIM/uqsWJMESIAESIAEHEGAwd8R&#10;ZqQIEiABEiABElAnwOCvzoo1SYAESIAESMARBP4GjEsMV7om32cAAAAASUVORK5CYIJQSwECLQAU&#10;AAYACAAAACEAsYJntgoBAAATAgAAEwAAAAAAAAAAAAAAAAAAAAAAW0NvbnRlbnRfVHlwZXNdLnht&#10;bFBLAQItABQABgAIAAAAIQA4/SH/1gAAAJQBAAALAAAAAAAAAAAAAAAAADsBAABfcmVscy8ucmVs&#10;c1BLAQItABQABgAIAAAAIQDeiM/1tAMAAG4IAAAOAAAAAAAAAAAAAAAAADoCAABkcnMvZTJvRG9j&#10;LnhtbFBLAQItABQABgAIAAAAIQCqJg6+vAAAACEBAAAZAAAAAAAAAAAAAAAAABoGAABkcnMvX3Jl&#10;bHMvZTJvRG9jLnhtbC5yZWxzUEsBAi0AFAAGAAgAAAAhAB+JF9LdAAAABQEAAA8AAAAAAAAAAAAA&#10;AAAADQcAAGRycy9kb3ducmV2LnhtbFBLAQItAAoAAAAAAAAAIQBx+X1bkdYAAJHWAAAUAAAAAAAA&#10;AAAAAAAAABcIAABkcnMvbWVkaWEvaW1hZ2UxLnBuZ1BLBQYAAAAABgAGAHwBAADa3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style="position:absolute;width:46234;height:3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V3wgAAANsAAAAPAAAAZHJzL2Rvd25yZXYueG1sRI9Ra8Iw&#10;FIXfB/6HcIW9zdQJnVajuIHgxJeqP+DSXJtic1OSzHb/3gyEPR7OOd/hrDaDbcWdfGgcK5hOMhDE&#10;ldMN1wou593bHESIyBpbx6TglwJs1qOXFRba9VzS/RRrkSAcClRgYuwKKUNlyGKYuI44eVfnLcYk&#10;fS21xz7BbSvfsyyXFhtOCwY7+jJU3U4/VkFYzEq+5j1Pm6OT5fFgpP/+VOp1PGyXICIN8T/8bO+1&#10;gvwD/r6kHyDXDwAAAP//AwBQSwECLQAUAAYACAAAACEA2+H2y+4AAACFAQAAEwAAAAAAAAAAAAAA&#10;AAAAAAAAW0NvbnRlbnRfVHlwZXNdLnhtbFBLAQItABQABgAIAAAAIQBa9CxbvwAAABUBAAALAAAA&#10;AAAAAAAAAAAAAB8BAABfcmVscy8ucmVsc1BLAQItABQABgAIAAAAIQBTeiV3wgAAANsAAAAPAAAA&#10;AAAAAAAAAAAAAAcCAABkcnMvZG93bnJldi54bWxQSwUGAAAAAAMAAwC3AAAA9gIAAAAA&#10;">
                  <v:imagedata r:id="rId38" o:title=""/>
                </v:shape>
                <v:shapetype id="_x0000_t202" coordsize="21600,21600" o:spt="202" path="m,l,21600r21600,l21600,xe">
                  <v:stroke joinstyle="miter"/>
                  <v:path gradientshapeok="t" o:connecttype="rect"/>
                </v:shapetype>
                <v:shape id="Text Box 75" o:spid="_x0000_s1028" type="#_x0000_t202" style="position:absolute;left:18;top:29779;width:11392;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59F587BD" w14:textId="77777777" w:rsidR="006A439E" w:rsidRDefault="006A439E" w:rsidP="00294019">
                        <w:pPr>
                          <w:rPr>
                            <w:sz w:val="15"/>
                          </w:rPr>
                        </w:pPr>
                        <w:r>
                          <w:rPr>
                            <w:sz w:val="15"/>
                          </w:rPr>
                          <w:t xml:space="preserve">Source: World Bank, Global </w:t>
                        </w:r>
                        <w:proofErr w:type="spellStart"/>
                        <w:r>
                          <w:rPr>
                            <w:sz w:val="15"/>
                          </w:rPr>
                          <w:t>Findex</w:t>
                        </w:r>
                        <w:proofErr w:type="spellEnd"/>
                      </w:p>
                    </w:txbxContent>
                  </v:textbox>
                </v:shape>
                <w10:anchorlock/>
              </v:group>
            </w:pict>
          </mc:Fallback>
        </mc:AlternateContent>
      </w:r>
    </w:p>
    <w:p w14:paraId="5F2B0797" w14:textId="77777777" w:rsidR="006D2BF9" w:rsidRPr="006D2BF9" w:rsidRDefault="006D2BF9" w:rsidP="006D2BF9">
      <w:pPr>
        <w:jc w:val="both"/>
        <w:rPr>
          <w:rFonts w:eastAsia="Times New Roman" w:cs="Times New Roman"/>
          <w:shd w:val="clear" w:color="auto" w:fill="FFFFFF"/>
        </w:rPr>
      </w:pPr>
    </w:p>
    <w:p w14:paraId="4AE6E218" w14:textId="769AB5C1" w:rsidR="00294019" w:rsidRPr="001A7288" w:rsidRDefault="00294019" w:rsidP="00DE2C6D">
      <w:pPr>
        <w:pStyle w:val="ListParagraph"/>
        <w:numPr>
          <w:ilvl w:val="0"/>
          <w:numId w:val="50"/>
        </w:numPr>
        <w:jc w:val="both"/>
        <w:rPr>
          <w:rFonts w:eastAsia="Times New Roman" w:cs="Times New Roman"/>
          <w:shd w:val="clear" w:color="auto" w:fill="FFFFFF"/>
        </w:rPr>
      </w:pPr>
      <w:r w:rsidRPr="001A7288">
        <w:rPr>
          <w:rFonts w:cs="Times New Roman"/>
          <w:b/>
        </w:rPr>
        <w:t xml:space="preserve">Access to finance constraint is especially acute among early stage entrepreneurs. </w:t>
      </w:r>
      <w:r w:rsidRPr="001A7288">
        <w:rPr>
          <w:rFonts w:cs="Times New Roman"/>
        </w:rPr>
        <w:t xml:space="preserve">A 2017 startup survey </w:t>
      </w:r>
      <w:r w:rsidRPr="001A7288">
        <w:rPr>
          <w:rFonts w:eastAsia="Times New Roman" w:cs="Times New Roman"/>
        </w:rPr>
        <w:t xml:space="preserve">showed that access to finance is one of the biggest challenges facing startups in the Philippines, with 88% of founders naming it as their top challenge to doing business. </w:t>
      </w:r>
      <w:r w:rsidRPr="001A7288">
        <w:rPr>
          <w:rFonts w:cs="Times New Roman"/>
        </w:rPr>
        <w:t>The disparity of early stage funding per startup is stark: US$68,000 in the Philippines compared to a global average of US$252,000.</w:t>
      </w:r>
      <w:r w:rsidRPr="001A7288">
        <w:rPr>
          <w:rFonts w:cs="Times New Roman"/>
          <w:vertAlign w:val="superscript"/>
        </w:rPr>
        <w:endnoteReference w:id="37"/>
      </w:r>
      <w:r w:rsidRPr="001A7288">
        <w:rPr>
          <w:rFonts w:cs="Times New Roman"/>
        </w:rPr>
        <w:t xml:space="preserve"> Also, deal tracking from Golden Gate Ventures between 2012 and 2017 showed that the Philippines covered less than 5% of the total in the region, with roughly US$300 million in funding over the past five years (</w:t>
      </w:r>
      <w:r w:rsidR="00C34763">
        <w:rPr>
          <w:rFonts w:cs="Times New Roman"/>
        </w:rPr>
        <w:t>22</w:t>
      </w:r>
      <w:r w:rsidRPr="001A7288">
        <w:rPr>
          <w:rFonts w:cs="Times New Roman"/>
        </w:rPr>
        <w:t>).</w:t>
      </w:r>
      <w:r w:rsidRPr="001A7288">
        <w:rPr>
          <w:rFonts w:cs="Times New Roman"/>
          <w:vertAlign w:val="superscript"/>
        </w:rPr>
        <w:endnoteReference w:id="38"/>
      </w:r>
      <w:r w:rsidRPr="001A7288">
        <w:rPr>
          <w:rFonts w:cs="Times New Roman"/>
        </w:rPr>
        <w:t xml:space="preserve"> Further, t</w:t>
      </w:r>
      <w:r w:rsidRPr="001A7288">
        <w:rPr>
          <w:rFonts w:eastAsia="Times New Roman" w:cs="Times New Roman"/>
          <w:shd w:val="clear" w:color="auto" w:fill="FFFFFF"/>
        </w:rPr>
        <w:t>he last exit seen in the Philippines was in early 2016; yet there has been around 60 exits throughout the region since then.</w:t>
      </w:r>
      <w:r w:rsidRPr="001A7288">
        <w:rPr>
          <w:rFonts w:cs="Times New Roman"/>
          <w:vertAlign w:val="superscript"/>
        </w:rPr>
        <w:endnoteReference w:id="39"/>
      </w:r>
    </w:p>
    <w:p w14:paraId="167CA224" w14:textId="14D969B9" w:rsidR="00294019" w:rsidRPr="008D79EE" w:rsidRDefault="00294019" w:rsidP="00294019">
      <w:pPr>
        <w:spacing w:after="0" w:line="240" w:lineRule="auto"/>
        <w:jc w:val="center"/>
        <w:rPr>
          <w:rFonts w:eastAsia="Times New Roman" w:cs="Times New Roman"/>
          <w:b/>
          <w:shd w:val="clear" w:color="auto" w:fill="FFFFFF"/>
        </w:rPr>
      </w:pPr>
      <w:bookmarkStart w:id="53" w:name="_Ref8048057"/>
      <w:r w:rsidRPr="008D79EE">
        <w:rPr>
          <w:b/>
        </w:rPr>
        <w:t xml:space="preserve">Figure </w:t>
      </w:r>
      <w:r>
        <w:rPr>
          <w:b/>
        </w:rPr>
        <w:t>2</w:t>
      </w:r>
      <w:bookmarkEnd w:id="53"/>
      <w:r w:rsidR="00C34763">
        <w:rPr>
          <w:b/>
        </w:rPr>
        <w:t>2</w:t>
      </w:r>
      <w:r w:rsidRPr="008D79EE">
        <w:rPr>
          <w:rFonts w:cs="Times New Roman"/>
          <w:b/>
        </w:rPr>
        <w:t>:</w:t>
      </w:r>
      <w:r w:rsidRPr="008D79EE">
        <w:rPr>
          <w:rFonts w:eastAsia="Times New Roman" w:cs="Times New Roman"/>
          <w:b/>
          <w:shd w:val="clear" w:color="auto" w:fill="FFFFFF"/>
        </w:rPr>
        <w:t xml:space="preserve"> Venture capital deals in the Southeast Asian region, 2012-2017</w:t>
      </w:r>
    </w:p>
    <w:p w14:paraId="496CF919" w14:textId="41123080" w:rsidR="00EC794E" w:rsidRPr="00DD6D4F" w:rsidRDefault="00294019" w:rsidP="00DD6D4F">
      <w:pPr>
        <w:spacing w:after="0" w:line="240" w:lineRule="auto"/>
        <w:jc w:val="center"/>
        <w:rPr>
          <w:rFonts w:cs="Times New Roman"/>
          <w:sz w:val="24"/>
          <w:szCs w:val="24"/>
        </w:rPr>
      </w:pPr>
      <w:r>
        <w:rPr>
          <w:rFonts w:asciiTheme="minorHAnsi" w:hAnsiTheme="minorHAnsi"/>
          <w:noProof/>
        </w:rPr>
        <w:drawing>
          <wp:inline distT="0" distB="0" distL="0" distR="0" wp14:anchorId="7B856AC0" wp14:editId="485D3332">
            <wp:extent cx="4281805" cy="2404745"/>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1805" cy="2404745"/>
                    </a:xfrm>
                    <a:prstGeom prst="rect">
                      <a:avLst/>
                    </a:prstGeom>
                    <a:noFill/>
                  </pic:spPr>
                </pic:pic>
              </a:graphicData>
            </a:graphic>
          </wp:inline>
        </w:drawing>
      </w:r>
    </w:p>
    <w:p w14:paraId="5822ECCA" w14:textId="0D0A158C" w:rsidR="00294019" w:rsidRDefault="00294019" w:rsidP="00294019">
      <w:pPr>
        <w:pStyle w:val="ListParagraph"/>
        <w:numPr>
          <w:ilvl w:val="0"/>
          <w:numId w:val="48"/>
        </w:numPr>
        <w:jc w:val="both"/>
        <w:rPr>
          <w:rFonts w:cs="Times New Roman"/>
        </w:rPr>
      </w:pPr>
      <w:r w:rsidRPr="001A7288">
        <w:rPr>
          <w:rFonts w:cs="Times New Roman"/>
          <w:b/>
        </w:rPr>
        <w:t>Investors are beginning to gravitate towards Philippines as an important emerging market destination.</w:t>
      </w:r>
      <w:r w:rsidRPr="001A7288">
        <w:rPr>
          <w:rFonts w:cs="Times New Roman"/>
        </w:rPr>
        <w:t xml:space="preserve"> </w:t>
      </w:r>
      <w:r w:rsidRPr="001A7288">
        <w:rPr>
          <w:rFonts w:eastAsia="PMingLiU" w:cs="Times New Roman"/>
          <w:lang w:eastAsia="zh-TW"/>
        </w:rPr>
        <w:t>Looking forward, three-fifths of startup entrepreneurs are planning to enter global markets (61</w:t>
      </w:r>
      <w:r>
        <w:rPr>
          <w:rFonts w:eastAsia="PMingLiU" w:cs="Times New Roman"/>
          <w:lang w:eastAsia="zh-TW"/>
        </w:rPr>
        <w:t xml:space="preserve"> percent</w:t>
      </w:r>
      <w:r w:rsidRPr="001A7288">
        <w:rPr>
          <w:rFonts w:eastAsia="PMingLiU" w:cs="Times New Roman"/>
          <w:lang w:eastAsia="zh-TW"/>
        </w:rPr>
        <w:t>) and raise new equity that can drive growth of their startups (63</w:t>
      </w:r>
      <w:r>
        <w:rPr>
          <w:rFonts w:eastAsia="PMingLiU" w:cs="Times New Roman"/>
          <w:lang w:eastAsia="zh-TW"/>
        </w:rPr>
        <w:t xml:space="preserve"> percent</w:t>
      </w:r>
      <w:r w:rsidRPr="001A7288">
        <w:rPr>
          <w:rFonts w:eastAsia="PMingLiU" w:cs="Times New Roman"/>
          <w:lang w:eastAsia="zh-TW"/>
        </w:rPr>
        <w:t>).</w:t>
      </w:r>
      <w:r w:rsidRPr="001A7288">
        <w:rPr>
          <w:rFonts w:eastAsia="PMingLiU" w:cs="Times New Roman"/>
          <w:vertAlign w:val="superscript"/>
          <w:lang w:eastAsia="zh-TW"/>
        </w:rPr>
        <w:endnoteReference w:id="40"/>
      </w:r>
      <w:r>
        <w:rPr>
          <w:rFonts w:eastAsia="PMingLiU" w:cs="Times New Roman"/>
          <w:lang w:eastAsia="zh-TW"/>
        </w:rPr>
        <w:t xml:space="preserve"> </w:t>
      </w:r>
      <w:r w:rsidRPr="001A7288">
        <w:rPr>
          <w:rFonts w:cs="Times New Roman"/>
        </w:rPr>
        <w:t>Philippines’ strong economic potential and large population makes it an attractive market for Venture Capital and Private Equity (VCPE) investors</w:t>
      </w:r>
      <w:r>
        <w:rPr>
          <w:rFonts w:cs="Times New Roman"/>
        </w:rPr>
        <w:t xml:space="preserve"> (</w:t>
      </w:r>
      <w:r w:rsidR="00CD2D11">
        <w:rPr>
          <w:rFonts w:cs="Times New Roman"/>
        </w:rPr>
        <w:t>Table 23</w:t>
      </w:r>
      <w:r>
        <w:rPr>
          <w:rFonts w:cs="Times New Roman"/>
        </w:rPr>
        <w:t>)</w:t>
      </w:r>
      <w:r w:rsidRPr="001A7288">
        <w:rPr>
          <w:rFonts w:cs="Times New Roman"/>
        </w:rPr>
        <w:t xml:space="preserve">. According to the latest VCPE Country Attractiveness Index, </w:t>
      </w:r>
      <w:r w:rsidRPr="001A7288">
        <w:rPr>
          <w:rFonts w:cs="Times New Roman"/>
          <w:vertAlign w:val="superscript"/>
        </w:rPr>
        <w:endnoteReference w:id="41"/>
      </w:r>
      <w:r>
        <w:rPr>
          <w:rFonts w:cs="Times New Roman"/>
        </w:rPr>
        <w:t xml:space="preserve"> </w:t>
      </w:r>
      <w:r w:rsidRPr="001A7288">
        <w:rPr>
          <w:rFonts w:cs="Times New Roman"/>
        </w:rPr>
        <w:t xml:space="preserve">Philippines ranks 42 out of 125 countries. Moreover, the country has gained three positions since 2014. Venture Capital and Private Equity (VCPE) index measures the attractiveness of countries for investors in the venture capital (VC) and private equity (PE) asset classes. It provides the most up-to-date aggregated information on the quality of the investment environment and an assessment of the ease of transaction-making in 125 countries. According to the 2018 VCPE Country Attractiveness Index, Philippines ranked in the middle when compared to regional and structural peers. </w:t>
      </w:r>
    </w:p>
    <w:p w14:paraId="4EE2E2B7" w14:textId="522374C0" w:rsidR="00294019" w:rsidRPr="00C915EE" w:rsidRDefault="00294019" w:rsidP="00294019">
      <w:pPr>
        <w:pStyle w:val="Caption"/>
        <w:jc w:val="center"/>
        <w:rPr>
          <w:rFonts w:ascii="Times New Roman" w:hAnsi="Times New Roman" w:cs="Times New Roman"/>
          <w:szCs w:val="22"/>
        </w:rPr>
      </w:pPr>
      <w:bookmarkStart w:id="54" w:name="_Ref8049061"/>
      <w:r w:rsidRPr="00C915EE">
        <w:rPr>
          <w:rFonts w:ascii="Times New Roman" w:hAnsi="Times New Roman" w:cs="Times New Roman"/>
        </w:rPr>
        <w:t xml:space="preserve">Table </w:t>
      </w:r>
      <w:bookmarkEnd w:id="54"/>
      <w:r w:rsidR="00AE5ABB">
        <w:rPr>
          <w:rFonts w:ascii="Times New Roman" w:hAnsi="Times New Roman" w:cs="Times New Roman"/>
        </w:rPr>
        <w:t>23</w:t>
      </w:r>
      <w:r w:rsidRPr="00C915EE">
        <w:rPr>
          <w:rFonts w:ascii="Times New Roman" w:hAnsi="Times New Roman" w:cs="Times New Roman"/>
        </w:rPr>
        <w:t>: VCPE Country Attractiveness Index</w:t>
      </w:r>
      <w:r>
        <w:rPr>
          <w:rFonts w:ascii="Times New Roman" w:hAnsi="Times New Roman" w:cs="Times New Roman"/>
        </w:rPr>
        <w:t>*</w:t>
      </w:r>
    </w:p>
    <w:tbl>
      <w:tblPr>
        <w:tblStyle w:val="TableGrid2"/>
        <w:tblW w:w="0" w:type="auto"/>
        <w:tblInd w:w="1075" w:type="dxa"/>
        <w:tblLook w:val="04A0" w:firstRow="1" w:lastRow="0" w:firstColumn="1" w:lastColumn="0" w:noHBand="0" w:noVBand="1"/>
      </w:tblPr>
      <w:tblGrid>
        <w:gridCol w:w="2445"/>
        <w:gridCol w:w="2387"/>
        <w:gridCol w:w="1999"/>
      </w:tblGrid>
      <w:tr w:rsidR="00294019" w14:paraId="40343802" w14:textId="77777777" w:rsidTr="000D1EBD">
        <w:trPr>
          <w:trHeight w:val="244"/>
        </w:trPr>
        <w:tc>
          <w:tcPr>
            <w:tcW w:w="2445" w:type="dxa"/>
            <w:tcBorders>
              <w:top w:val="single" w:sz="4" w:space="0" w:color="auto"/>
              <w:left w:val="single" w:sz="4" w:space="0" w:color="auto"/>
              <w:bottom w:val="single" w:sz="4" w:space="0" w:color="auto"/>
              <w:right w:val="single" w:sz="4" w:space="0" w:color="auto"/>
            </w:tcBorders>
            <w:hideMark/>
          </w:tcPr>
          <w:p w14:paraId="71205E72" w14:textId="77777777" w:rsidR="00294019" w:rsidRDefault="00294019" w:rsidP="000D1EBD">
            <w:pPr>
              <w:contextualSpacing/>
              <w:rPr>
                <w:rFonts w:ascii="Arial Narrow" w:hAnsi="Arial Narrow" w:cs="Times New Roman"/>
                <w:b/>
              </w:rPr>
            </w:pPr>
            <w:r>
              <w:rPr>
                <w:rFonts w:ascii="Arial Narrow" w:hAnsi="Arial Narrow" w:cs="Times New Roman"/>
                <w:b/>
              </w:rPr>
              <w:t>Country</w:t>
            </w:r>
          </w:p>
        </w:tc>
        <w:tc>
          <w:tcPr>
            <w:tcW w:w="2387" w:type="dxa"/>
            <w:tcBorders>
              <w:top w:val="single" w:sz="4" w:space="0" w:color="auto"/>
              <w:left w:val="single" w:sz="4" w:space="0" w:color="auto"/>
              <w:bottom w:val="single" w:sz="4" w:space="0" w:color="auto"/>
              <w:right w:val="single" w:sz="4" w:space="0" w:color="auto"/>
            </w:tcBorders>
            <w:hideMark/>
          </w:tcPr>
          <w:p w14:paraId="01D41EB3" w14:textId="77777777" w:rsidR="00294019" w:rsidRDefault="00294019" w:rsidP="000D1EBD">
            <w:pPr>
              <w:contextualSpacing/>
              <w:rPr>
                <w:rFonts w:ascii="Arial Narrow" w:hAnsi="Arial Narrow" w:cs="Times New Roman"/>
                <w:b/>
              </w:rPr>
            </w:pPr>
            <w:r>
              <w:rPr>
                <w:rFonts w:ascii="Arial Narrow" w:hAnsi="Arial Narrow" w:cs="Times New Roman"/>
                <w:b/>
              </w:rPr>
              <w:t>Rank</w:t>
            </w:r>
          </w:p>
        </w:tc>
        <w:tc>
          <w:tcPr>
            <w:tcW w:w="1999" w:type="dxa"/>
            <w:tcBorders>
              <w:top w:val="single" w:sz="4" w:space="0" w:color="auto"/>
              <w:left w:val="single" w:sz="4" w:space="0" w:color="auto"/>
              <w:bottom w:val="single" w:sz="4" w:space="0" w:color="auto"/>
              <w:right w:val="single" w:sz="4" w:space="0" w:color="auto"/>
            </w:tcBorders>
            <w:hideMark/>
          </w:tcPr>
          <w:p w14:paraId="41AA6011" w14:textId="77777777" w:rsidR="00294019" w:rsidRDefault="00294019" w:rsidP="000D1EBD">
            <w:pPr>
              <w:contextualSpacing/>
              <w:rPr>
                <w:rFonts w:ascii="Arial Narrow" w:hAnsi="Arial Narrow" w:cs="Times New Roman"/>
                <w:b/>
              </w:rPr>
            </w:pPr>
            <w:r>
              <w:rPr>
                <w:rFonts w:ascii="Arial Narrow" w:hAnsi="Arial Narrow" w:cs="Times New Roman"/>
                <w:b/>
              </w:rPr>
              <w:t>Score</w:t>
            </w:r>
          </w:p>
        </w:tc>
      </w:tr>
      <w:tr w:rsidR="00294019" w14:paraId="52B3F036" w14:textId="77777777" w:rsidTr="000D1EBD">
        <w:trPr>
          <w:trHeight w:val="237"/>
        </w:trPr>
        <w:tc>
          <w:tcPr>
            <w:tcW w:w="2445" w:type="dxa"/>
            <w:tcBorders>
              <w:top w:val="single" w:sz="4" w:space="0" w:color="auto"/>
              <w:left w:val="single" w:sz="4" w:space="0" w:color="auto"/>
              <w:bottom w:val="single" w:sz="4" w:space="0" w:color="auto"/>
              <w:right w:val="single" w:sz="4" w:space="0" w:color="auto"/>
            </w:tcBorders>
            <w:hideMark/>
          </w:tcPr>
          <w:p w14:paraId="2E556850" w14:textId="77777777" w:rsidR="00294019" w:rsidRDefault="00294019" w:rsidP="000D1EBD">
            <w:pPr>
              <w:contextualSpacing/>
              <w:rPr>
                <w:rFonts w:ascii="Arial Narrow" w:hAnsi="Arial Narrow" w:cs="Times New Roman"/>
              </w:rPr>
            </w:pPr>
            <w:r>
              <w:rPr>
                <w:rFonts w:ascii="Arial Narrow" w:hAnsi="Arial Narrow" w:cs="Times New Roman"/>
              </w:rPr>
              <w:t>Malaysia</w:t>
            </w:r>
          </w:p>
        </w:tc>
        <w:tc>
          <w:tcPr>
            <w:tcW w:w="2387" w:type="dxa"/>
            <w:tcBorders>
              <w:top w:val="single" w:sz="4" w:space="0" w:color="auto"/>
              <w:left w:val="single" w:sz="4" w:space="0" w:color="auto"/>
              <w:bottom w:val="single" w:sz="4" w:space="0" w:color="auto"/>
              <w:right w:val="single" w:sz="4" w:space="0" w:color="auto"/>
            </w:tcBorders>
            <w:hideMark/>
          </w:tcPr>
          <w:p w14:paraId="1D8F98C3" w14:textId="77777777" w:rsidR="00294019" w:rsidRDefault="00294019" w:rsidP="000D1EBD">
            <w:pPr>
              <w:contextualSpacing/>
              <w:rPr>
                <w:rFonts w:ascii="Arial Narrow" w:hAnsi="Arial Narrow" w:cs="Times New Roman"/>
              </w:rPr>
            </w:pPr>
            <w:r>
              <w:rPr>
                <w:rFonts w:ascii="Arial Narrow" w:hAnsi="Arial Narrow" w:cs="Times New Roman"/>
              </w:rPr>
              <w:t>13</w:t>
            </w:r>
          </w:p>
        </w:tc>
        <w:tc>
          <w:tcPr>
            <w:tcW w:w="1999" w:type="dxa"/>
            <w:tcBorders>
              <w:top w:val="single" w:sz="4" w:space="0" w:color="auto"/>
              <w:left w:val="single" w:sz="4" w:space="0" w:color="auto"/>
              <w:bottom w:val="single" w:sz="4" w:space="0" w:color="auto"/>
              <w:right w:val="single" w:sz="4" w:space="0" w:color="auto"/>
            </w:tcBorders>
            <w:hideMark/>
          </w:tcPr>
          <w:p w14:paraId="28E42032" w14:textId="77777777" w:rsidR="00294019" w:rsidRDefault="00294019" w:rsidP="000D1EBD">
            <w:pPr>
              <w:contextualSpacing/>
              <w:rPr>
                <w:rFonts w:ascii="Arial Narrow" w:hAnsi="Arial Narrow" w:cs="Times New Roman"/>
              </w:rPr>
            </w:pPr>
            <w:r>
              <w:rPr>
                <w:rFonts w:ascii="Arial Narrow" w:hAnsi="Arial Narrow" w:cs="Times New Roman"/>
              </w:rPr>
              <w:t>83.1</w:t>
            </w:r>
          </w:p>
        </w:tc>
      </w:tr>
      <w:tr w:rsidR="00294019" w14:paraId="7552B023" w14:textId="77777777" w:rsidTr="000D1EBD">
        <w:trPr>
          <w:trHeight w:val="237"/>
        </w:trPr>
        <w:tc>
          <w:tcPr>
            <w:tcW w:w="2445" w:type="dxa"/>
            <w:tcBorders>
              <w:top w:val="single" w:sz="4" w:space="0" w:color="auto"/>
              <w:left w:val="single" w:sz="4" w:space="0" w:color="auto"/>
              <w:bottom w:val="single" w:sz="4" w:space="0" w:color="auto"/>
              <w:right w:val="single" w:sz="4" w:space="0" w:color="auto"/>
            </w:tcBorders>
            <w:hideMark/>
          </w:tcPr>
          <w:p w14:paraId="5C131D7C" w14:textId="77777777" w:rsidR="00294019" w:rsidRDefault="00294019" w:rsidP="000D1EBD">
            <w:pPr>
              <w:contextualSpacing/>
              <w:rPr>
                <w:rFonts w:ascii="Arial Narrow" w:hAnsi="Arial Narrow" w:cs="Times New Roman"/>
              </w:rPr>
            </w:pPr>
            <w:r>
              <w:rPr>
                <w:rFonts w:ascii="Arial Narrow" w:hAnsi="Arial Narrow" w:cs="Times New Roman"/>
              </w:rPr>
              <w:t>China</w:t>
            </w:r>
          </w:p>
        </w:tc>
        <w:tc>
          <w:tcPr>
            <w:tcW w:w="2387" w:type="dxa"/>
            <w:tcBorders>
              <w:top w:val="single" w:sz="4" w:space="0" w:color="auto"/>
              <w:left w:val="single" w:sz="4" w:space="0" w:color="auto"/>
              <w:bottom w:val="single" w:sz="4" w:space="0" w:color="auto"/>
              <w:right w:val="single" w:sz="4" w:space="0" w:color="auto"/>
            </w:tcBorders>
            <w:hideMark/>
          </w:tcPr>
          <w:p w14:paraId="645EFE07" w14:textId="77777777" w:rsidR="00294019" w:rsidRDefault="00294019" w:rsidP="000D1EBD">
            <w:pPr>
              <w:contextualSpacing/>
              <w:rPr>
                <w:rFonts w:ascii="Arial Narrow" w:hAnsi="Arial Narrow" w:cs="Times New Roman"/>
              </w:rPr>
            </w:pPr>
            <w:r>
              <w:rPr>
                <w:rFonts w:ascii="Arial Narrow" w:hAnsi="Arial Narrow" w:cs="Times New Roman"/>
              </w:rPr>
              <w:t>18</w:t>
            </w:r>
          </w:p>
        </w:tc>
        <w:tc>
          <w:tcPr>
            <w:tcW w:w="1999" w:type="dxa"/>
            <w:tcBorders>
              <w:top w:val="single" w:sz="4" w:space="0" w:color="auto"/>
              <w:left w:val="single" w:sz="4" w:space="0" w:color="auto"/>
              <w:bottom w:val="single" w:sz="4" w:space="0" w:color="auto"/>
              <w:right w:val="single" w:sz="4" w:space="0" w:color="auto"/>
            </w:tcBorders>
            <w:hideMark/>
          </w:tcPr>
          <w:p w14:paraId="2B444689" w14:textId="77777777" w:rsidR="00294019" w:rsidRDefault="00294019" w:rsidP="000D1EBD">
            <w:pPr>
              <w:contextualSpacing/>
              <w:rPr>
                <w:rFonts w:ascii="Arial Narrow" w:hAnsi="Arial Narrow" w:cs="Times New Roman"/>
              </w:rPr>
            </w:pPr>
            <w:r>
              <w:rPr>
                <w:rFonts w:ascii="Arial Narrow" w:hAnsi="Arial Narrow" w:cs="Times New Roman"/>
              </w:rPr>
              <w:t>80.7</w:t>
            </w:r>
          </w:p>
        </w:tc>
      </w:tr>
      <w:tr w:rsidR="00294019" w14:paraId="18A31C40" w14:textId="77777777" w:rsidTr="000D1EBD">
        <w:trPr>
          <w:trHeight w:val="244"/>
        </w:trPr>
        <w:tc>
          <w:tcPr>
            <w:tcW w:w="2445" w:type="dxa"/>
            <w:tcBorders>
              <w:top w:val="single" w:sz="4" w:space="0" w:color="auto"/>
              <w:left w:val="single" w:sz="4" w:space="0" w:color="auto"/>
              <w:bottom w:val="single" w:sz="4" w:space="0" w:color="auto"/>
              <w:right w:val="single" w:sz="4" w:space="0" w:color="auto"/>
            </w:tcBorders>
            <w:hideMark/>
          </w:tcPr>
          <w:p w14:paraId="003C1BAA" w14:textId="77777777" w:rsidR="00294019" w:rsidRDefault="00294019" w:rsidP="000D1EBD">
            <w:pPr>
              <w:contextualSpacing/>
              <w:rPr>
                <w:rFonts w:ascii="Arial Narrow" w:hAnsi="Arial Narrow" w:cs="Times New Roman"/>
              </w:rPr>
            </w:pPr>
            <w:r>
              <w:rPr>
                <w:rFonts w:ascii="Arial Narrow" w:hAnsi="Arial Narrow" w:cs="Times New Roman"/>
              </w:rPr>
              <w:t>Thailand</w:t>
            </w:r>
          </w:p>
        </w:tc>
        <w:tc>
          <w:tcPr>
            <w:tcW w:w="2387" w:type="dxa"/>
            <w:tcBorders>
              <w:top w:val="single" w:sz="4" w:space="0" w:color="auto"/>
              <w:left w:val="single" w:sz="4" w:space="0" w:color="auto"/>
              <w:bottom w:val="single" w:sz="4" w:space="0" w:color="auto"/>
              <w:right w:val="single" w:sz="4" w:space="0" w:color="auto"/>
            </w:tcBorders>
            <w:hideMark/>
          </w:tcPr>
          <w:p w14:paraId="1CFE006F" w14:textId="77777777" w:rsidR="00294019" w:rsidRDefault="00294019" w:rsidP="000D1EBD">
            <w:pPr>
              <w:contextualSpacing/>
              <w:rPr>
                <w:rFonts w:ascii="Arial Narrow" w:hAnsi="Arial Narrow" w:cs="Times New Roman"/>
              </w:rPr>
            </w:pPr>
            <w:r>
              <w:rPr>
                <w:rFonts w:ascii="Arial Narrow" w:hAnsi="Arial Narrow" w:cs="Times New Roman"/>
              </w:rPr>
              <w:t>27</w:t>
            </w:r>
          </w:p>
        </w:tc>
        <w:tc>
          <w:tcPr>
            <w:tcW w:w="1999" w:type="dxa"/>
            <w:tcBorders>
              <w:top w:val="single" w:sz="4" w:space="0" w:color="auto"/>
              <w:left w:val="single" w:sz="4" w:space="0" w:color="auto"/>
              <w:bottom w:val="single" w:sz="4" w:space="0" w:color="auto"/>
              <w:right w:val="single" w:sz="4" w:space="0" w:color="auto"/>
            </w:tcBorders>
            <w:hideMark/>
          </w:tcPr>
          <w:p w14:paraId="5763543A" w14:textId="77777777" w:rsidR="00294019" w:rsidRDefault="00294019" w:rsidP="000D1EBD">
            <w:pPr>
              <w:contextualSpacing/>
              <w:rPr>
                <w:rFonts w:ascii="Arial Narrow" w:hAnsi="Arial Narrow" w:cs="Times New Roman"/>
              </w:rPr>
            </w:pPr>
            <w:r>
              <w:rPr>
                <w:rFonts w:ascii="Arial Narrow" w:hAnsi="Arial Narrow" w:cs="Times New Roman"/>
              </w:rPr>
              <w:t>72.2</w:t>
            </w:r>
          </w:p>
        </w:tc>
      </w:tr>
      <w:tr w:rsidR="00294019" w14:paraId="1DE8F99B" w14:textId="77777777" w:rsidTr="000D1EBD">
        <w:trPr>
          <w:trHeight w:val="237"/>
        </w:trPr>
        <w:tc>
          <w:tcPr>
            <w:tcW w:w="2445" w:type="dxa"/>
            <w:tcBorders>
              <w:top w:val="single" w:sz="4" w:space="0" w:color="auto"/>
              <w:left w:val="single" w:sz="4" w:space="0" w:color="auto"/>
              <w:bottom w:val="single" w:sz="4" w:space="0" w:color="auto"/>
              <w:right w:val="single" w:sz="4" w:space="0" w:color="auto"/>
            </w:tcBorders>
            <w:hideMark/>
          </w:tcPr>
          <w:p w14:paraId="447F7B4C" w14:textId="77777777" w:rsidR="00294019" w:rsidRDefault="00294019" w:rsidP="000D1EBD">
            <w:pPr>
              <w:contextualSpacing/>
              <w:rPr>
                <w:rFonts w:ascii="Arial Narrow" w:hAnsi="Arial Narrow" w:cs="Times New Roman"/>
              </w:rPr>
            </w:pPr>
            <w:r>
              <w:rPr>
                <w:rFonts w:ascii="Arial Narrow" w:hAnsi="Arial Narrow" w:cs="Times New Roman"/>
              </w:rPr>
              <w:t>Indonesia</w:t>
            </w:r>
          </w:p>
        </w:tc>
        <w:tc>
          <w:tcPr>
            <w:tcW w:w="2387" w:type="dxa"/>
            <w:tcBorders>
              <w:top w:val="single" w:sz="4" w:space="0" w:color="auto"/>
              <w:left w:val="single" w:sz="4" w:space="0" w:color="auto"/>
              <w:bottom w:val="single" w:sz="4" w:space="0" w:color="auto"/>
              <w:right w:val="single" w:sz="4" w:space="0" w:color="auto"/>
            </w:tcBorders>
            <w:hideMark/>
          </w:tcPr>
          <w:p w14:paraId="69A9E75A" w14:textId="77777777" w:rsidR="00294019" w:rsidRDefault="00294019" w:rsidP="000D1EBD">
            <w:pPr>
              <w:contextualSpacing/>
              <w:rPr>
                <w:rFonts w:ascii="Arial Narrow" w:hAnsi="Arial Narrow" w:cs="Times New Roman"/>
              </w:rPr>
            </w:pPr>
            <w:r>
              <w:rPr>
                <w:rFonts w:ascii="Arial Narrow" w:hAnsi="Arial Narrow" w:cs="Times New Roman"/>
              </w:rPr>
              <w:t>37</w:t>
            </w:r>
          </w:p>
        </w:tc>
        <w:tc>
          <w:tcPr>
            <w:tcW w:w="1999" w:type="dxa"/>
            <w:tcBorders>
              <w:top w:val="single" w:sz="4" w:space="0" w:color="auto"/>
              <w:left w:val="single" w:sz="4" w:space="0" w:color="auto"/>
              <w:bottom w:val="single" w:sz="4" w:space="0" w:color="auto"/>
              <w:right w:val="single" w:sz="4" w:space="0" w:color="auto"/>
            </w:tcBorders>
            <w:hideMark/>
          </w:tcPr>
          <w:p w14:paraId="361D523F" w14:textId="77777777" w:rsidR="00294019" w:rsidRDefault="00294019" w:rsidP="000D1EBD">
            <w:pPr>
              <w:contextualSpacing/>
              <w:rPr>
                <w:rFonts w:ascii="Arial Narrow" w:hAnsi="Arial Narrow" w:cs="Times New Roman"/>
              </w:rPr>
            </w:pPr>
            <w:r>
              <w:rPr>
                <w:rFonts w:ascii="Arial Narrow" w:hAnsi="Arial Narrow" w:cs="Times New Roman"/>
              </w:rPr>
              <w:t>64.3</w:t>
            </w:r>
          </w:p>
        </w:tc>
      </w:tr>
      <w:tr w:rsidR="00294019" w14:paraId="57C484F9" w14:textId="77777777" w:rsidTr="000D1EBD">
        <w:trPr>
          <w:trHeight w:val="237"/>
        </w:trPr>
        <w:tc>
          <w:tcPr>
            <w:tcW w:w="2445" w:type="dxa"/>
            <w:tcBorders>
              <w:top w:val="single" w:sz="4" w:space="0" w:color="auto"/>
              <w:left w:val="single" w:sz="4" w:space="0" w:color="auto"/>
              <w:bottom w:val="single" w:sz="4" w:space="0" w:color="auto"/>
              <w:right w:val="single" w:sz="4" w:space="0" w:color="auto"/>
            </w:tcBorders>
            <w:hideMark/>
          </w:tcPr>
          <w:p w14:paraId="0DBC6410" w14:textId="77777777" w:rsidR="00294019" w:rsidRDefault="00294019" w:rsidP="000D1EBD">
            <w:pPr>
              <w:contextualSpacing/>
              <w:rPr>
                <w:rFonts w:ascii="Arial Narrow" w:hAnsi="Arial Narrow" w:cs="Times New Roman"/>
                <w:b/>
                <w:color w:val="0070C0"/>
              </w:rPr>
            </w:pPr>
            <w:r>
              <w:rPr>
                <w:rFonts w:ascii="Arial Narrow" w:hAnsi="Arial Narrow" w:cs="Times New Roman"/>
                <w:b/>
                <w:color w:val="0070C0"/>
              </w:rPr>
              <w:t>Philippines</w:t>
            </w:r>
          </w:p>
        </w:tc>
        <w:tc>
          <w:tcPr>
            <w:tcW w:w="2387" w:type="dxa"/>
            <w:tcBorders>
              <w:top w:val="single" w:sz="4" w:space="0" w:color="auto"/>
              <w:left w:val="single" w:sz="4" w:space="0" w:color="auto"/>
              <w:bottom w:val="single" w:sz="4" w:space="0" w:color="auto"/>
              <w:right w:val="single" w:sz="4" w:space="0" w:color="auto"/>
            </w:tcBorders>
            <w:hideMark/>
          </w:tcPr>
          <w:p w14:paraId="0F57687F" w14:textId="77777777" w:rsidR="00294019" w:rsidRDefault="00294019" w:rsidP="000D1EBD">
            <w:pPr>
              <w:contextualSpacing/>
              <w:rPr>
                <w:rFonts w:ascii="Arial Narrow" w:hAnsi="Arial Narrow" w:cs="Times New Roman"/>
                <w:b/>
                <w:color w:val="0070C0"/>
              </w:rPr>
            </w:pPr>
            <w:r>
              <w:rPr>
                <w:rFonts w:ascii="Arial Narrow" w:hAnsi="Arial Narrow" w:cs="Times New Roman"/>
                <w:b/>
                <w:color w:val="0070C0"/>
              </w:rPr>
              <w:t>42</w:t>
            </w:r>
          </w:p>
        </w:tc>
        <w:tc>
          <w:tcPr>
            <w:tcW w:w="1999" w:type="dxa"/>
            <w:tcBorders>
              <w:top w:val="single" w:sz="4" w:space="0" w:color="auto"/>
              <w:left w:val="single" w:sz="4" w:space="0" w:color="auto"/>
              <w:bottom w:val="single" w:sz="4" w:space="0" w:color="auto"/>
              <w:right w:val="single" w:sz="4" w:space="0" w:color="auto"/>
            </w:tcBorders>
            <w:hideMark/>
          </w:tcPr>
          <w:p w14:paraId="275089D5" w14:textId="77777777" w:rsidR="00294019" w:rsidRDefault="00294019" w:rsidP="000D1EBD">
            <w:pPr>
              <w:contextualSpacing/>
              <w:rPr>
                <w:rFonts w:ascii="Arial Narrow" w:hAnsi="Arial Narrow" w:cs="Times New Roman"/>
                <w:b/>
                <w:color w:val="0070C0"/>
              </w:rPr>
            </w:pPr>
            <w:r>
              <w:rPr>
                <w:rFonts w:ascii="Arial Narrow" w:hAnsi="Arial Narrow" w:cs="Times New Roman"/>
                <w:b/>
                <w:color w:val="0070C0"/>
              </w:rPr>
              <w:t>61.3</w:t>
            </w:r>
          </w:p>
        </w:tc>
      </w:tr>
      <w:tr w:rsidR="00294019" w14:paraId="2E6ACA97" w14:textId="77777777" w:rsidTr="000D1EBD">
        <w:trPr>
          <w:trHeight w:val="244"/>
        </w:trPr>
        <w:tc>
          <w:tcPr>
            <w:tcW w:w="2445" w:type="dxa"/>
            <w:tcBorders>
              <w:top w:val="single" w:sz="4" w:space="0" w:color="auto"/>
              <w:left w:val="single" w:sz="4" w:space="0" w:color="auto"/>
              <w:bottom w:val="single" w:sz="4" w:space="0" w:color="auto"/>
              <w:right w:val="single" w:sz="4" w:space="0" w:color="auto"/>
            </w:tcBorders>
            <w:hideMark/>
          </w:tcPr>
          <w:p w14:paraId="292E2112" w14:textId="77777777" w:rsidR="00294019" w:rsidRDefault="00294019" w:rsidP="000D1EBD">
            <w:pPr>
              <w:contextualSpacing/>
              <w:rPr>
                <w:rFonts w:ascii="Arial Narrow" w:hAnsi="Arial Narrow" w:cs="Times New Roman"/>
              </w:rPr>
            </w:pPr>
            <w:r>
              <w:rPr>
                <w:rFonts w:ascii="Arial Narrow" w:hAnsi="Arial Narrow" w:cs="Times New Roman"/>
              </w:rPr>
              <w:t>Vietnam</w:t>
            </w:r>
          </w:p>
        </w:tc>
        <w:tc>
          <w:tcPr>
            <w:tcW w:w="2387" w:type="dxa"/>
            <w:tcBorders>
              <w:top w:val="single" w:sz="4" w:space="0" w:color="auto"/>
              <w:left w:val="single" w:sz="4" w:space="0" w:color="auto"/>
              <w:bottom w:val="single" w:sz="4" w:space="0" w:color="auto"/>
              <w:right w:val="single" w:sz="4" w:space="0" w:color="auto"/>
            </w:tcBorders>
            <w:hideMark/>
          </w:tcPr>
          <w:p w14:paraId="69B7767E" w14:textId="77777777" w:rsidR="00294019" w:rsidRDefault="00294019" w:rsidP="000D1EBD">
            <w:pPr>
              <w:contextualSpacing/>
              <w:rPr>
                <w:rFonts w:ascii="Arial Narrow" w:hAnsi="Arial Narrow" w:cs="Times New Roman"/>
              </w:rPr>
            </w:pPr>
            <w:r>
              <w:rPr>
                <w:rFonts w:ascii="Arial Narrow" w:hAnsi="Arial Narrow" w:cs="Times New Roman"/>
              </w:rPr>
              <w:t>43</w:t>
            </w:r>
          </w:p>
        </w:tc>
        <w:tc>
          <w:tcPr>
            <w:tcW w:w="1999" w:type="dxa"/>
            <w:tcBorders>
              <w:top w:val="single" w:sz="4" w:space="0" w:color="auto"/>
              <w:left w:val="single" w:sz="4" w:space="0" w:color="auto"/>
              <w:bottom w:val="single" w:sz="4" w:space="0" w:color="auto"/>
              <w:right w:val="single" w:sz="4" w:space="0" w:color="auto"/>
            </w:tcBorders>
            <w:hideMark/>
          </w:tcPr>
          <w:p w14:paraId="3E49C080" w14:textId="77777777" w:rsidR="00294019" w:rsidRDefault="00294019" w:rsidP="000D1EBD">
            <w:pPr>
              <w:contextualSpacing/>
              <w:rPr>
                <w:rFonts w:ascii="Arial Narrow" w:hAnsi="Arial Narrow" w:cs="Times New Roman"/>
              </w:rPr>
            </w:pPr>
            <w:r>
              <w:rPr>
                <w:rFonts w:ascii="Arial Narrow" w:hAnsi="Arial Narrow" w:cs="Times New Roman"/>
              </w:rPr>
              <w:t>60.7</w:t>
            </w:r>
          </w:p>
        </w:tc>
      </w:tr>
      <w:tr w:rsidR="00294019" w14:paraId="21561BCC" w14:textId="77777777" w:rsidTr="000D1EBD">
        <w:trPr>
          <w:trHeight w:val="39"/>
        </w:trPr>
        <w:tc>
          <w:tcPr>
            <w:tcW w:w="2445" w:type="dxa"/>
            <w:tcBorders>
              <w:top w:val="single" w:sz="4" w:space="0" w:color="auto"/>
              <w:left w:val="single" w:sz="4" w:space="0" w:color="auto"/>
              <w:bottom w:val="single" w:sz="4" w:space="0" w:color="auto"/>
              <w:right w:val="single" w:sz="4" w:space="0" w:color="auto"/>
            </w:tcBorders>
            <w:hideMark/>
          </w:tcPr>
          <w:p w14:paraId="51EABF66" w14:textId="77777777" w:rsidR="00294019" w:rsidRDefault="00294019" w:rsidP="000D1EBD">
            <w:pPr>
              <w:contextualSpacing/>
              <w:rPr>
                <w:rFonts w:ascii="Arial Narrow" w:hAnsi="Arial Narrow" w:cs="Times New Roman"/>
              </w:rPr>
            </w:pPr>
            <w:r>
              <w:rPr>
                <w:rFonts w:ascii="Arial Narrow" w:hAnsi="Arial Narrow" w:cs="Times New Roman"/>
              </w:rPr>
              <w:t>Kenya</w:t>
            </w:r>
          </w:p>
        </w:tc>
        <w:tc>
          <w:tcPr>
            <w:tcW w:w="2387" w:type="dxa"/>
            <w:tcBorders>
              <w:top w:val="single" w:sz="4" w:space="0" w:color="auto"/>
              <w:left w:val="single" w:sz="4" w:space="0" w:color="auto"/>
              <w:bottom w:val="single" w:sz="4" w:space="0" w:color="auto"/>
              <w:right w:val="single" w:sz="4" w:space="0" w:color="auto"/>
            </w:tcBorders>
            <w:hideMark/>
          </w:tcPr>
          <w:p w14:paraId="35BD7CE7" w14:textId="77777777" w:rsidR="00294019" w:rsidRDefault="00294019" w:rsidP="000D1EBD">
            <w:pPr>
              <w:contextualSpacing/>
              <w:rPr>
                <w:rFonts w:ascii="Arial Narrow" w:hAnsi="Arial Narrow" w:cs="Times New Roman"/>
              </w:rPr>
            </w:pPr>
            <w:r>
              <w:rPr>
                <w:rFonts w:ascii="Arial Narrow" w:hAnsi="Arial Narrow" w:cs="Times New Roman"/>
              </w:rPr>
              <w:t>53</w:t>
            </w:r>
          </w:p>
        </w:tc>
        <w:tc>
          <w:tcPr>
            <w:tcW w:w="1999" w:type="dxa"/>
            <w:tcBorders>
              <w:top w:val="single" w:sz="4" w:space="0" w:color="auto"/>
              <w:left w:val="single" w:sz="4" w:space="0" w:color="auto"/>
              <w:bottom w:val="single" w:sz="4" w:space="0" w:color="auto"/>
              <w:right w:val="single" w:sz="4" w:space="0" w:color="auto"/>
            </w:tcBorders>
            <w:hideMark/>
          </w:tcPr>
          <w:p w14:paraId="416D8362" w14:textId="77777777" w:rsidR="00294019" w:rsidRDefault="00294019" w:rsidP="000D1EBD">
            <w:pPr>
              <w:contextualSpacing/>
              <w:rPr>
                <w:rFonts w:ascii="Arial Narrow" w:hAnsi="Arial Narrow" w:cs="Times New Roman"/>
              </w:rPr>
            </w:pPr>
            <w:r>
              <w:rPr>
                <w:rFonts w:ascii="Arial Narrow" w:hAnsi="Arial Narrow" w:cs="Times New Roman"/>
              </w:rPr>
              <w:t>57.6</w:t>
            </w:r>
          </w:p>
        </w:tc>
      </w:tr>
      <w:tr w:rsidR="00294019" w14:paraId="4260F8F2" w14:textId="77777777" w:rsidTr="000D1EBD">
        <w:trPr>
          <w:trHeight w:val="39"/>
        </w:trPr>
        <w:tc>
          <w:tcPr>
            <w:tcW w:w="2445" w:type="dxa"/>
            <w:tcBorders>
              <w:top w:val="single" w:sz="4" w:space="0" w:color="auto"/>
              <w:left w:val="single" w:sz="4" w:space="0" w:color="auto"/>
              <w:bottom w:val="single" w:sz="4" w:space="0" w:color="auto"/>
              <w:right w:val="single" w:sz="4" w:space="0" w:color="auto"/>
            </w:tcBorders>
            <w:hideMark/>
          </w:tcPr>
          <w:p w14:paraId="7F7528BD" w14:textId="77777777" w:rsidR="00294019" w:rsidRDefault="00294019" w:rsidP="000D1EBD">
            <w:pPr>
              <w:contextualSpacing/>
              <w:rPr>
                <w:rFonts w:ascii="Arial Narrow" w:hAnsi="Arial Narrow" w:cs="Times New Roman"/>
              </w:rPr>
            </w:pPr>
            <w:r>
              <w:rPr>
                <w:rFonts w:ascii="Arial Narrow" w:hAnsi="Arial Narrow" w:cs="Times New Roman"/>
              </w:rPr>
              <w:t>Sri Lanka</w:t>
            </w:r>
          </w:p>
        </w:tc>
        <w:tc>
          <w:tcPr>
            <w:tcW w:w="2387" w:type="dxa"/>
            <w:tcBorders>
              <w:top w:val="single" w:sz="4" w:space="0" w:color="auto"/>
              <w:left w:val="single" w:sz="4" w:space="0" w:color="auto"/>
              <w:bottom w:val="single" w:sz="4" w:space="0" w:color="auto"/>
              <w:right w:val="single" w:sz="4" w:space="0" w:color="auto"/>
            </w:tcBorders>
            <w:hideMark/>
          </w:tcPr>
          <w:p w14:paraId="4CA8CD60" w14:textId="77777777" w:rsidR="00294019" w:rsidRDefault="00294019" w:rsidP="000D1EBD">
            <w:pPr>
              <w:contextualSpacing/>
              <w:rPr>
                <w:rFonts w:ascii="Arial Narrow" w:hAnsi="Arial Narrow" w:cs="Times New Roman"/>
              </w:rPr>
            </w:pPr>
            <w:r>
              <w:rPr>
                <w:rFonts w:ascii="Arial Narrow" w:hAnsi="Arial Narrow" w:cs="Times New Roman"/>
              </w:rPr>
              <w:t>55</w:t>
            </w:r>
          </w:p>
        </w:tc>
        <w:tc>
          <w:tcPr>
            <w:tcW w:w="1999" w:type="dxa"/>
            <w:tcBorders>
              <w:top w:val="single" w:sz="4" w:space="0" w:color="auto"/>
              <w:left w:val="single" w:sz="4" w:space="0" w:color="auto"/>
              <w:bottom w:val="single" w:sz="4" w:space="0" w:color="auto"/>
              <w:right w:val="single" w:sz="4" w:space="0" w:color="auto"/>
            </w:tcBorders>
            <w:hideMark/>
          </w:tcPr>
          <w:p w14:paraId="02DBB951" w14:textId="77777777" w:rsidR="00294019" w:rsidRDefault="00294019" w:rsidP="000D1EBD">
            <w:pPr>
              <w:contextualSpacing/>
              <w:rPr>
                <w:rFonts w:ascii="Arial Narrow" w:hAnsi="Arial Narrow" w:cs="Times New Roman"/>
              </w:rPr>
            </w:pPr>
            <w:r>
              <w:rPr>
                <w:rFonts w:ascii="Arial Narrow" w:hAnsi="Arial Narrow" w:cs="Times New Roman"/>
              </w:rPr>
              <w:t>57.3</w:t>
            </w:r>
          </w:p>
        </w:tc>
      </w:tr>
      <w:tr w:rsidR="00294019" w14:paraId="27351B5F" w14:textId="77777777" w:rsidTr="000D1EBD">
        <w:trPr>
          <w:trHeight w:val="39"/>
        </w:trPr>
        <w:tc>
          <w:tcPr>
            <w:tcW w:w="2445" w:type="dxa"/>
            <w:tcBorders>
              <w:top w:val="single" w:sz="4" w:space="0" w:color="auto"/>
              <w:left w:val="single" w:sz="4" w:space="0" w:color="auto"/>
              <w:bottom w:val="single" w:sz="4" w:space="0" w:color="auto"/>
              <w:right w:val="single" w:sz="4" w:space="0" w:color="auto"/>
            </w:tcBorders>
            <w:hideMark/>
          </w:tcPr>
          <w:p w14:paraId="1D3B2F50" w14:textId="77777777" w:rsidR="00294019" w:rsidRDefault="00294019" w:rsidP="000D1EBD">
            <w:pPr>
              <w:contextualSpacing/>
              <w:rPr>
                <w:rFonts w:ascii="Arial Narrow" w:hAnsi="Arial Narrow" w:cs="Times New Roman"/>
              </w:rPr>
            </w:pPr>
            <w:r>
              <w:rPr>
                <w:rFonts w:ascii="Arial Narrow" w:hAnsi="Arial Narrow" w:cs="Times New Roman"/>
              </w:rPr>
              <w:t>Pakistan</w:t>
            </w:r>
          </w:p>
        </w:tc>
        <w:tc>
          <w:tcPr>
            <w:tcW w:w="2387" w:type="dxa"/>
            <w:tcBorders>
              <w:top w:val="single" w:sz="4" w:space="0" w:color="auto"/>
              <w:left w:val="single" w:sz="4" w:space="0" w:color="auto"/>
              <w:bottom w:val="single" w:sz="4" w:space="0" w:color="auto"/>
              <w:right w:val="single" w:sz="4" w:space="0" w:color="auto"/>
            </w:tcBorders>
            <w:hideMark/>
          </w:tcPr>
          <w:p w14:paraId="0292E0EA" w14:textId="77777777" w:rsidR="00294019" w:rsidRDefault="00294019" w:rsidP="000D1EBD">
            <w:pPr>
              <w:contextualSpacing/>
              <w:rPr>
                <w:rFonts w:ascii="Arial Narrow" w:hAnsi="Arial Narrow" w:cs="Times New Roman"/>
              </w:rPr>
            </w:pPr>
            <w:r>
              <w:rPr>
                <w:rFonts w:ascii="Arial Narrow" w:hAnsi="Arial Narrow" w:cs="Times New Roman"/>
              </w:rPr>
              <w:t>63</w:t>
            </w:r>
          </w:p>
        </w:tc>
        <w:tc>
          <w:tcPr>
            <w:tcW w:w="1999" w:type="dxa"/>
            <w:tcBorders>
              <w:top w:val="single" w:sz="4" w:space="0" w:color="auto"/>
              <w:left w:val="single" w:sz="4" w:space="0" w:color="auto"/>
              <w:bottom w:val="single" w:sz="4" w:space="0" w:color="auto"/>
              <w:right w:val="single" w:sz="4" w:space="0" w:color="auto"/>
            </w:tcBorders>
            <w:hideMark/>
          </w:tcPr>
          <w:p w14:paraId="57CB241C" w14:textId="77777777" w:rsidR="00294019" w:rsidRDefault="00294019" w:rsidP="000D1EBD">
            <w:pPr>
              <w:contextualSpacing/>
              <w:rPr>
                <w:rFonts w:ascii="Arial Narrow" w:hAnsi="Arial Narrow" w:cs="Times New Roman"/>
              </w:rPr>
            </w:pPr>
            <w:r>
              <w:rPr>
                <w:rFonts w:ascii="Arial Narrow" w:hAnsi="Arial Narrow" w:cs="Times New Roman"/>
              </w:rPr>
              <w:t>53.2</w:t>
            </w:r>
          </w:p>
        </w:tc>
      </w:tr>
      <w:tr w:rsidR="00294019" w14:paraId="2604AB85" w14:textId="77777777" w:rsidTr="000D1EBD">
        <w:trPr>
          <w:trHeight w:val="39"/>
        </w:trPr>
        <w:tc>
          <w:tcPr>
            <w:tcW w:w="2445" w:type="dxa"/>
            <w:tcBorders>
              <w:top w:val="single" w:sz="4" w:space="0" w:color="auto"/>
              <w:left w:val="single" w:sz="4" w:space="0" w:color="auto"/>
              <w:bottom w:val="single" w:sz="4" w:space="0" w:color="auto"/>
              <w:right w:val="single" w:sz="4" w:space="0" w:color="auto"/>
            </w:tcBorders>
            <w:hideMark/>
          </w:tcPr>
          <w:p w14:paraId="3B67C3C9" w14:textId="77777777" w:rsidR="00294019" w:rsidRDefault="00294019" w:rsidP="000D1EBD">
            <w:pPr>
              <w:contextualSpacing/>
              <w:rPr>
                <w:rFonts w:ascii="Arial Narrow" w:hAnsi="Arial Narrow" w:cs="Times New Roman"/>
              </w:rPr>
            </w:pPr>
            <w:r>
              <w:rPr>
                <w:rFonts w:ascii="Arial Narrow" w:hAnsi="Arial Narrow" w:cs="Times New Roman"/>
              </w:rPr>
              <w:t>Morocco</w:t>
            </w:r>
          </w:p>
        </w:tc>
        <w:tc>
          <w:tcPr>
            <w:tcW w:w="2387" w:type="dxa"/>
            <w:tcBorders>
              <w:top w:val="single" w:sz="4" w:space="0" w:color="auto"/>
              <w:left w:val="single" w:sz="4" w:space="0" w:color="auto"/>
              <w:bottom w:val="single" w:sz="4" w:space="0" w:color="auto"/>
              <w:right w:val="single" w:sz="4" w:space="0" w:color="auto"/>
            </w:tcBorders>
            <w:hideMark/>
          </w:tcPr>
          <w:p w14:paraId="16CEB94F" w14:textId="77777777" w:rsidR="00294019" w:rsidRDefault="00294019" w:rsidP="000D1EBD">
            <w:pPr>
              <w:contextualSpacing/>
              <w:rPr>
                <w:rFonts w:ascii="Arial Narrow" w:hAnsi="Arial Narrow" w:cs="Times New Roman"/>
              </w:rPr>
            </w:pPr>
            <w:r>
              <w:rPr>
                <w:rFonts w:ascii="Arial Narrow" w:hAnsi="Arial Narrow" w:cs="Times New Roman"/>
              </w:rPr>
              <w:t>64</w:t>
            </w:r>
          </w:p>
        </w:tc>
        <w:tc>
          <w:tcPr>
            <w:tcW w:w="1999" w:type="dxa"/>
            <w:tcBorders>
              <w:top w:val="single" w:sz="4" w:space="0" w:color="auto"/>
              <w:left w:val="single" w:sz="4" w:space="0" w:color="auto"/>
              <w:bottom w:val="single" w:sz="4" w:space="0" w:color="auto"/>
              <w:right w:val="single" w:sz="4" w:space="0" w:color="auto"/>
            </w:tcBorders>
            <w:hideMark/>
          </w:tcPr>
          <w:p w14:paraId="13A7C386" w14:textId="77777777" w:rsidR="00294019" w:rsidRDefault="00294019" w:rsidP="000D1EBD">
            <w:pPr>
              <w:contextualSpacing/>
              <w:rPr>
                <w:rFonts w:ascii="Arial Narrow" w:hAnsi="Arial Narrow" w:cs="Times New Roman"/>
              </w:rPr>
            </w:pPr>
            <w:r>
              <w:rPr>
                <w:rFonts w:ascii="Arial Narrow" w:hAnsi="Arial Narrow" w:cs="Times New Roman"/>
              </w:rPr>
              <w:t>52.9</w:t>
            </w:r>
          </w:p>
        </w:tc>
      </w:tr>
    </w:tbl>
    <w:p w14:paraId="1C34DDDE" w14:textId="77777777" w:rsidR="00294019" w:rsidRDefault="00294019" w:rsidP="00294019">
      <w:pPr>
        <w:jc w:val="both"/>
        <w:rPr>
          <w:rFonts w:ascii="Arial Narrow" w:hAnsi="Arial Narrow" w:cs="Times New Roman"/>
          <w:sz w:val="16"/>
          <w:szCs w:val="16"/>
        </w:rPr>
      </w:pPr>
      <w:r>
        <w:rPr>
          <w:rFonts w:cs="Times New Roman"/>
          <w:sz w:val="24"/>
          <w:szCs w:val="24"/>
        </w:rPr>
        <w:tab/>
      </w:r>
      <w:r>
        <w:rPr>
          <w:rFonts w:cs="Times New Roman"/>
          <w:sz w:val="24"/>
          <w:szCs w:val="24"/>
        </w:rPr>
        <w:tab/>
      </w:r>
      <w:r>
        <w:rPr>
          <w:rFonts w:ascii="Arial Narrow" w:hAnsi="Arial Narrow" w:cs="Times New Roman"/>
          <w:sz w:val="16"/>
          <w:szCs w:val="16"/>
        </w:rPr>
        <w:t xml:space="preserve">Source: Groh A et al (2018) </w:t>
      </w:r>
      <w:r>
        <w:rPr>
          <w:rFonts w:ascii="Arial Narrow" w:hAnsi="Arial Narrow" w:cs="Times New Roman"/>
          <w:i/>
          <w:sz w:val="16"/>
          <w:szCs w:val="16"/>
        </w:rPr>
        <w:t>Global Venture Capital and Private Equity. *Covers 125 countries.</w:t>
      </w:r>
    </w:p>
    <w:p w14:paraId="4CCE9347" w14:textId="3B0812D0" w:rsidR="00EB34D0" w:rsidRDefault="00D177BF" w:rsidP="00294019">
      <w:pPr>
        <w:pStyle w:val="Heading4"/>
      </w:pPr>
      <w:r>
        <w:t>Skills</w:t>
      </w:r>
    </w:p>
    <w:p w14:paraId="7D123C88" w14:textId="47E7E8E8" w:rsidR="00967FB5" w:rsidRDefault="00EB34D0" w:rsidP="00EB34D0">
      <w:pPr>
        <w:pStyle w:val="ListParagraph"/>
        <w:numPr>
          <w:ilvl w:val="0"/>
          <w:numId w:val="50"/>
        </w:numPr>
        <w:jc w:val="both"/>
        <w:rPr>
          <w:rFonts w:eastAsia="Malgun Gothic" w:cs="Times New Roman"/>
          <w:lang w:eastAsia="ko-KR"/>
        </w:rPr>
      </w:pPr>
      <w:r w:rsidRPr="009249D1">
        <w:rPr>
          <w:rFonts w:eastAsia="Malgun Gothic" w:cs="Times New Roman"/>
          <w:b/>
          <w:lang w:eastAsia="ko-KR"/>
        </w:rPr>
        <w:t>Skill mismatch also pose a barrier in realizing productivity growth.</w:t>
      </w:r>
      <w:r w:rsidRPr="009249D1">
        <w:rPr>
          <w:rFonts w:eastAsia="Malgun Gothic" w:cs="Times New Roman"/>
          <w:lang w:eastAsia="ko-KR"/>
        </w:rPr>
        <w:t xml:space="preserve"> In addition to restrictive labor regulations and high labor costs, skills mismatch further exacerbates labor market issues in the Philippine. While firms in the Philippines are less likely to report workforce skills as an obstacle to doing business, there was an increase in the number of firms that reported inadequate workforce skills.</w:t>
      </w:r>
      <w:r w:rsidR="00DD6D4F">
        <w:rPr>
          <w:rStyle w:val="EndnoteReference"/>
          <w:rFonts w:eastAsia="Malgun Gothic" w:cs="Times New Roman"/>
          <w:lang w:eastAsia="ko-KR"/>
        </w:rPr>
        <w:endnoteReference w:id="42"/>
      </w:r>
      <w:r w:rsidRPr="009249D1">
        <w:rPr>
          <w:rFonts w:eastAsia="Malgun Gothic" w:cs="Times New Roman"/>
          <w:lang w:eastAsia="ko-KR"/>
        </w:rPr>
        <w:t xml:space="preserve"> </w:t>
      </w:r>
    </w:p>
    <w:p w14:paraId="249365BB" w14:textId="44E6AAC9" w:rsidR="00DD6D4F" w:rsidRDefault="00967FB5" w:rsidP="00967FB5">
      <w:pPr>
        <w:pStyle w:val="ListParagraph"/>
        <w:ind w:left="360"/>
        <w:jc w:val="both"/>
        <w:rPr>
          <w:rFonts w:eastAsia="Malgun Gothic" w:cs="Times New Roman"/>
          <w:lang w:eastAsia="ko-KR"/>
        </w:rPr>
      </w:pPr>
      <w:r w:rsidRPr="00DD6D4F">
        <w:rPr>
          <w:rFonts w:eastAsia="Malgun Gothic" w:cs="Times New Roman"/>
          <w:lang w:eastAsia="ko-KR"/>
        </w:rPr>
        <w:t>About one-third of employers reported having unfilled vacancies due to a lack of applicants with the necessary skill set. Most of these missing skills are not forms of academic knowledge or technical acumen, but rather socio-emotional skills.  Moreover, inadequate experience among applicants and a lack of applicants for the advertised position are among the most frequently cited reasons for unfilled vacancies. Workers with completed tertiary education spend an average of 5.5 weeks searching for a job, far longer than the average time spent by workers with lower education level. Unemployment rates also increase with education level. About 80 percent unemployed workers have a completed secondary education or higher.</w:t>
      </w:r>
      <w:r w:rsidR="00DD6D4F">
        <w:rPr>
          <w:rFonts w:eastAsia="Malgun Gothic" w:cs="Times New Roman"/>
          <w:lang w:eastAsia="ko-KR"/>
        </w:rPr>
        <w:t xml:space="preserve"> </w:t>
      </w:r>
      <w:r w:rsidR="00DD6D4F" w:rsidRPr="00DD6D4F">
        <w:rPr>
          <w:rFonts w:eastAsia="Malgun Gothic" w:cs="Times New Roman"/>
          <w:lang w:eastAsia="ko-KR"/>
        </w:rPr>
        <w:t>Another issue of concern is the outflow of skilled labor in the Philippines. There is evidence of a shortage of skilled jobs, which may provide a plausible explanation to a larger share of emigrants relative to country peers.</w:t>
      </w:r>
      <w:r w:rsidR="00DD6D4F">
        <w:rPr>
          <w:rFonts w:eastAsia="Malgun Gothic" w:cs="Times New Roman"/>
          <w:lang w:eastAsia="ko-KR"/>
        </w:rPr>
        <w:t xml:space="preserve"> Additionally,</w:t>
      </w:r>
      <w:r w:rsidR="00EB34D0" w:rsidRPr="009249D1">
        <w:rPr>
          <w:rFonts w:eastAsia="Malgun Gothic" w:cs="Times New Roman"/>
          <w:lang w:eastAsia="ko-KR"/>
        </w:rPr>
        <w:t xml:space="preserve"> emphasis on skills that enable technologies for the workers are worthwhile to consider as this may pose a future problem. </w:t>
      </w:r>
    </w:p>
    <w:p w14:paraId="4F97ECE9" w14:textId="77777777" w:rsidR="00EB34D0" w:rsidRPr="00C75E7E" w:rsidRDefault="00EB34D0" w:rsidP="00EB34D0">
      <w:pPr>
        <w:pStyle w:val="ListParagraph"/>
        <w:rPr>
          <w:rFonts w:eastAsia="Malgun Gothic" w:cs="Times New Roman"/>
          <w:lang w:eastAsia="ko-KR"/>
        </w:rPr>
      </w:pPr>
    </w:p>
    <w:p w14:paraId="12688B93" w14:textId="12A23957" w:rsidR="00EB34D0" w:rsidRPr="00C75E7E" w:rsidRDefault="00EB34D0" w:rsidP="00EB34D0">
      <w:pPr>
        <w:pStyle w:val="ListParagraph"/>
        <w:numPr>
          <w:ilvl w:val="0"/>
          <w:numId w:val="50"/>
        </w:numPr>
        <w:jc w:val="both"/>
        <w:rPr>
          <w:rFonts w:eastAsia="Malgun Gothic" w:cs="Times New Roman"/>
          <w:lang w:eastAsia="ko-KR"/>
        </w:rPr>
      </w:pPr>
      <w:r w:rsidRPr="00DD6D4F">
        <w:rPr>
          <w:rFonts w:eastAsia="Malgun Gothic" w:cs="Times New Roman"/>
          <w:b/>
          <w:lang w:eastAsia="ko-KR"/>
        </w:rPr>
        <w:t>Repatriating Filipinos can be a source of knowledge transfer to improve the knowledge base and skills of the workforce.</w:t>
      </w:r>
      <w:r w:rsidRPr="00C75E7E">
        <w:rPr>
          <w:rFonts w:eastAsia="Malgun Gothic" w:cs="Times New Roman"/>
          <w:lang w:eastAsia="ko-KR"/>
        </w:rPr>
        <w:t xml:space="preserve"> Repatriating citizens are part of a diaspora community that often holds some of the top talent, and they contribute to startup and job creation in the local environment. Many governments in emerging economies are implementing programs and initiatives to re-engage their respective diaspora communities. For example</w:t>
      </w:r>
      <w:r w:rsidR="00DD6D4F">
        <w:rPr>
          <w:rFonts w:eastAsia="Malgun Gothic" w:cs="Times New Roman"/>
          <w:lang w:eastAsia="ko-KR"/>
        </w:rPr>
        <w:t>,</w:t>
      </w:r>
      <w:r w:rsidRPr="00C75E7E">
        <w:rPr>
          <w:rFonts w:eastAsia="Malgun Gothic" w:cs="Times New Roman"/>
          <w:lang w:eastAsia="ko-KR"/>
        </w:rPr>
        <w:t xml:space="preserve"> in 2008 the Chinese government enacted the Thousand Talents program to incentivize overseas Chinese “global experts” (scholars and innovators), particularly in STEM, to work in China through financial, travel, residency, and a range of other benefits.  In India, diaspora members can apply for the Central Government’s Overseas Citizenship of India (OCI) status, which entails visa-free access to India, residency, participation in business and certain educational and financial, but not political benefits.  In the Philippines, Senate Bill 1324 or the </w:t>
      </w:r>
      <w:proofErr w:type="spellStart"/>
      <w:r w:rsidRPr="00C75E7E">
        <w:rPr>
          <w:rFonts w:eastAsia="Malgun Gothic" w:cs="Times New Roman"/>
          <w:lang w:eastAsia="ko-KR"/>
        </w:rPr>
        <w:t>Balik</w:t>
      </w:r>
      <w:proofErr w:type="spellEnd"/>
      <w:r w:rsidRPr="00C75E7E">
        <w:rPr>
          <w:rFonts w:eastAsia="Malgun Gothic" w:cs="Times New Roman"/>
          <w:lang w:eastAsia="ko-KR"/>
        </w:rPr>
        <w:t xml:space="preserve"> Scientist Act was introduced in early 2017, which sought to offer benefits, incentives and privileges to returning Filipino experts to share their expertise and knowledge. The Bill aims to spur scientific and technological advancements in the country, contribute to nation-building, and nurture inclusive growth. </w:t>
      </w:r>
    </w:p>
    <w:p w14:paraId="4FBF5394" w14:textId="77777777" w:rsidR="00EB34D0" w:rsidRPr="00C75E7E" w:rsidRDefault="00EB34D0" w:rsidP="00EB34D0">
      <w:pPr>
        <w:pStyle w:val="ListParagraph"/>
        <w:ind w:left="360"/>
        <w:jc w:val="both"/>
        <w:rPr>
          <w:rFonts w:eastAsia="Malgun Gothic" w:cs="Times New Roman"/>
          <w:lang w:eastAsia="ko-KR"/>
        </w:rPr>
      </w:pPr>
    </w:p>
    <w:p w14:paraId="79F6320C" w14:textId="77777777" w:rsidR="00EB34D0" w:rsidRPr="00C75E7E" w:rsidRDefault="00EB34D0" w:rsidP="00EB34D0">
      <w:pPr>
        <w:pStyle w:val="ListParagraph"/>
        <w:numPr>
          <w:ilvl w:val="0"/>
          <w:numId w:val="50"/>
        </w:numPr>
        <w:jc w:val="both"/>
        <w:rPr>
          <w:rFonts w:eastAsia="Malgun Gothic" w:cs="Times New Roman"/>
          <w:lang w:eastAsia="ko-KR"/>
        </w:rPr>
      </w:pPr>
      <w:r w:rsidRPr="00DD6D4F">
        <w:rPr>
          <w:rFonts w:eastAsia="Malgun Gothic" w:cs="Times New Roman"/>
          <w:b/>
          <w:lang w:eastAsia="ko-KR"/>
        </w:rPr>
        <w:t>Collaboration between the government and the private sector to address market skills needs can be enhanced.</w:t>
      </w:r>
      <w:r w:rsidRPr="00C75E7E">
        <w:rPr>
          <w:rFonts w:eastAsia="Malgun Gothic" w:cs="Times New Roman"/>
          <w:lang w:eastAsia="ko-KR"/>
        </w:rPr>
        <w:t xml:space="preserve"> Currently, DICT has been working to implement programs in high schools and universities to increase the number of coders throughout the Philippines to 10,000 by 2023 (thereby decreasing the skills gap in the country).  However, the means for improving education in technical areas needs to go beyond the government: while it is well-equipped to work on overhauling the entire education system to infuse a focus on digital skills throughout primary and secondary school curricula, it should not be working alone. This is another case where the private sector can play a role, not only through one-off hackathons and bootcamps, or training programs targeting older employees looking to up-skill, but through more partnerships with schools and universities. In Malaysia for example, Google partnered with local universities through its Ignite Program, which works with universities to provide thousands of students digital marketing training and giving them the opportunity to work directly with employers. </w:t>
      </w:r>
    </w:p>
    <w:p w14:paraId="74EAFC07" w14:textId="77777777" w:rsidR="00EB34D0" w:rsidRDefault="00EB34D0" w:rsidP="00EB34D0">
      <w:pPr>
        <w:pStyle w:val="ListParagraph"/>
        <w:ind w:left="360"/>
        <w:jc w:val="both"/>
        <w:rPr>
          <w:rFonts w:eastAsia="Malgun Gothic" w:cs="Times New Roman"/>
          <w:lang w:eastAsia="ko-KR"/>
        </w:rPr>
      </w:pPr>
    </w:p>
    <w:p w14:paraId="75D39A8A" w14:textId="77777777" w:rsidR="00EB34D0" w:rsidRPr="003964E8" w:rsidRDefault="00EB34D0" w:rsidP="00EB34D0">
      <w:pPr>
        <w:pStyle w:val="ListParagraph"/>
        <w:rPr>
          <w:rFonts w:eastAsia="Malgun Gothic" w:cs="Times New Roman"/>
          <w:lang w:eastAsia="ko-KR"/>
        </w:rPr>
      </w:pPr>
    </w:p>
    <w:p w14:paraId="2DB71CF9" w14:textId="77777777" w:rsidR="00450958" w:rsidRPr="00900DE9" w:rsidRDefault="00EB34D0" w:rsidP="00795EE0">
      <w:pPr>
        <w:pStyle w:val="ListParagraph"/>
        <w:numPr>
          <w:ilvl w:val="0"/>
          <w:numId w:val="48"/>
        </w:numPr>
        <w:jc w:val="both"/>
        <w:rPr>
          <w:b/>
        </w:rPr>
      </w:pPr>
      <w:r w:rsidRPr="00E32960">
        <w:rPr>
          <w:rFonts w:cs="Times New Roman"/>
          <w:b/>
        </w:rPr>
        <w:t xml:space="preserve">The Philippines has strong human capital that can support entrepreneurship. </w:t>
      </w:r>
      <w:r w:rsidRPr="00E32960">
        <w:rPr>
          <w:rFonts w:cs="Times New Roman"/>
        </w:rPr>
        <w:t xml:space="preserve">According to the 2018 </w:t>
      </w:r>
      <w:r w:rsidRPr="00E32960">
        <w:rPr>
          <w:rFonts w:cs="Times New Roman"/>
          <w:i/>
        </w:rPr>
        <w:t>Global Entrepreneurship Index</w:t>
      </w:r>
      <w:r w:rsidRPr="00E32960">
        <w:rPr>
          <w:rFonts w:cs="Times New Roman"/>
        </w:rPr>
        <w:t>, the Philippines ranks relatively well against its peers in terms of having well-trained entrepreneurs who are motivated by opportunity instead of necessity</w:t>
      </w:r>
      <w:r>
        <w:rPr>
          <w:rFonts w:cs="Times New Roman"/>
        </w:rPr>
        <w:t xml:space="preserve"> (</w:t>
      </w:r>
      <w:r w:rsidRPr="00466A54">
        <w:rPr>
          <w:rFonts w:cs="Times New Roman"/>
        </w:rPr>
        <w:fldChar w:fldCharType="begin"/>
      </w:r>
      <w:r w:rsidRPr="00FE25AA">
        <w:rPr>
          <w:rFonts w:cs="Times New Roman"/>
        </w:rPr>
        <w:instrText xml:space="preserve"> REF _Ref8047189 \h  \* MERGEFORMAT </w:instrText>
      </w:r>
      <w:r w:rsidRPr="00466A54">
        <w:rPr>
          <w:rFonts w:cs="Times New Roman"/>
        </w:rPr>
      </w:r>
      <w:r w:rsidRPr="00466A54">
        <w:rPr>
          <w:rFonts w:cs="Times New Roman"/>
        </w:rPr>
        <w:fldChar w:fldCharType="separate"/>
      </w:r>
    </w:p>
    <w:p w14:paraId="64DF4656" w14:textId="77777777" w:rsidR="00450958" w:rsidRPr="00450958" w:rsidRDefault="00450958" w:rsidP="00450958">
      <w:pPr>
        <w:pStyle w:val="ListParagraph"/>
        <w:numPr>
          <w:ilvl w:val="0"/>
          <w:numId w:val="48"/>
        </w:numPr>
        <w:jc w:val="both"/>
        <w:rPr>
          <w:b/>
        </w:rPr>
      </w:pPr>
    </w:p>
    <w:p w14:paraId="09823DF6" w14:textId="0A034FD7" w:rsidR="00EB34D0" w:rsidRPr="00900DE9" w:rsidRDefault="00450958" w:rsidP="00795EE0">
      <w:pPr>
        <w:pStyle w:val="ListParagraph"/>
        <w:numPr>
          <w:ilvl w:val="0"/>
          <w:numId w:val="48"/>
        </w:numPr>
        <w:jc w:val="both"/>
        <w:rPr>
          <w:b/>
        </w:rPr>
      </w:pPr>
      <w:r w:rsidRPr="005C3F1A">
        <w:rPr>
          <w:b/>
        </w:rPr>
        <w:t xml:space="preserve">Figure </w:t>
      </w:r>
      <w:r w:rsidR="00EB34D0" w:rsidRPr="00900DE9">
        <w:rPr>
          <w:rFonts w:cs="Times New Roman"/>
        </w:rPr>
        <w:fldChar w:fldCharType="end"/>
      </w:r>
      <w:r w:rsidR="00900DE9">
        <w:rPr>
          <w:rFonts w:cs="Times New Roman"/>
        </w:rPr>
        <w:t>24</w:t>
      </w:r>
      <w:r w:rsidR="00EB34D0" w:rsidRPr="00900DE9">
        <w:rPr>
          <w:rFonts w:cs="Times New Roman"/>
        </w:rPr>
        <w:t>). The population also is deemed to have the necessary skills to start a business, outpacing China and Malaysia for example. This strong performance can be attributed to entrepreneurial education at the primary, college, and vocational levels. In fact, entrepreneurial education is mandated by law in higher education, and is also offered as both bachelor’s and master’s degrees. There is also a strong prevalence of incubator programs offering trainings, business plan development, and opportunity identification for youths. Another factor boosting the entrepreneurship ecosystem is the role repatriating Filipinos played in establishing start-ups (a growth spurt between 2013 and 2016) and contributing to knowledge transfer in the ecosystem</w:t>
      </w:r>
      <w:r w:rsidR="00EB34D0" w:rsidRPr="00E32960">
        <w:rPr>
          <w:rFonts w:cs="Times New Roman"/>
          <w:vertAlign w:val="superscript"/>
        </w:rPr>
        <w:endnoteReference w:id="43"/>
      </w:r>
      <w:r w:rsidR="00EB34D0" w:rsidRPr="00900DE9">
        <w:rPr>
          <w:rFonts w:cs="Times New Roman"/>
        </w:rPr>
        <w:t>.</w:t>
      </w:r>
      <w:bookmarkStart w:id="55" w:name="_Ref8047189"/>
    </w:p>
    <w:p w14:paraId="648FC694" w14:textId="77777777" w:rsidR="00EB34D0" w:rsidRPr="005458BB" w:rsidRDefault="00EB34D0" w:rsidP="00EB34D0">
      <w:pPr>
        <w:pStyle w:val="ListParagraph"/>
        <w:ind w:left="360"/>
        <w:jc w:val="both"/>
        <w:rPr>
          <w:noProof/>
        </w:rPr>
      </w:pPr>
    </w:p>
    <w:p w14:paraId="7AC20F27" w14:textId="3AC7DB95" w:rsidR="00EB34D0" w:rsidRPr="005C3F1A" w:rsidRDefault="00EB34D0" w:rsidP="00EB34D0">
      <w:pPr>
        <w:pStyle w:val="ListParagraph"/>
        <w:spacing w:line="264" w:lineRule="auto"/>
        <w:ind w:left="360"/>
        <w:contextualSpacing w:val="0"/>
        <w:jc w:val="both"/>
        <w:rPr>
          <w:b/>
        </w:rPr>
      </w:pPr>
      <w:r w:rsidRPr="005C3F1A">
        <w:rPr>
          <w:b/>
        </w:rPr>
        <w:t xml:space="preserve">Figure </w:t>
      </w:r>
      <w:bookmarkEnd w:id="55"/>
      <w:r w:rsidR="00900DE9">
        <w:rPr>
          <w:b/>
        </w:rPr>
        <w:t>24</w:t>
      </w:r>
      <w:r w:rsidRPr="005C3F1A">
        <w:rPr>
          <w:rFonts w:cs="Times New Roman"/>
          <w:b/>
        </w:rPr>
        <w:t>:</w:t>
      </w:r>
      <w:r w:rsidRPr="005C3F1A">
        <w:rPr>
          <w:b/>
        </w:rPr>
        <w:t xml:space="preserve"> Human capital capabilities in Philippines vis-à-vis peers</w:t>
      </w:r>
    </w:p>
    <w:p w14:paraId="01CC40E2" w14:textId="77777777" w:rsidR="00EB34D0" w:rsidRDefault="00EB34D0" w:rsidP="00EB34D0">
      <w:pPr>
        <w:spacing w:after="0" w:line="240" w:lineRule="auto"/>
        <w:jc w:val="center"/>
        <w:rPr>
          <w:rFonts w:cs="Times New Roman"/>
        </w:rPr>
      </w:pPr>
      <w:r>
        <w:rPr>
          <w:rFonts w:cs="Times New Roman"/>
          <w:noProof/>
        </w:rPr>
        <w:drawing>
          <wp:inline distT="0" distB="0" distL="0" distR="0" wp14:anchorId="65F4E0F5" wp14:editId="7E670957">
            <wp:extent cx="4858385" cy="1653871"/>
            <wp:effectExtent l="0" t="0" r="18415" b="381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3E1DF5E" w14:textId="77777777" w:rsidR="00EB34D0" w:rsidRPr="005C3F1A" w:rsidRDefault="00EB34D0" w:rsidP="00EB34D0">
      <w:pPr>
        <w:spacing w:after="0" w:line="240" w:lineRule="auto"/>
        <w:jc w:val="center"/>
        <w:rPr>
          <w:rFonts w:cs="Times New Roman"/>
          <w:i/>
          <w:sz w:val="20"/>
        </w:rPr>
      </w:pPr>
      <w:r w:rsidRPr="005C3F1A">
        <w:rPr>
          <w:rFonts w:cs="Times New Roman"/>
          <w:i/>
          <w:sz w:val="20"/>
        </w:rPr>
        <w:t>Source: GEDI, 2018 Global Entrepreneurship Index.</w:t>
      </w:r>
      <w:r w:rsidRPr="005C3F1A">
        <w:rPr>
          <w:rFonts w:cs="Times New Roman"/>
          <w:i/>
          <w:sz w:val="20"/>
          <w:vertAlign w:val="superscript"/>
        </w:rPr>
        <w:endnoteReference w:id="44"/>
      </w:r>
    </w:p>
    <w:p w14:paraId="5B42D4A4" w14:textId="77777777" w:rsidR="00EB34D0" w:rsidRDefault="00EB34D0" w:rsidP="00EB34D0">
      <w:pPr>
        <w:spacing w:after="0" w:line="240" w:lineRule="auto"/>
        <w:jc w:val="both"/>
        <w:rPr>
          <w:rFonts w:cs="Times New Roman"/>
        </w:rPr>
      </w:pPr>
    </w:p>
    <w:p w14:paraId="2DE490F7" w14:textId="77777777" w:rsidR="00EB34D0" w:rsidRDefault="00EB34D0" w:rsidP="00EB34D0">
      <w:pPr>
        <w:pStyle w:val="ListParagraph"/>
        <w:numPr>
          <w:ilvl w:val="0"/>
          <w:numId w:val="48"/>
        </w:numPr>
        <w:jc w:val="both"/>
        <w:rPr>
          <w:rFonts w:eastAsia="PMingLiU" w:cs="Times New Roman"/>
          <w:lang w:eastAsia="zh-TW"/>
        </w:rPr>
      </w:pPr>
      <w:r w:rsidRPr="00536FE0">
        <w:rPr>
          <w:rFonts w:cs="Times New Roman"/>
          <w:b/>
        </w:rPr>
        <w:t>Entrepreneurship is supported by learning-by-doing and edu</w:t>
      </w:r>
      <w:r>
        <w:rPr>
          <w:rFonts w:cs="Times New Roman"/>
          <w:b/>
        </w:rPr>
        <w:t>c</w:t>
      </w:r>
      <w:r w:rsidRPr="00536FE0">
        <w:rPr>
          <w:rFonts w:cs="Times New Roman"/>
          <w:b/>
        </w:rPr>
        <w:t>ation</w:t>
      </w:r>
      <w:r>
        <w:rPr>
          <w:rFonts w:cs="Times New Roman"/>
        </w:rPr>
        <w:t xml:space="preserve">. </w:t>
      </w:r>
      <w:r w:rsidRPr="00E32960">
        <w:rPr>
          <w:rFonts w:cs="Times New Roman"/>
        </w:rPr>
        <w:t>According to the 2017 Philippine startup survey,</w:t>
      </w:r>
      <w:r w:rsidRPr="00E32960">
        <w:rPr>
          <w:rFonts w:cs="Times New Roman"/>
          <w:vertAlign w:val="superscript"/>
        </w:rPr>
        <w:endnoteReference w:id="45"/>
      </w:r>
      <w:r w:rsidRPr="00E32960">
        <w:rPr>
          <w:rFonts w:cs="Times New Roman"/>
        </w:rPr>
        <w:t xml:space="preserve"> majority (87</w:t>
      </w:r>
      <w:r>
        <w:rPr>
          <w:rFonts w:cs="Times New Roman"/>
        </w:rPr>
        <w:t xml:space="preserve"> percent</w:t>
      </w:r>
      <w:r w:rsidRPr="00E32960">
        <w:rPr>
          <w:rFonts w:cs="Times New Roman"/>
        </w:rPr>
        <w:t>) of startups indicated to have either worked as employees in other firms (prior to becoming entrepreneurs) and to have started other businesses before operating current startups (66</w:t>
      </w:r>
      <w:r>
        <w:rPr>
          <w:rFonts w:cs="Times New Roman"/>
        </w:rPr>
        <w:t xml:space="preserve"> percent</w:t>
      </w:r>
      <w:r w:rsidRPr="00E32960">
        <w:rPr>
          <w:rFonts w:cs="Times New Roman"/>
        </w:rPr>
        <w:t>). Education is an important factor since 90</w:t>
      </w:r>
      <w:r>
        <w:rPr>
          <w:rFonts w:cs="Times New Roman"/>
        </w:rPr>
        <w:t xml:space="preserve"> percent</w:t>
      </w:r>
      <w:r w:rsidRPr="00E32960">
        <w:rPr>
          <w:rFonts w:cs="Times New Roman"/>
        </w:rPr>
        <w:t xml:space="preserve"> of founders interviewed have at least bachelor’s degrees, although only 27</w:t>
      </w:r>
      <w:r>
        <w:rPr>
          <w:rFonts w:cs="Times New Roman"/>
        </w:rPr>
        <w:t xml:space="preserve"> percent</w:t>
      </w:r>
      <w:r w:rsidRPr="00E32960">
        <w:rPr>
          <w:rFonts w:cs="Times New Roman"/>
        </w:rPr>
        <w:t xml:space="preserve"> of founders have IT</w:t>
      </w:r>
      <w:r w:rsidRPr="00E32960">
        <w:rPr>
          <w:rFonts w:eastAsia="PMingLiU" w:cs="Times New Roman"/>
          <w:lang w:eastAsia="zh-TW"/>
        </w:rPr>
        <w:t xml:space="preserve"> or computer science academic background. </w:t>
      </w:r>
    </w:p>
    <w:p w14:paraId="349A1119" w14:textId="77777777" w:rsidR="00EB34D0" w:rsidRPr="00E32960" w:rsidRDefault="00EB34D0" w:rsidP="00EB34D0">
      <w:pPr>
        <w:pStyle w:val="ListParagraph"/>
        <w:ind w:left="360"/>
        <w:jc w:val="both"/>
        <w:rPr>
          <w:rFonts w:eastAsia="PMingLiU" w:cs="Times New Roman"/>
          <w:lang w:eastAsia="zh-TW"/>
        </w:rPr>
      </w:pPr>
    </w:p>
    <w:p w14:paraId="158EBCDC" w14:textId="60DE3C86" w:rsidR="00EB34D0" w:rsidRPr="00942548" w:rsidRDefault="00EB34D0" w:rsidP="00FE6BC1">
      <w:pPr>
        <w:pStyle w:val="ListParagraph"/>
        <w:numPr>
          <w:ilvl w:val="0"/>
          <w:numId w:val="48"/>
        </w:numPr>
        <w:jc w:val="both"/>
        <w:rPr>
          <w:b/>
        </w:rPr>
      </w:pPr>
      <w:r w:rsidRPr="00E32960">
        <w:rPr>
          <w:rFonts w:cs="Times New Roman"/>
          <w:b/>
        </w:rPr>
        <w:t xml:space="preserve">Yet, the supply of scientific and technological knowledge, a niche area for innovation, is somehow lacking. </w:t>
      </w:r>
      <w:r w:rsidRPr="00E32960">
        <w:rPr>
          <w:rFonts w:cs="Times New Roman"/>
        </w:rPr>
        <w:t xml:space="preserve">Based on World Economic Forum’s Global Competitiveness Index, the country posted the weakest performance in university-industry R&amp;D collaboration, country capacity to attract and retain talent, research institution quality, scientists and engineers’ availability, and government technological procurement capability vis-à-vis peers such as China and Malaysia. In magnitude terms, there are currently </w:t>
      </w:r>
      <w:r w:rsidRPr="00E32960">
        <w:rPr>
          <w:rFonts w:eastAsia="Times New Roman" w:cs="Times New Roman"/>
          <w:shd w:val="clear" w:color="auto" w:fill="FFFFFF"/>
        </w:rPr>
        <w:t>165 per million Filipino R&amp;D personnel</w:t>
      </w:r>
      <w:r w:rsidR="00942548">
        <w:rPr>
          <w:rFonts w:eastAsia="Times New Roman" w:cs="Times New Roman"/>
          <w:shd w:val="clear" w:color="auto" w:fill="FFFFFF"/>
        </w:rPr>
        <w:t xml:space="preserve">. </w:t>
      </w:r>
      <w:r w:rsidRPr="00942548">
        <w:rPr>
          <w:rFonts w:eastAsia="Times New Roman" w:cs="Times New Roman"/>
          <w:shd w:val="clear" w:color="auto" w:fill="FFFFFF"/>
        </w:rPr>
        <w:t xml:space="preserve">Yet this is </w:t>
      </w:r>
      <w:r w:rsidR="00942548">
        <w:rPr>
          <w:rFonts w:eastAsia="Times New Roman" w:cs="Times New Roman"/>
          <w:shd w:val="clear" w:color="auto" w:fill="FFFFFF"/>
        </w:rPr>
        <w:t xml:space="preserve">significantly </w:t>
      </w:r>
      <w:r w:rsidRPr="00942548">
        <w:rPr>
          <w:rFonts w:eastAsia="Times New Roman" w:cs="Times New Roman"/>
          <w:shd w:val="clear" w:color="auto" w:fill="FFFFFF"/>
        </w:rPr>
        <w:t>lower than the recommended 380 per million by the United Nations Educational, Scientific and Cultural Organization for scientific discoveries and technological developments.</w:t>
      </w:r>
      <w:r w:rsidRPr="00E32960">
        <w:rPr>
          <w:rFonts w:eastAsia="Times New Roman" w:cs="Times New Roman"/>
          <w:shd w:val="clear" w:color="auto" w:fill="FFFFFF"/>
          <w:vertAlign w:val="superscript"/>
        </w:rPr>
        <w:endnoteReference w:id="46"/>
      </w:r>
    </w:p>
    <w:p w14:paraId="3E862A79" w14:textId="77777777" w:rsidR="008348D5" w:rsidRDefault="008348D5" w:rsidP="00EB34D0">
      <w:pPr>
        <w:jc w:val="center"/>
        <w:rPr>
          <w:b/>
        </w:rPr>
      </w:pPr>
      <w:bookmarkStart w:id="56" w:name="_Ref8047217"/>
    </w:p>
    <w:p w14:paraId="08C28FE4" w14:textId="77777777" w:rsidR="008348D5" w:rsidRDefault="008348D5" w:rsidP="00EB34D0">
      <w:pPr>
        <w:jc w:val="center"/>
        <w:rPr>
          <w:b/>
        </w:rPr>
      </w:pPr>
    </w:p>
    <w:p w14:paraId="22EA4BB8" w14:textId="77777777" w:rsidR="008348D5" w:rsidRDefault="008348D5" w:rsidP="00EB34D0">
      <w:pPr>
        <w:jc w:val="center"/>
        <w:rPr>
          <w:b/>
        </w:rPr>
      </w:pPr>
    </w:p>
    <w:p w14:paraId="27D6B5D9" w14:textId="77777777" w:rsidR="008348D5" w:rsidRDefault="008348D5" w:rsidP="00EB34D0">
      <w:pPr>
        <w:jc w:val="center"/>
        <w:rPr>
          <w:b/>
        </w:rPr>
      </w:pPr>
    </w:p>
    <w:p w14:paraId="1FEFF00F" w14:textId="789283C9" w:rsidR="00EB34D0" w:rsidRPr="000460C9" w:rsidRDefault="00EB34D0" w:rsidP="00EB34D0">
      <w:pPr>
        <w:jc w:val="center"/>
        <w:rPr>
          <w:b/>
        </w:rPr>
      </w:pPr>
      <w:r w:rsidRPr="000460C9">
        <w:rPr>
          <w:b/>
        </w:rPr>
        <w:t xml:space="preserve">Figure </w:t>
      </w:r>
      <w:bookmarkEnd w:id="56"/>
      <w:r w:rsidR="008348D5">
        <w:rPr>
          <w:b/>
        </w:rPr>
        <w:t>25</w:t>
      </w:r>
      <w:r w:rsidRPr="000460C9">
        <w:rPr>
          <w:rFonts w:cs="Times New Roman"/>
          <w:b/>
        </w:rPr>
        <w:t xml:space="preserve">: </w:t>
      </w:r>
      <w:r w:rsidRPr="000460C9">
        <w:rPr>
          <w:b/>
        </w:rPr>
        <w:t>Knowledge ecosystem conditions</w:t>
      </w:r>
    </w:p>
    <w:p w14:paraId="52D92266" w14:textId="77777777" w:rsidR="00EB34D0" w:rsidRDefault="00EB34D0" w:rsidP="00EB34D0">
      <w:pPr>
        <w:spacing w:after="0" w:line="240" w:lineRule="auto"/>
        <w:jc w:val="both"/>
        <w:rPr>
          <w:rFonts w:cs="Times New Roman"/>
          <w:i/>
          <w:sz w:val="20"/>
        </w:rPr>
      </w:pPr>
      <w:r w:rsidRPr="000476CB">
        <w:rPr>
          <w:rFonts w:cs="Times New Roman"/>
          <w:noProof/>
          <w:sz w:val="20"/>
        </w:rPr>
        <w:drawing>
          <wp:inline distT="0" distB="0" distL="0" distR="0" wp14:anchorId="51DE55DA" wp14:editId="599060CA">
            <wp:extent cx="5619750" cy="2470150"/>
            <wp:effectExtent l="0" t="0" r="0" b="635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B919CA">
        <w:rPr>
          <w:rFonts w:cs="Times New Roman"/>
          <w:i/>
          <w:sz w:val="20"/>
        </w:rPr>
        <w:t>Source: WEF, GCI</w:t>
      </w:r>
    </w:p>
    <w:p w14:paraId="6F0990AC" w14:textId="77777777" w:rsidR="00EB34D0" w:rsidRPr="00B919CA" w:rsidRDefault="00EB34D0" w:rsidP="00EB34D0">
      <w:pPr>
        <w:spacing w:after="0" w:line="240" w:lineRule="auto"/>
        <w:jc w:val="center"/>
        <w:rPr>
          <w:rFonts w:cs="Times New Roman"/>
          <w:i/>
          <w:sz w:val="20"/>
        </w:rPr>
      </w:pPr>
    </w:p>
    <w:p w14:paraId="1F8F0718" w14:textId="0D5A58FC" w:rsidR="00EB34D0" w:rsidRPr="008348D5" w:rsidRDefault="00EB34D0" w:rsidP="00EB34D0">
      <w:pPr>
        <w:pStyle w:val="ListParagraph"/>
        <w:numPr>
          <w:ilvl w:val="0"/>
          <w:numId w:val="50"/>
        </w:numPr>
        <w:jc w:val="both"/>
        <w:rPr>
          <w:rFonts w:eastAsia="Malgun Gothic" w:cs="Times New Roman"/>
          <w:lang w:eastAsia="ko-KR"/>
        </w:rPr>
      </w:pPr>
      <w:r w:rsidRPr="001A7288">
        <w:rPr>
          <w:rFonts w:cs="Times New Roman"/>
          <w:b/>
        </w:rPr>
        <w:t xml:space="preserve">Further, ICT skillsets in the Philippines lag high-tech innovation driven economies (e.g., Singapore). </w:t>
      </w:r>
      <w:r w:rsidRPr="001A7288">
        <w:rPr>
          <w:rFonts w:cs="Times New Roman"/>
        </w:rPr>
        <w:t>According to the International Telecommunications Union’s Global ICT Index, which measures ICT access, ICT use, and ICT skills, the Philippines ranks 101th</w:t>
      </w:r>
      <w:r>
        <w:rPr>
          <w:rFonts w:cs="Times New Roman"/>
        </w:rPr>
        <w:t xml:space="preserve"> </w:t>
      </w:r>
      <w:r w:rsidRPr="001A7288">
        <w:rPr>
          <w:rFonts w:cs="Times New Roman"/>
        </w:rPr>
        <w:t>out of 175 economies in the overall index, and 86th in the skills sub index. ICT skills are measured by the mean years of schooling, secondary gross enrollment ratio, and tertiary gross enrollment ratio. The Philippines scored lower than Singapore on all fronts: 9.3 years, 88.</w:t>
      </w:r>
      <w:r>
        <w:rPr>
          <w:rFonts w:cs="Times New Roman"/>
        </w:rPr>
        <w:t>4 percent</w:t>
      </w:r>
      <w:r w:rsidRPr="001A7288">
        <w:rPr>
          <w:rFonts w:cs="Times New Roman"/>
        </w:rPr>
        <w:t>, and 35.</w:t>
      </w:r>
      <w:r>
        <w:rPr>
          <w:rFonts w:cs="Times New Roman"/>
        </w:rPr>
        <w:t xml:space="preserve">8 percent </w:t>
      </w:r>
      <w:r w:rsidRPr="001A7288">
        <w:rPr>
          <w:rFonts w:cs="Times New Roman"/>
        </w:rPr>
        <w:t>compared to 11.6 years, 97.2</w:t>
      </w:r>
      <w:r>
        <w:rPr>
          <w:rFonts w:cs="Times New Roman"/>
        </w:rPr>
        <w:t xml:space="preserve"> percent</w:t>
      </w:r>
      <w:r w:rsidRPr="001A7288">
        <w:rPr>
          <w:rFonts w:cs="Times New Roman"/>
        </w:rPr>
        <w:t>, and 69.8</w:t>
      </w:r>
      <w:r>
        <w:rPr>
          <w:rFonts w:cs="Times New Roman"/>
        </w:rPr>
        <w:t xml:space="preserve"> percent</w:t>
      </w:r>
      <w:r w:rsidRPr="001A7288">
        <w:rPr>
          <w:rFonts w:cs="Times New Roman"/>
        </w:rPr>
        <w:t xml:space="preserve"> respectively</w:t>
      </w:r>
      <w:r w:rsidRPr="001A7288">
        <w:rPr>
          <w:rFonts w:cs="Times New Roman"/>
          <w:vertAlign w:val="superscript"/>
        </w:rPr>
        <w:endnoteReference w:id="47"/>
      </w:r>
      <w:r w:rsidRPr="001A7288">
        <w:rPr>
          <w:rFonts w:cs="Times New Roman"/>
        </w:rPr>
        <w:t>. Moreover, qualitative interviews with ICT firms (start-ups) and venture capitalists point to the mismatch between technical skills taught in classrooms and market needs: firms need to invest in extensive trainings for new hires (including graduates which have ICT-related degrees)</w:t>
      </w:r>
      <w:r w:rsidRPr="001A7288">
        <w:rPr>
          <w:rFonts w:eastAsia="Times New Roman" w:cs="Times New Roman"/>
          <w:bCs/>
          <w:vertAlign w:val="superscript"/>
          <w:lang w:eastAsia="zh-CN"/>
        </w:rPr>
        <w:endnoteReference w:id="48"/>
      </w:r>
      <w:r w:rsidRPr="001A7288">
        <w:rPr>
          <w:rFonts w:eastAsia="Times New Roman" w:cs="Times New Roman"/>
          <w:bCs/>
          <w:lang w:eastAsia="zh-CN"/>
        </w:rPr>
        <w:t xml:space="preserve"> </w:t>
      </w:r>
      <w:r w:rsidRPr="001A7288">
        <w:rPr>
          <w:rFonts w:cs="Times New Roman"/>
        </w:rPr>
        <w:t>or hire data scientists from abroad to implement the work</w:t>
      </w:r>
      <w:r w:rsidRPr="001A7288">
        <w:rPr>
          <w:rFonts w:cs="Times New Roman"/>
          <w:vertAlign w:val="superscript"/>
        </w:rPr>
        <w:endnoteReference w:id="49"/>
      </w:r>
      <w:r w:rsidRPr="001A7288">
        <w:rPr>
          <w:rFonts w:cs="Times New Roman"/>
        </w:rPr>
        <w:t>. The lack of a pipeline of good talent points to challenges in reaping job creation potential in high-technology sectors as well as creation of a base of innovation-based entrepreneurs in the country.</w:t>
      </w:r>
    </w:p>
    <w:p w14:paraId="33304B3E" w14:textId="51232851" w:rsidR="00294019" w:rsidRDefault="00294019" w:rsidP="00294019">
      <w:pPr>
        <w:pStyle w:val="Heading4"/>
        <w:rPr>
          <w:rFonts w:ascii="Times New Roman" w:hAnsi="Times New Roman"/>
        </w:rPr>
      </w:pPr>
      <w:r>
        <w:t>Infrastructure</w:t>
      </w:r>
    </w:p>
    <w:p w14:paraId="5EC348D6" w14:textId="77777777" w:rsidR="00294019" w:rsidRDefault="00294019" w:rsidP="00DE2C6D">
      <w:pPr>
        <w:pStyle w:val="ListParagraph"/>
        <w:numPr>
          <w:ilvl w:val="0"/>
          <w:numId w:val="50"/>
        </w:numPr>
        <w:jc w:val="both"/>
        <w:rPr>
          <w:rFonts w:cs="Times New Roman"/>
          <w:lang w:val="en-PH"/>
        </w:rPr>
      </w:pPr>
      <w:r>
        <w:rPr>
          <w:rFonts w:cs="Times New Roman"/>
          <w:b/>
        </w:rPr>
        <w:t>The Philippine economy suffers from large infrastructure gaps and high utility costs</w:t>
      </w:r>
      <w:r w:rsidRPr="000440C7">
        <w:rPr>
          <w:rFonts w:cs="Times New Roman"/>
        </w:rPr>
        <w:t xml:space="preserve">. The </w:t>
      </w:r>
      <w:r>
        <w:rPr>
          <w:rFonts w:cs="Times New Roman"/>
        </w:rPr>
        <w:t xml:space="preserve">poor state </w:t>
      </w:r>
      <w:r w:rsidRPr="000440C7">
        <w:rPr>
          <w:rFonts w:cs="Times New Roman"/>
        </w:rPr>
        <w:t>of most infrastructure markets is reflected in the Philippines’ ranking in its quality of infrastructure</w:t>
      </w:r>
      <w:r>
        <w:rPr>
          <w:rFonts w:cs="Times New Roman"/>
        </w:rPr>
        <w:t xml:space="preserve">—ranking </w:t>
      </w:r>
      <w:r w:rsidRPr="000440C7">
        <w:rPr>
          <w:rFonts w:cs="Times New Roman"/>
        </w:rPr>
        <w:t>92 out of 140 countries in the 2017</w:t>
      </w:r>
      <w:r>
        <w:rPr>
          <w:rFonts w:cs="Times New Roman"/>
        </w:rPr>
        <w:t>–</w:t>
      </w:r>
      <w:r w:rsidRPr="000440C7">
        <w:rPr>
          <w:rFonts w:cs="Times New Roman"/>
        </w:rPr>
        <w:t xml:space="preserve">18 </w:t>
      </w:r>
      <w:r>
        <w:rPr>
          <w:rFonts w:cs="Times New Roman"/>
        </w:rPr>
        <w:t>World Economic Forum (WEF)</w:t>
      </w:r>
      <w:r w:rsidRPr="000440C7">
        <w:rPr>
          <w:rFonts w:cs="Times New Roman"/>
        </w:rPr>
        <w:t xml:space="preserve"> Global Competitiveness Report.</w:t>
      </w:r>
      <w:r>
        <w:rPr>
          <w:rFonts w:cs="Times New Roman"/>
        </w:rPr>
        <w:t xml:space="preserve"> Both households and firms suffer from the large infrastructure gaps. For instance, only 15 percent of households have access to fixed broadband due to its high cost and low quality. The network of piped sanitation is also limited, resulting in only 4.5 percent of households having connected toilets. Filipino firms </w:t>
      </w:r>
      <w:r>
        <w:rPr>
          <w:rFonts w:cs="Times New Roman"/>
          <w:lang w:val="en-PH"/>
        </w:rPr>
        <w:t xml:space="preserve">face some of the highest utility and trade costs in the region due to limited infrastructure and weak market competition in infrastructure markets. For instance, at nearly $0.15 per kilowatt hour, Philippines has the highest cost of electricity in the region. </w:t>
      </w:r>
      <w:r>
        <w:rPr>
          <w:rFonts w:cs="Times New Roman"/>
        </w:rPr>
        <w:t xml:space="preserve">The high input costs generated by these infrastructure markets </w:t>
      </w:r>
      <w:r w:rsidRPr="00FE17E4">
        <w:rPr>
          <w:rFonts w:cs="Times New Roman"/>
          <w:lang w:val="en-PH"/>
        </w:rPr>
        <w:t>discourage private sector investment and subsequent job creation.</w:t>
      </w:r>
      <w:r>
        <w:rPr>
          <w:rFonts w:cs="Times New Roman"/>
          <w:lang w:val="en-PH"/>
        </w:rPr>
        <w:t xml:space="preserve"> </w:t>
      </w:r>
    </w:p>
    <w:p w14:paraId="04CE263E" w14:textId="77777777" w:rsidR="00294019" w:rsidRDefault="00294019" w:rsidP="00294019">
      <w:pPr>
        <w:pStyle w:val="ListParagraph"/>
        <w:ind w:left="360"/>
        <w:jc w:val="both"/>
        <w:rPr>
          <w:rFonts w:cs="Times New Roman"/>
          <w:lang w:val="en-PH"/>
        </w:rPr>
      </w:pPr>
    </w:p>
    <w:p w14:paraId="739DCC99" w14:textId="77777777" w:rsidR="00294019" w:rsidRDefault="00294019" w:rsidP="00DE2C6D">
      <w:pPr>
        <w:pStyle w:val="ListParagraph"/>
        <w:numPr>
          <w:ilvl w:val="0"/>
          <w:numId w:val="50"/>
        </w:numPr>
        <w:jc w:val="both"/>
        <w:rPr>
          <w:rFonts w:cs="Times New Roman"/>
          <w:color w:val="000000"/>
          <w:szCs w:val="24"/>
        </w:rPr>
      </w:pPr>
      <w:r w:rsidRPr="005B2BAC">
        <w:rPr>
          <w:rFonts w:cs="Times New Roman"/>
          <w:b/>
          <w:szCs w:val="24"/>
        </w:rPr>
        <w:t xml:space="preserve">Infrastructure connectivity is average when compared to peers, and there are substantial government efforts to boost connectivity. </w:t>
      </w:r>
      <w:r w:rsidRPr="005B2BAC">
        <w:rPr>
          <w:rFonts w:cs="Times New Roman"/>
          <w:szCs w:val="24"/>
        </w:rPr>
        <w:t>The Philippines ranks 5th among Southeast Asian peers in terms of access to physical infrastructure.</w:t>
      </w:r>
      <w:r w:rsidRPr="005B2BAC">
        <w:rPr>
          <w:rFonts w:cs="Times New Roman"/>
          <w:szCs w:val="24"/>
          <w:vertAlign w:val="superscript"/>
        </w:rPr>
        <w:endnoteReference w:id="50"/>
      </w:r>
      <w:r w:rsidRPr="005B2BAC">
        <w:rPr>
          <w:rFonts w:cs="Times New Roman"/>
          <w:szCs w:val="24"/>
        </w:rPr>
        <w:t xml:space="preserve">  </w:t>
      </w:r>
      <w:r w:rsidRPr="005B2BAC">
        <w:rPr>
          <w:rFonts w:eastAsia="Times New Roman" w:cs="Times New Roman"/>
          <w:bCs/>
          <w:szCs w:val="24"/>
          <w:lang w:eastAsia="zh-CN"/>
        </w:rPr>
        <w:t xml:space="preserve">For ICT connectivity </w:t>
      </w:r>
      <w:proofErr w:type="gramStart"/>
      <w:r w:rsidRPr="005B2BAC">
        <w:rPr>
          <w:rFonts w:eastAsia="Times New Roman" w:cs="Times New Roman"/>
          <w:bCs/>
          <w:szCs w:val="24"/>
          <w:lang w:eastAsia="zh-CN"/>
        </w:rPr>
        <w:t>in particular, useful</w:t>
      </w:r>
      <w:proofErr w:type="gramEnd"/>
      <w:r w:rsidRPr="005B2BAC">
        <w:rPr>
          <w:rFonts w:eastAsia="Times New Roman" w:cs="Times New Roman"/>
          <w:bCs/>
          <w:szCs w:val="24"/>
          <w:lang w:eastAsia="zh-CN"/>
        </w:rPr>
        <w:t xml:space="preserve"> for digital and technology-based startups, </w:t>
      </w:r>
      <w:proofErr w:type="spellStart"/>
      <w:r w:rsidRPr="005B2BAC">
        <w:rPr>
          <w:rFonts w:cs="Times New Roman"/>
          <w:szCs w:val="24"/>
        </w:rPr>
        <w:t>Speedtest's</w:t>
      </w:r>
      <w:proofErr w:type="spellEnd"/>
      <w:r w:rsidRPr="005B2BAC">
        <w:rPr>
          <w:rFonts w:cs="Times New Roman"/>
          <w:szCs w:val="24"/>
        </w:rPr>
        <w:t xml:space="preserve"> Global Index for October 2017 shows that the country ranks 7th with a download speed of 13.5 </w:t>
      </w:r>
      <w:proofErr w:type="spellStart"/>
      <w:r w:rsidRPr="005B2BAC">
        <w:rPr>
          <w:rFonts w:cs="Times New Roman"/>
          <w:szCs w:val="24"/>
        </w:rPr>
        <w:t>mbps</w:t>
      </w:r>
      <w:proofErr w:type="spellEnd"/>
      <w:r w:rsidRPr="005B2BAC">
        <w:rPr>
          <w:rFonts w:cs="Times New Roman"/>
          <w:szCs w:val="24"/>
        </w:rPr>
        <w:t xml:space="preserve">, faring better than Cambodia, Laos, and Myanmar at 11.46 </w:t>
      </w:r>
      <w:proofErr w:type="spellStart"/>
      <w:r w:rsidRPr="005B2BAC">
        <w:rPr>
          <w:rFonts w:cs="Times New Roman"/>
          <w:szCs w:val="24"/>
        </w:rPr>
        <w:t>mbps</w:t>
      </w:r>
      <w:proofErr w:type="spellEnd"/>
      <w:r w:rsidRPr="005B2BAC">
        <w:rPr>
          <w:rFonts w:cs="Times New Roman"/>
          <w:szCs w:val="24"/>
        </w:rPr>
        <w:t xml:space="preserve">, 9.31 </w:t>
      </w:r>
      <w:proofErr w:type="spellStart"/>
      <w:r w:rsidRPr="005B2BAC">
        <w:rPr>
          <w:rFonts w:cs="Times New Roman"/>
          <w:szCs w:val="24"/>
        </w:rPr>
        <w:t>mbps</w:t>
      </w:r>
      <w:proofErr w:type="spellEnd"/>
      <w:r w:rsidRPr="005B2BAC">
        <w:rPr>
          <w:rFonts w:cs="Times New Roman"/>
          <w:szCs w:val="24"/>
        </w:rPr>
        <w:t xml:space="preserve">, and 7.40 </w:t>
      </w:r>
      <w:proofErr w:type="spellStart"/>
      <w:r w:rsidRPr="005B2BAC">
        <w:rPr>
          <w:rFonts w:cs="Times New Roman"/>
          <w:szCs w:val="24"/>
        </w:rPr>
        <w:t>mbps</w:t>
      </w:r>
      <w:proofErr w:type="spellEnd"/>
      <w:r w:rsidRPr="005B2BAC">
        <w:rPr>
          <w:rFonts w:cs="Times New Roman"/>
          <w:szCs w:val="24"/>
        </w:rPr>
        <w:t xml:space="preserve">, respectively. In comparison, Singapore has a substantially higher speed of 148.62 </w:t>
      </w:r>
      <w:proofErr w:type="spellStart"/>
      <w:r w:rsidRPr="005B2BAC">
        <w:rPr>
          <w:rFonts w:cs="Times New Roman"/>
          <w:szCs w:val="24"/>
        </w:rPr>
        <w:t>mbps</w:t>
      </w:r>
      <w:proofErr w:type="spellEnd"/>
      <w:r w:rsidRPr="005B2BAC">
        <w:rPr>
          <w:rFonts w:cs="Times New Roman"/>
          <w:szCs w:val="24"/>
        </w:rPr>
        <w:t>.</w:t>
      </w:r>
      <w:r w:rsidRPr="005B2BAC">
        <w:rPr>
          <w:rFonts w:cs="Times New Roman"/>
          <w:szCs w:val="24"/>
          <w:vertAlign w:val="superscript"/>
        </w:rPr>
        <w:endnoteReference w:id="51"/>
      </w:r>
      <w:r w:rsidRPr="005B2BAC">
        <w:rPr>
          <w:rFonts w:cs="Times New Roman"/>
          <w:szCs w:val="24"/>
        </w:rPr>
        <w:t xml:space="preserve"> Government efforts to boost infrastructure nonetheless are underway—Its $180 billion national infrastructure plan, “Build, Build, Build”, is currently undertaking 75 flagship projects on infrastructure related to airports, railways, roads and bridges, seaport, as well as </w:t>
      </w:r>
      <w:r w:rsidRPr="005B2BAC">
        <w:rPr>
          <w:rFonts w:cs="Times New Roman"/>
          <w:color w:val="000000"/>
          <w:szCs w:val="24"/>
        </w:rPr>
        <w:t>fiber optic cables and wireless technologies to improve internet speeds.</w:t>
      </w:r>
      <w:r w:rsidRPr="005B2BAC">
        <w:rPr>
          <w:rFonts w:cs="Times New Roman"/>
          <w:color w:val="000000"/>
          <w:szCs w:val="24"/>
          <w:vertAlign w:val="superscript"/>
        </w:rPr>
        <w:endnoteReference w:id="52"/>
      </w:r>
      <w:r w:rsidRPr="005B2BAC">
        <w:rPr>
          <w:rFonts w:cs="Times New Roman"/>
          <w:szCs w:val="24"/>
        </w:rPr>
        <w:t xml:space="preserve"> Further, DICT also plans to provide </w:t>
      </w:r>
      <w:r w:rsidRPr="005B2BAC">
        <w:rPr>
          <w:rFonts w:eastAsia="Times New Roman" w:cs="Times New Roman"/>
          <w:szCs w:val="24"/>
        </w:rPr>
        <w:t xml:space="preserve">bandwidth access across the Philippines (both urban and rural locations) through the </w:t>
      </w:r>
      <w:r w:rsidRPr="005B2BAC">
        <w:rPr>
          <w:rFonts w:eastAsia="Times New Roman" w:cs="Times New Roman"/>
          <w:i/>
          <w:szCs w:val="24"/>
          <w:shd w:val="clear" w:color="auto" w:fill="FFFFFF"/>
        </w:rPr>
        <w:t xml:space="preserve">Free Wi-Fi Internet Access in Public Places </w:t>
      </w:r>
      <w:r w:rsidRPr="005B2BAC">
        <w:rPr>
          <w:rFonts w:eastAsia="Times New Roman" w:cs="Times New Roman"/>
          <w:szCs w:val="24"/>
          <w:shd w:val="clear" w:color="auto" w:fill="FFFFFF"/>
        </w:rPr>
        <w:t>program</w:t>
      </w:r>
      <w:r w:rsidRPr="005B2BAC">
        <w:rPr>
          <w:rFonts w:eastAsia="Times New Roman" w:cs="Times New Roman"/>
          <w:szCs w:val="24"/>
        </w:rPr>
        <w:t>. Seeking to provide at least 48,000 Wi-Fi hotspots across the country (equivalent to 99</w:t>
      </w:r>
      <w:r>
        <w:rPr>
          <w:rFonts w:eastAsia="Times New Roman" w:cs="Times New Roman"/>
          <w:szCs w:val="24"/>
        </w:rPr>
        <w:t xml:space="preserve"> percent</w:t>
      </w:r>
      <w:r w:rsidRPr="005B2BAC">
        <w:rPr>
          <w:rFonts w:eastAsia="Times New Roman" w:cs="Times New Roman"/>
          <w:szCs w:val="24"/>
        </w:rPr>
        <w:t xml:space="preserve"> connectivity rate)</w:t>
      </w:r>
      <w:r w:rsidRPr="005B2BAC">
        <w:rPr>
          <w:rFonts w:cs="Times New Roman"/>
          <w:color w:val="000000"/>
          <w:szCs w:val="24"/>
        </w:rPr>
        <w:t xml:space="preserve">, there are roughly 283 free public hotspots to-date. </w:t>
      </w:r>
    </w:p>
    <w:p w14:paraId="07BEECA4" w14:textId="77777777" w:rsidR="00294019" w:rsidRDefault="00294019" w:rsidP="00294019">
      <w:pPr>
        <w:pStyle w:val="ListParagraph"/>
        <w:ind w:left="360"/>
        <w:jc w:val="both"/>
        <w:rPr>
          <w:rFonts w:cs="Times New Roman"/>
          <w:color w:val="000000"/>
          <w:szCs w:val="24"/>
        </w:rPr>
      </w:pPr>
    </w:p>
    <w:p w14:paraId="42890826" w14:textId="6A52E8CD" w:rsidR="00294019" w:rsidRPr="00317D18" w:rsidRDefault="00294019" w:rsidP="00DE2C6D">
      <w:pPr>
        <w:pStyle w:val="ListParagraph"/>
        <w:numPr>
          <w:ilvl w:val="0"/>
          <w:numId w:val="50"/>
        </w:numPr>
        <w:jc w:val="both"/>
        <w:rPr>
          <w:rFonts w:eastAsia="Times New Roman" w:cs="Times New Roman"/>
          <w:bCs/>
          <w:szCs w:val="24"/>
          <w:lang w:eastAsia="zh-CN"/>
        </w:rPr>
      </w:pPr>
      <w:r w:rsidRPr="00317D18">
        <w:rPr>
          <w:rFonts w:eastAsia="Times New Roman" w:cs="Times New Roman"/>
          <w:b/>
          <w:bCs/>
          <w:szCs w:val="24"/>
          <w:lang w:eastAsia="zh-CN"/>
        </w:rPr>
        <w:t>Further improvements in infrastructure connectivity, particularly on digital infrastructure</w:t>
      </w:r>
      <w:r w:rsidRPr="00317D18">
        <w:rPr>
          <w:rFonts w:eastAsia="Times New Roman" w:cs="Times New Roman"/>
          <w:b/>
          <w:bCs/>
          <w:szCs w:val="24"/>
          <w:vertAlign w:val="superscript"/>
          <w:lang w:eastAsia="zh-CN"/>
        </w:rPr>
        <w:endnoteReference w:id="53"/>
      </w:r>
      <w:r w:rsidRPr="00317D18">
        <w:rPr>
          <w:rFonts w:eastAsia="Times New Roman" w:cs="Times New Roman"/>
          <w:b/>
          <w:bCs/>
          <w:szCs w:val="24"/>
          <w:lang w:eastAsia="zh-CN"/>
        </w:rPr>
        <w:t xml:space="preserve">, will come not only from addressing hard infrastructure bottlenecks but also soft infrastructure, such as lack of customer readiness. </w:t>
      </w:r>
      <w:r w:rsidRPr="00317D18">
        <w:rPr>
          <w:rFonts w:eastAsia="Times New Roman" w:cs="Times New Roman"/>
          <w:bCs/>
          <w:szCs w:val="24"/>
          <w:lang w:eastAsia="zh-CN"/>
        </w:rPr>
        <w:t xml:space="preserve">While </w:t>
      </w:r>
      <w:r w:rsidRPr="00317D18">
        <w:rPr>
          <w:rFonts w:eastAsia="Cardo" w:cs="Times New Roman"/>
          <w:szCs w:val="24"/>
        </w:rPr>
        <w:t>the country ranks 13th out of 34 countries (faring better than Malaysia and Hong Kong) in MasterCard’s Worldwide Mobile Payments Readiness Index, with Singapore taking the number one spot,</w:t>
      </w:r>
      <w:r w:rsidRPr="00317D18">
        <w:rPr>
          <w:rFonts w:eastAsia="Cardo" w:cs="Times New Roman"/>
          <w:szCs w:val="24"/>
          <w:vertAlign w:val="superscript"/>
        </w:rPr>
        <w:endnoteReference w:id="54"/>
      </w:r>
      <w:r w:rsidRPr="00317D18">
        <w:rPr>
          <w:rFonts w:eastAsia="Cardo" w:cs="Times New Roman"/>
          <w:szCs w:val="24"/>
        </w:rPr>
        <w:t xml:space="preserve"> one of the major factors curbing the Philippines’ higher placement on the list is its comparatively weak level of customer readiness.</w:t>
      </w:r>
      <w:r w:rsidRPr="00317D18">
        <w:rPr>
          <w:rFonts w:eastAsia="Cardo" w:cs="Times New Roman"/>
          <w:szCs w:val="24"/>
          <w:vertAlign w:val="superscript"/>
        </w:rPr>
        <w:endnoteReference w:id="55"/>
      </w:r>
      <w:r w:rsidRPr="00317D18">
        <w:rPr>
          <w:rFonts w:eastAsia="Cardo" w:cs="Times New Roman"/>
          <w:szCs w:val="24"/>
        </w:rPr>
        <w:t xml:space="preserve"> </w:t>
      </w:r>
      <w:r w:rsidRPr="00317D18">
        <w:rPr>
          <w:rFonts w:cs="Times New Roman"/>
          <w:szCs w:val="24"/>
        </w:rPr>
        <w:t>In fact, current</w:t>
      </w:r>
      <w:r w:rsidRPr="00317D18">
        <w:rPr>
          <w:rFonts w:eastAsia="Cardo" w:cs="Times New Roman"/>
          <w:szCs w:val="24"/>
        </w:rPr>
        <w:t xml:space="preserve"> e-commerce penetration level in the Philippines is the lowest in the region (</w:t>
      </w:r>
      <w:r>
        <w:rPr>
          <w:rFonts w:eastAsia="Cardo" w:cs="Times New Roman"/>
          <w:szCs w:val="24"/>
        </w:rPr>
        <w:t>Figure 2</w:t>
      </w:r>
      <w:r w:rsidR="00211AB3">
        <w:rPr>
          <w:rFonts w:eastAsia="Cardo" w:cs="Times New Roman"/>
          <w:szCs w:val="24"/>
        </w:rPr>
        <w:t>6</w:t>
      </w:r>
      <w:r w:rsidRPr="00317D18">
        <w:rPr>
          <w:rFonts w:eastAsia="Cardo" w:cs="Times New Roman"/>
          <w:szCs w:val="24"/>
        </w:rPr>
        <w:t xml:space="preserve">). </w:t>
      </w:r>
      <w:r>
        <w:rPr>
          <w:rFonts w:eastAsia="Cardo" w:cs="Times New Roman"/>
          <w:szCs w:val="24"/>
        </w:rPr>
        <w:t xml:space="preserve">Overall, </w:t>
      </w:r>
      <w:r w:rsidRPr="002849C2">
        <w:rPr>
          <w:rFonts w:eastAsia="Cardo" w:cs="Times New Roman"/>
          <w:szCs w:val="24"/>
        </w:rPr>
        <w:t>Philippine businesses trail in using the internet to connect to consumers. The Philippines ranks 51 (out of 139 countries) in the Internet use for business-to consumer transactions ranking index of WEF’s 2016 Global Information Technology report. This ranking is compared to Thailand (39), China (32), Indonesia (28), and Malaysia (26).</w:t>
      </w:r>
    </w:p>
    <w:p w14:paraId="1E0A78F7" w14:textId="3C5F4B00" w:rsidR="00294019" w:rsidRPr="002A3AA5" w:rsidRDefault="00294019" w:rsidP="00294019">
      <w:pPr>
        <w:pStyle w:val="NoSpacing"/>
        <w:jc w:val="center"/>
        <w:rPr>
          <w:rFonts w:ascii="Times New Roman" w:hAnsi="Times New Roman" w:cs="Times New Roman"/>
          <w:b/>
        </w:rPr>
      </w:pPr>
      <w:bookmarkStart w:id="57" w:name="_Ref7792051"/>
      <w:r w:rsidRPr="002A3AA5">
        <w:rPr>
          <w:rFonts w:ascii="Times New Roman" w:hAnsi="Times New Roman" w:cs="Times New Roman"/>
          <w:b/>
        </w:rPr>
        <w:t>Figure</w:t>
      </w:r>
      <w:r>
        <w:rPr>
          <w:rFonts w:ascii="Times New Roman" w:hAnsi="Times New Roman" w:cs="Times New Roman"/>
          <w:b/>
        </w:rPr>
        <w:t xml:space="preserve"> 2</w:t>
      </w:r>
      <w:bookmarkEnd w:id="57"/>
      <w:r w:rsidR="005D5898">
        <w:rPr>
          <w:rFonts w:ascii="Times New Roman" w:hAnsi="Times New Roman" w:cs="Times New Roman"/>
          <w:b/>
        </w:rPr>
        <w:t>6</w:t>
      </w:r>
      <w:r w:rsidRPr="002A3AA5">
        <w:rPr>
          <w:rFonts w:ascii="Times New Roman" w:hAnsi="Times New Roman" w:cs="Times New Roman"/>
          <w:b/>
        </w:rPr>
        <w:t>: Adoption of E-commerce in the Philippines</w:t>
      </w:r>
    </w:p>
    <w:p w14:paraId="12CF696F" w14:textId="77777777" w:rsidR="00294019" w:rsidRDefault="00294019" w:rsidP="00294019">
      <w:pPr>
        <w:jc w:val="center"/>
        <w:rPr>
          <w:rFonts w:eastAsia="Cardo" w:cs="Times New Roman"/>
          <w:i/>
          <w:sz w:val="24"/>
          <w:szCs w:val="24"/>
        </w:rPr>
      </w:pPr>
      <w:r>
        <w:rPr>
          <w:rFonts w:eastAsia="Cardo" w:cs="Times New Roman"/>
          <w:noProof/>
          <w:sz w:val="24"/>
          <w:szCs w:val="24"/>
        </w:rPr>
        <w:drawing>
          <wp:inline distT="0" distB="0" distL="0" distR="0" wp14:anchorId="3A81F149" wp14:editId="26125B7B">
            <wp:extent cx="4898415" cy="250466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42">
                      <a:extLst>
                        <a:ext uri="{28A0092B-C50C-407E-A947-70E740481C1C}">
                          <a14:useLocalDpi xmlns:a14="http://schemas.microsoft.com/office/drawing/2010/main" val="0"/>
                        </a:ext>
                      </a:extLst>
                    </a:blip>
                    <a:srcRect l="1" t="7993" r="2083" b="18550"/>
                    <a:stretch/>
                  </pic:blipFill>
                  <pic:spPr bwMode="auto">
                    <a:xfrm>
                      <a:off x="0" y="0"/>
                      <a:ext cx="4915011" cy="2513147"/>
                    </a:xfrm>
                    <a:prstGeom prst="rect">
                      <a:avLst/>
                    </a:prstGeom>
                    <a:noFill/>
                    <a:ln>
                      <a:noFill/>
                    </a:ln>
                    <a:extLst>
                      <a:ext uri="{53640926-AAD7-44D8-BBD7-CCE9431645EC}">
                        <a14:shadowObscured xmlns:a14="http://schemas.microsoft.com/office/drawing/2010/main"/>
                      </a:ext>
                    </a:extLst>
                  </pic:spPr>
                </pic:pic>
              </a:graphicData>
            </a:graphic>
          </wp:inline>
        </w:drawing>
      </w:r>
    </w:p>
    <w:p w14:paraId="3A0C88AA" w14:textId="77777777" w:rsidR="00294019" w:rsidRDefault="00294019" w:rsidP="00294019">
      <w:pPr>
        <w:jc w:val="center"/>
        <w:rPr>
          <w:rFonts w:eastAsia="Cardo" w:cs="Times New Roman"/>
          <w:sz w:val="18"/>
          <w:szCs w:val="18"/>
        </w:rPr>
      </w:pPr>
      <w:r>
        <w:rPr>
          <w:rFonts w:eastAsia="Cardo" w:cs="Times New Roman"/>
          <w:sz w:val="18"/>
          <w:szCs w:val="18"/>
        </w:rPr>
        <w:t>Source: Euromonitor.</w:t>
      </w:r>
    </w:p>
    <w:p w14:paraId="05D70DFD" w14:textId="48065D9A" w:rsidR="00363065" w:rsidRPr="00AB4BB4" w:rsidRDefault="00294019" w:rsidP="00AB4BB4">
      <w:pPr>
        <w:pStyle w:val="ListParagraph"/>
        <w:numPr>
          <w:ilvl w:val="0"/>
          <w:numId w:val="50"/>
        </w:numPr>
        <w:jc w:val="both"/>
        <w:rPr>
          <w:rFonts w:cs="Times New Roman"/>
          <w:color w:val="000000"/>
        </w:rPr>
      </w:pPr>
      <w:r w:rsidRPr="00317D18">
        <w:rPr>
          <w:rFonts w:cs="Times New Roman"/>
          <w:b/>
        </w:rPr>
        <w:t xml:space="preserve">Intermediary organizations (both public and private) supporting the entrepreneurship ecosystem exists: while there are some interconnections between organizations at each phase of startup development, ecosystem activities remain largely fragmented. </w:t>
      </w:r>
      <w:r w:rsidRPr="00317D18">
        <w:rPr>
          <w:rFonts w:eastAsia="Times New Roman" w:cs="Times New Roman"/>
        </w:rPr>
        <w:t>In terms of interconnections, early stage founders seeking a solid program on the basics of startup development may attend Founders Institute, whereas startups that have pre-established business models may attend Spring Valley or QBO Innovation Hub. Once a startup is ready to scale up, it may approach Endeavor or other similar ventures. Yet, these support organizations remain relatively few. Also, while there are some partnership activities among ecosystem actors, many of these actors implement activities in silo</w:t>
      </w:r>
      <w:r>
        <w:rPr>
          <w:rFonts w:eastAsia="Times New Roman" w:cs="Times New Roman"/>
        </w:rPr>
        <w:t xml:space="preserve"> </w:t>
      </w:r>
      <w:r w:rsidRPr="00CA32CE">
        <w:rPr>
          <w:rFonts w:eastAsia="Times New Roman" w:cs="Times New Roman"/>
        </w:rPr>
        <w:t>(</w:t>
      </w:r>
      <w:r>
        <w:rPr>
          <w:rFonts w:eastAsia="Times New Roman" w:cs="Times New Roman"/>
        </w:rPr>
        <w:t>Figure 28)</w:t>
      </w:r>
      <w:r w:rsidRPr="007A584B">
        <w:rPr>
          <w:rFonts w:eastAsia="Times New Roman" w:cs="Times New Roman"/>
        </w:rPr>
        <w:t>.</w:t>
      </w:r>
      <w:r w:rsidRPr="007A584B">
        <w:rPr>
          <w:rFonts w:cs="Times New Roman"/>
          <w:b/>
        </w:rPr>
        <w:t xml:space="preserve"> </w:t>
      </w:r>
      <w:r w:rsidRPr="007A584B">
        <w:rPr>
          <w:rFonts w:eastAsia="Times New Roman" w:cs="Times New Roman"/>
          <w:bCs/>
          <w:lang w:eastAsia="zh-CN"/>
        </w:rPr>
        <w:t>In general, fragmentation of ecosystem activities exists on two levels: (i) cohesion between actors working towards providing support for entrepreneurs; and (ii) between the key national government departments tasked with supporting entrepreneurship (i.e., DTI, DICT, and DOST).</w:t>
      </w:r>
      <w:r w:rsidRPr="00317D18">
        <w:rPr>
          <w:rFonts w:cs="Times New Roman"/>
          <w:b/>
        </w:rPr>
        <w:t xml:space="preserve"> </w:t>
      </w:r>
      <w:r w:rsidRPr="00317D18">
        <w:rPr>
          <w:rFonts w:cs="Times New Roman"/>
        </w:rPr>
        <w:t xml:space="preserve">To-date for example, there is no clear leader (e.g., public or private sector) facilitating the growth of the entrepreneurship ecosystem and connecting the existing stakeholders, although the government has established the Philippine Startup Business Council as </w:t>
      </w:r>
      <w:r w:rsidRPr="00317D18">
        <w:rPr>
          <w:rFonts w:cs="Times New Roman"/>
          <w:color w:val="000000"/>
        </w:rPr>
        <w:t>the primary “mover-liaison” between and among the stakeholders of the startup community.</w:t>
      </w:r>
      <w:r w:rsidRPr="00317D18">
        <w:rPr>
          <w:rFonts w:cs="Times New Roman"/>
          <w:color w:val="000000"/>
          <w:vertAlign w:val="superscript"/>
        </w:rPr>
        <w:endnoteReference w:id="56"/>
      </w:r>
      <w:r w:rsidRPr="00317D18">
        <w:rPr>
          <w:rFonts w:cs="Times New Roman"/>
          <w:color w:val="000000"/>
        </w:rPr>
        <w:t xml:space="preserve"> This fragmentation has led to uneven support for startups, lack of information flow on startup support initiatives (there remains confusion about the roles and responsibilities of government agencies tasked with supporting startups), among others.</w:t>
      </w:r>
    </w:p>
    <w:p w14:paraId="0E8C56A3" w14:textId="1FA448A3" w:rsidR="00363065" w:rsidRPr="00B32B11" w:rsidRDefault="003964E8" w:rsidP="00B32B11">
      <w:pPr>
        <w:pStyle w:val="Heading1"/>
        <w:rPr>
          <w:i/>
          <w:sz w:val="24"/>
          <w:szCs w:val="24"/>
        </w:rPr>
      </w:pPr>
      <w:bookmarkStart w:id="58" w:name="_Toc12503518"/>
      <w:r w:rsidRPr="00B32B11">
        <w:rPr>
          <w:i/>
          <w:sz w:val="24"/>
          <w:szCs w:val="24"/>
        </w:rPr>
        <w:t>Internal</w:t>
      </w:r>
      <w:r w:rsidR="00A22D4B">
        <w:rPr>
          <w:i/>
          <w:sz w:val="24"/>
          <w:szCs w:val="24"/>
        </w:rPr>
        <w:t xml:space="preserve"> firm</w:t>
      </w:r>
      <w:r w:rsidRPr="00B32B11">
        <w:rPr>
          <w:i/>
          <w:sz w:val="24"/>
          <w:szCs w:val="24"/>
        </w:rPr>
        <w:t xml:space="preserve"> constraints</w:t>
      </w:r>
      <w:bookmarkEnd w:id="58"/>
    </w:p>
    <w:p w14:paraId="245F5F4B" w14:textId="77777777" w:rsidR="00FA52A8" w:rsidRDefault="00FA52A8" w:rsidP="00FA52A8">
      <w:pPr>
        <w:pStyle w:val="ListParagraph"/>
        <w:ind w:left="360"/>
        <w:jc w:val="both"/>
        <w:rPr>
          <w:rFonts w:eastAsia="Malgun Gothic" w:cs="Times New Roman"/>
          <w:i/>
          <w:color w:val="0070C0"/>
          <w:lang w:val="en-MY" w:eastAsia="ko-KR"/>
        </w:rPr>
      </w:pPr>
    </w:p>
    <w:p w14:paraId="7B7AAF9A" w14:textId="3C7E16C1" w:rsidR="00544C43" w:rsidRPr="00E27CBF" w:rsidRDefault="00FA52A8" w:rsidP="00E27CBF">
      <w:pPr>
        <w:pStyle w:val="ListParagraph"/>
        <w:numPr>
          <w:ilvl w:val="0"/>
          <w:numId w:val="50"/>
        </w:numPr>
        <w:jc w:val="both"/>
        <w:rPr>
          <w:rFonts w:eastAsia="Malgun Gothic" w:cs="Times New Roman"/>
          <w:b/>
          <w:lang w:val="en-MY" w:eastAsia="ko-KR"/>
        </w:rPr>
      </w:pPr>
      <w:r>
        <w:rPr>
          <w:rFonts w:eastAsia="Malgun Gothic" w:cs="Times New Roman"/>
          <w:lang w:val="en-MY" w:eastAsia="ko-KR"/>
        </w:rPr>
        <w:t>I</w:t>
      </w:r>
      <w:r w:rsidRPr="00FA52A8">
        <w:rPr>
          <w:rFonts w:eastAsia="Malgun Gothic" w:cs="Times New Roman"/>
          <w:lang w:val="en-MY" w:eastAsia="ko-KR"/>
        </w:rPr>
        <w:t>nternal firm factors relate to entrepreneurial and managerial capabilities and technology adoption/innovation which are considered central for raising productivity</w:t>
      </w:r>
      <w:r w:rsidR="00E27CBF">
        <w:rPr>
          <w:rFonts w:eastAsia="Malgun Gothic" w:cs="Times New Roman"/>
          <w:lang w:val="en-MY" w:eastAsia="ko-KR"/>
        </w:rPr>
        <w:t xml:space="preserve">. </w:t>
      </w:r>
      <w:r w:rsidR="00363065" w:rsidRPr="00E64950">
        <w:rPr>
          <w:rFonts w:eastAsia="Malgun Gothic" w:cs="Times New Roman"/>
          <w:lang w:val="en-MY" w:eastAsia="ko-KR"/>
        </w:rPr>
        <w:t xml:space="preserve">Weak </w:t>
      </w:r>
      <w:r w:rsidR="00AB4BB4" w:rsidRPr="00E64950">
        <w:rPr>
          <w:rFonts w:eastAsia="Malgun Gothic" w:cs="Times New Roman"/>
          <w:lang w:val="en-MY" w:eastAsia="ko-KR"/>
        </w:rPr>
        <w:t xml:space="preserve">firm </w:t>
      </w:r>
      <w:r w:rsidR="00363065" w:rsidRPr="00E64950">
        <w:rPr>
          <w:rFonts w:eastAsia="Malgun Gothic" w:cs="Times New Roman"/>
          <w:lang w:val="en-MY" w:eastAsia="ko-KR"/>
        </w:rPr>
        <w:t>capacity to innovate limits productivity growth.</w:t>
      </w:r>
      <w:r w:rsidR="00363065" w:rsidRPr="00061AA9">
        <w:rPr>
          <w:rFonts w:eastAsia="Malgun Gothic" w:cs="Times New Roman"/>
          <w:lang w:val="en-MY" w:eastAsia="ko-KR"/>
        </w:rPr>
        <w:t xml:space="preserve"> Productivity growth is influenced by the capabilities and incentives of firms to innovate. </w:t>
      </w:r>
      <w:r w:rsidR="003D2588" w:rsidRPr="00061AA9">
        <w:rPr>
          <w:rFonts w:eastAsia="Malgun Gothic" w:cs="Times New Roman"/>
          <w:lang w:val="en-MY" w:eastAsia="ko-KR"/>
        </w:rPr>
        <w:t xml:space="preserve">Entrepreneurship and innovation at firm level requires enhancing firm capabilities for </w:t>
      </w:r>
      <w:r w:rsidR="0083618E" w:rsidRPr="00061AA9">
        <w:rPr>
          <w:rFonts w:eastAsia="Malgun Gothic" w:cs="Times New Roman"/>
          <w:lang w:val="en-MY" w:eastAsia="ko-KR"/>
        </w:rPr>
        <w:t>innova</w:t>
      </w:r>
      <w:r w:rsidR="00502F7C" w:rsidRPr="00061AA9">
        <w:rPr>
          <w:rFonts w:eastAsia="Malgun Gothic" w:cs="Times New Roman"/>
          <w:lang w:val="en-MY" w:eastAsia="ko-KR"/>
        </w:rPr>
        <w:t xml:space="preserve">tion and </w:t>
      </w:r>
      <w:r w:rsidR="003D2588" w:rsidRPr="00061AA9">
        <w:rPr>
          <w:rFonts w:eastAsia="Malgun Gothic" w:cs="Times New Roman"/>
          <w:lang w:val="en-MY" w:eastAsia="ko-KR"/>
        </w:rPr>
        <w:t>technology learning</w:t>
      </w:r>
      <w:r w:rsidR="00842589" w:rsidRPr="00061AA9">
        <w:rPr>
          <w:rFonts w:eastAsia="Malgun Gothic" w:cs="Times New Roman"/>
          <w:lang w:val="en-MY" w:eastAsia="ko-KR"/>
        </w:rPr>
        <w:t xml:space="preserve"> that in turn affects productivity growth</w:t>
      </w:r>
      <w:r w:rsidR="003D2588" w:rsidRPr="00061AA9">
        <w:rPr>
          <w:rFonts w:eastAsia="Malgun Gothic" w:cs="Times New Roman"/>
          <w:lang w:val="en-MY" w:eastAsia="ko-KR"/>
        </w:rPr>
        <w:t xml:space="preserve">. Technological learning at the firm level implies an increased ability for firms to absorb these effectively and thus the need to invest in a firms’ absorptive capacity.  </w:t>
      </w:r>
    </w:p>
    <w:p w14:paraId="2CAFA4C0" w14:textId="39739E2D" w:rsidR="00544C43" w:rsidRPr="00544C43" w:rsidRDefault="00544C43" w:rsidP="00544C43">
      <w:pPr>
        <w:pStyle w:val="ListParagraph"/>
        <w:ind w:left="360"/>
        <w:jc w:val="both"/>
        <w:rPr>
          <w:rFonts w:eastAsia="Malgun Gothic" w:cs="Times New Roman"/>
          <w:i/>
          <w:color w:val="0070C0"/>
          <w:lang w:val="en-MY" w:eastAsia="ko-KR"/>
        </w:rPr>
      </w:pPr>
    </w:p>
    <w:p w14:paraId="7CCA4C2A" w14:textId="4C3BD004" w:rsidR="00544C43" w:rsidRPr="0086446B" w:rsidRDefault="00061AA9" w:rsidP="00544C43">
      <w:pPr>
        <w:pStyle w:val="ListParagraph"/>
        <w:numPr>
          <w:ilvl w:val="0"/>
          <w:numId w:val="50"/>
        </w:numPr>
        <w:jc w:val="both"/>
        <w:rPr>
          <w:rFonts w:eastAsia="Malgun Gothic" w:cs="Times New Roman"/>
          <w:lang w:val="en-MY" w:eastAsia="ko-KR"/>
        </w:rPr>
      </w:pPr>
      <w:r w:rsidRPr="00061AA9">
        <w:rPr>
          <w:rFonts w:eastAsia="Malgun Gothic" w:cs="Times New Roman"/>
          <w:lang w:val="en-MY" w:eastAsia="ko-KR"/>
        </w:rPr>
        <w:t>According to the Global Innovation Index Report - that ranks innovation capabilities across world economies – Philippines is pegged 73rd out of 127 countries, behind Singapore (7th), China (22nd) and Malaysia (37th), Vietnam 47th but above Indonesia (87th). Philippine firms are less likely to adopt existing technologies than firms in peer countries. For instance, only 9 percent of firms in the Philippines have internationally recognized quality certifications and only 11.2 percent of firms use technology licensed from foreign companies, lower than in most peers.</w:t>
      </w:r>
    </w:p>
    <w:p w14:paraId="56A1D222" w14:textId="77777777" w:rsidR="00544C43" w:rsidRPr="00544C43" w:rsidRDefault="00544C43" w:rsidP="00E17D39">
      <w:pPr>
        <w:pStyle w:val="ListParagraph"/>
        <w:ind w:left="360"/>
        <w:jc w:val="both"/>
        <w:rPr>
          <w:rFonts w:eastAsia="Malgun Gothic" w:cs="Times New Roman"/>
          <w:lang w:val="en-MY" w:eastAsia="ko-KR"/>
        </w:rPr>
      </w:pPr>
    </w:p>
    <w:p w14:paraId="19074E2D" w14:textId="2D32E29D" w:rsidR="00544C43" w:rsidRPr="00544C43" w:rsidRDefault="00544C43" w:rsidP="00544C43">
      <w:pPr>
        <w:pStyle w:val="ListParagraph"/>
        <w:numPr>
          <w:ilvl w:val="0"/>
          <w:numId w:val="50"/>
        </w:numPr>
        <w:jc w:val="both"/>
        <w:rPr>
          <w:rFonts w:eastAsia="Malgun Gothic" w:cs="Times New Roman"/>
          <w:lang w:val="en-MY" w:eastAsia="ko-KR"/>
        </w:rPr>
      </w:pPr>
      <w:r w:rsidRPr="0086446B">
        <w:rPr>
          <w:rFonts w:eastAsia="Malgun Gothic" w:cs="Times New Roman"/>
          <w:b/>
          <w:lang w:val="en-MY" w:eastAsia="ko-KR"/>
        </w:rPr>
        <w:t>The Philippine national innovation system needs improvement.</w:t>
      </w:r>
      <w:r w:rsidR="0086446B">
        <w:rPr>
          <w:rStyle w:val="EndnoteReference"/>
          <w:rFonts w:eastAsia="Malgun Gothic" w:cs="Times New Roman"/>
          <w:b/>
          <w:lang w:val="en-MY" w:eastAsia="ko-KR"/>
        </w:rPr>
        <w:endnoteReference w:id="57"/>
      </w:r>
      <w:r w:rsidRPr="0086446B">
        <w:rPr>
          <w:rFonts w:eastAsia="Malgun Gothic" w:cs="Times New Roman"/>
          <w:b/>
          <w:lang w:val="en-MY" w:eastAsia="ko-KR"/>
        </w:rPr>
        <w:t xml:space="preserve">  For</w:t>
      </w:r>
      <w:r w:rsidRPr="00544C43">
        <w:rPr>
          <w:rFonts w:eastAsia="Malgun Gothic" w:cs="Times New Roman"/>
          <w:lang w:val="en-MY" w:eastAsia="ko-KR"/>
        </w:rPr>
        <w:t xml:space="preserve"> firms to reach the technological frontier, policies and institutions need to focus on building the capabilities of the private sector and removing the constraints to developing a mature National Innovation System. Many parts of the NIS are underdeveloped and the linkages between elements of the innovation ecosystem are not working effectively in the Philippines. In addition to the supply and demand for knowledge, solving the innovation problem depends on the set of incentives and policies that can facilitate the investments and transfer of knowledge.  For instance, the high level of market dominance and the presence of inefficient business regulations in the Philippines are not conducive for innovation. The country ranks low in terms of availability and quality of research capital and availability of scientists and engineers. Philippines spending on R&amp;D is merely 0.1 percent of GDP, compared with an average of 0.9 percent of GDP among regional peers, and an average of 0.4 percent of GDP among structural peers. </w:t>
      </w:r>
    </w:p>
    <w:p w14:paraId="65DE1242" w14:textId="77777777" w:rsidR="00544C43" w:rsidRPr="00544C43" w:rsidRDefault="00544C43" w:rsidP="00544C43">
      <w:pPr>
        <w:pStyle w:val="ListParagraph"/>
        <w:ind w:left="360"/>
        <w:jc w:val="both"/>
        <w:rPr>
          <w:rFonts w:eastAsia="Malgun Gothic" w:cs="Times New Roman"/>
          <w:lang w:val="en-MY" w:eastAsia="ko-KR"/>
        </w:rPr>
      </w:pPr>
    </w:p>
    <w:p w14:paraId="2E8FAC4C" w14:textId="7639A093" w:rsidR="00497A01" w:rsidRPr="00EC1C43" w:rsidRDefault="00544C43" w:rsidP="00497A01">
      <w:pPr>
        <w:pStyle w:val="ListParagraph"/>
        <w:numPr>
          <w:ilvl w:val="0"/>
          <w:numId w:val="50"/>
        </w:numPr>
        <w:jc w:val="both"/>
        <w:rPr>
          <w:rFonts w:eastAsia="Malgun Gothic" w:cs="Times New Roman"/>
          <w:lang w:val="en-MY" w:eastAsia="ko-KR"/>
        </w:rPr>
      </w:pPr>
      <w:r w:rsidRPr="00544C43">
        <w:rPr>
          <w:rFonts w:eastAsia="Malgun Gothic" w:cs="Times New Roman"/>
          <w:lang w:val="en-MY" w:eastAsia="ko-KR"/>
        </w:rPr>
        <w:t xml:space="preserve">Corporations can make the most disruptive impact on </w:t>
      </w:r>
      <w:proofErr w:type="spellStart"/>
      <w:r w:rsidRPr="00544C43">
        <w:rPr>
          <w:rFonts w:eastAsia="Malgun Gothic" w:cs="Times New Roman"/>
          <w:lang w:val="en-MY" w:eastAsia="ko-KR"/>
        </w:rPr>
        <w:t>startups</w:t>
      </w:r>
      <w:proofErr w:type="spellEnd"/>
      <w:r w:rsidRPr="00544C43">
        <w:rPr>
          <w:rFonts w:eastAsia="Malgun Gothic" w:cs="Times New Roman"/>
          <w:lang w:val="en-MY" w:eastAsia="ko-KR"/>
        </w:rPr>
        <w:t xml:space="preserve">, by encouraging innovation, investing and/or acquisition. Early data from the Harvard Business Review show that contrary to popular perception, venture capital does not necessarily play a major role in directly funding basic innovation; rather, it is through other entities such as corporations. Looking at the </w:t>
      </w:r>
      <w:proofErr w:type="spellStart"/>
      <w:r w:rsidRPr="00544C43">
        <w:rPr>
          <w:rFonts w:eastAsia="Malgun Gothic" w:cs="Times New Roman"/>
          <w:lang w:val="en-MY" w:eastAsia="ko-KR"/>
        </w:rPr>
        <w:t>startup</w:t>
      </w:r>
      <w:proofErr w:type="spellEnd"/>
      <w:r w:rsidRPr="00544C43">
        <w:rPr>
          <w:rFonts w:eastAsia="Malgun Gothic" w:cs="Times New Roman"/>
          <w:lang w:val="en-MY" w:eastAsia="ko-KR"/>
        </w:rPr>
        <w:t xml:space="preserve"> acquisitions made by Chinese e-commerce giant (Alibaba) in 2016 in various sectors ranging from media, entertainment, electronics, mobile, and transport space , the dual value added of working with </w:t>
      </w:r>
      <w:proofErr w:type="spellStart"/>
      <w:r w:rsidRPr="00544C43">
        <w:rPr>
          <w:rFonts w:eastAsia="Malgun Gothic" w:cs="Times New Roman"/>
          <w:lang w:val="en-MY" w:eastAsia="ko-KR"/>
        </w:rPr>
        <w:t>startups</w:t>
      </w:r>
      <w:proofErr w:type="spellEnd"/>
      <w:r w:rsidRPr="00544C43">
        <w:rPr>
          <w:rFonts w:eastAsia="Malgun Gothic" w:cs="Times New Roman"/>
          <w:lang w:val="en-MY" w:eastAsia="ko-KR"/>
        </w:rPr>
        <w:t xml:space="preserve"> can be observed: on the one hand, there is a self-serving expansion of Alibaba’s empire of offerings and services; on the other hand, start</w:t>
      </w:r>
      <w:r w:rsidR="00EC1C43">
        <w:rPr>
          <w:rFonts w:eastAsia="Malgun Gothic" w:cs="Times New Roman"/>
          <w:lang w:val="en-MY" w:eastAsia="ko-KR"/>
        </w:rPr>
        <w:t>-</w:t>
      </w:r>
      <w:r w:rsidRPr="00544C43">
        <w:rPr>
          <w:rFonts w:eastAsia="Malgun Gothic" w:cs="Times New Roman"/>
          <w:lang w:val="en-MY" w:eastAsia="ko-KR"/>
        </w:rPr>
        <w:t xml:space="preserve">ups gain a new partner (including fresh capital, knowledge and experience) to help entrepreneurs blaze through the growth cycles. </w:t>
      </w:r>
      <w:proofErr w:type="gramStart"/>
      <w:r w:rsidRPr="00544C43">
        <w:rPr>
          <w:rFonts w:eastAsia="Malgun Gothic" w:cs="Times New Roman"/>
          <w:lang w:val="en-MY" w:eastAsia="ko-KR"/>
        </w:rPr>
        <w:t>Similar to</w:t>
      </w:r>
      <w:proofErr w:type="gramEnd"/>
      <w:r w:rsidRPr="00544C43">
        <w:rPr>
          <w:rFonts w:eastAsia="Malgun Gothic" w:cs="Times New Roman"/>
          <w:lang w:val="en-MY" w:eastAsia="ko-KR"/>
        </w:rPr>
        <w:t xml:space="preserve"> that of Alibaba, Philippine telecoms company Globe funds Kickstart Ventures, a key local investor for growth-stage firms in the digital space. Through this investment, Globe </w:t>
      </w:r>
      <w:proofErr w:type="gramStart"/>
      <w:r w:rsidRPr="00544C43">
        <w:rPr>
          <w:rFonts w:eastAsia="Malgun Gothic" w:cs="Times New Roman"/>
          <w:lang w:val="en-MY" w:eastAsia="ko-KR"/>
        </w:rPr>
        <w:t>is able to</w:t>
      </w:r>
      <w:proofErr w:type="gramEnd"/>
      <w:r w:rsidRPr="00544C43">
        <w:rPr>
          <w:rFonts w:eastAsia="Malgun Gothic" w:cs="Times New Roman"/>
          <w:lang w:val="en-MY" w:eastAsia="ko-KR"/>
        </w:rPr>
        <w:t xml:space="preserve"> keep track of trends in the market and have direct access to high-potential start</w:t>
      </w:r>
      <w:r w:rsidR="00EC1C43">
        <w:rPr>
          <w:rFonts w:eastAsia="Malgun Gothic" w:cs="Times New Roman"/>
          <w:lang w:val="en-MY" w:eastAsia="ko-KR"/>
        </w:rPr>
        <w:t>-</w:t>
      </w:r>
      <w:r w:rsidRPr="00544C43">
        <w:rPr>
          <w:rFonts w:eastAsia="Malgun Gothic" w:cs="Times New Roman"/>
          <w:lang w:val="en-MY" w:eastAsia="ko-KR"/>
        </w:rPr>
        <w:t>ups. For example, Kickstart Ventures hosts a ‘deal day’ on behalf of their network with Globe, Ayala, Singtel, and a range of other C-level executives from major companies which are all keen to find start</w:t>
      </w:r>
      <w:r w:rsidR="00EC1C43">
        <w:rPr>
          <w:rFonts w:eastAsia="Malgun Gothic" w:cs="Times New Roman"/>
          <w:lang w:val="en-MY" w:eastAsia="ko-KR"/>
        </w:rPr>
        <w:t>-</w:t>
      </w:r>
      <w:r w:rsidRPr="00544C43">
        <w:rPr>
          <w:rFonts w:eastAsia="Malgun Gothic" w:cs="Times New Roman"/>
          <w:lang w:val="en-MY" w:eastAsia="ko-KR"/>
        </w:rPr>
        <w:t xml:space="preserve">ups who can address some of their problems or provide new solutions.   </w:t>
      </w:r>
    </w:p>
    <w:p w14:paraId="370D2156" w14:textId="7F543034" w:rsidR="00363065" w:rsidRPr="00363065" w:rsidRDefault="00363065" w:rsidP="00363065">
      <w:pPr>
        <w:autoSpaceDE w:val="0"/>
        <w:autoSpaceDN w:val="0"/>
        <w:adjustRightInd w:val="0"/>
        <w:spacing w:after="0" w:line="240" w:lineRule="auto"/>
        <w:rPr>
          <w:rFonts w:cs="Times New Roman"/>
          <w:b/>
        </w:rPr>
      </w:pPr>
      <w:r w:rsidRPr="00363065">
        <w:rPr>
          <w:rFonts w:cs="Times New Roman"/>
          <w:b/>
        </w:rPr>
        <w:tab/>
        <w:t xml:space="preserve">Figure </w:t>
      </w:r>
      <w:r w:rsidR="00617491">
        <w:rPr>
          <w:rFonts w:cs="Times New Roman"/>
          <w:b/>
        </w:rPr>
        <w:t>27</w:t>
      </w:r>
      <w:r w:rsidRPr="00363065">
        <w:rPr>
          <w:rFonts w:cs="Times New Roman"/>
          <w:b/>
        </w:rPr>
        <w:t>: Constraints to Innovation activities – MSMEs vs. large firms</w:t>
      </w:r>
    </w:p>
    <w:p w14:paraId="0DC4A242" w14:textId="77777777" w:rsidR="00363065" w:rsidRPr="00363065" w:rsidRDefault="00363065" w:rsidP="00363065">
      <w:pPr>
        <w:autoSpaceDE w:val="0"/>
        <w:autoSpaceDN w:val="0"/>
        <w:adjustRightInd w:val="0"/>
        <w:spacing w:after="0" w:line="240" w:lineRule="auto"/>
        <w:rPr>
          <w:rFonts w:cs="Times New Roman"/>
        </w:rPr>
      </w:pPr>
      <w:r w:rsidRPr="00363065">
        <w:rPr>
          <w:rFonts w:cs="Times New Roman"/>
        </w:rPr>
        <w:tab/>
      </w:r>
    </w:p>
    <w:p w14:paraId="4B91726D" w14:textId="77777777" w:rsidR="00363065" w:rsidRPr="00363065" w:rsidRDefault="00363065" w:rsidP="00363065">
      <w:pPr>
        <w:autoSpaceDE w:val="0"/>
        <w:autoSpaceDN w:val="0"/>
        <w:adjustRightInd w:val="0"/>
        <w:spacing w:after="0" w:line="240" w:lineRule="auto"/>
        <w:rPr>
          <w:rFonts w:cs="Times New Roman"/>
          <w:highlight w:val="yellow"/>
        </w:rPr>
      </w:pPr>
      <w:r w:rsidRPr="00363065">
        <w:rPr>
          <w:rFonts w:asciiTheme="minorHAnsi" w:hAnsiTheme="minorHAnsi"/>
          <w:noProof/>
        </w:rPr>
        <w:drawing>
          <wp:inline distT="0" distB="0" distL="0" distR="0" wp14:anchorId="792FCB67" wp14:editId="59BAD7ED">
            <wp:extent cx="6108502" cy="2453833"/>
            <wp:effectExtent l="0" t="0" r="6985"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56439" cy="2473090"/>
                    </a:xfrm>
                    <a:prstGeom prst="rect">
                      <a:avLst/>
                    </a:prstGeom>
                  </pic:spPr>
                </pic:pic>
              </a:graphicData>
            </a:graphic>
          </wp:inline>
        </w:drawing>
      </w:r>
    </w:p>
    <w:p w14:paraId="25DF9F22" w14:textId="77777777" w:rsidR="00363065" w:rsidRPr="00363065" w:rsidRDefault="00363065" w:rsidP="00363065">
      <w:pPr>
        <w:autoSpaceDE w:val="0"/>
        <w:autoSpaceDN w:val="0"/>
        <w:adjustRightInd w:val="0"/>
        <w:spacing w:after="0" w:line="240" w:lineRule="auto"/>
        <w:rPr>
          <w:rFonts w:cs="Times New Roman"/>
          <w:highlight w:val="yellow"/>
        </w:rPr>
      </w:pPr>
    </w:p>
    <w:p w14:paraId="0EE8A589" w14:textId="77777777" w:rsidR="00363065" w:rsidRPr="00363065" w:rsidRDefault="00363065" w:rsidP="00363065">
      <w:pPr>
        <w:autoSpaceDE w:val="0"/>
        <w:autoSpaceDN w:val="0"/>
        <w:adjustRightInd w:val="0"/>
        <w:spacing w:after="0" w:line="240" w:lineRule="auto"/>
        <w:rPr>
          <w:rFonts w:cs="Times New Roman"/>
          <w:sz w:val="18"/>
          <w:szCs w:val="18"/>
        </w:rPr>
      </w:pPr>
      <w:r w:rsidRPr="00363065">
        <w:rPr>
          <w:rFonts w:cs="Times New Roman"/>
          <w:i/>
          <w:iCs/>
        </w:rPr>
        <w:tab/>
      </w:r>
      <w:r w:rsidRPr="00363065">
        <w:rPr>
          <w:rFonts w:cs="Times New Roman"/>
          <w:i/>
          <w:iCs/>
          <w:sz w:val="18"/>
          <w:szCs w:val="18"/>
        </w:rPr>
        <w:t xml:space="preserve">Source: </w:t>
      </w:r>
      <w:r w:rsidRPr="00363065">
        <w:rPr>
          <w:rFonts w:cs="Times New Roman"/>
          <w:sz w:val="18"/>
          <w:szCs w:val="18"/>
        </w:rPr>
        <w:t>2015 Survey of Innovation Activities, Philippine Institute for Development Studies.</w:t>
      </w:r>
    </w:p>
    <w:p w14:paraId="0E232581" w14:textId="77777777" w:rsidR="00363065" w:rsidRPr="00363065" w:rsidRDefault="00363065" w:rsidP="00363065">
      <w:pPr>
        <w:autoSpaceDE w:val="0"/>
        <w:autoSpaceDN w:val="0"/>
        <w:adjustRightInd w:val="0"/>
        <w:spacing w:after="0" w:line="240" w:lineRule="auto"/>
        <w:rPr>
          <w:rFonts w:cs="Times New Roman"/>
          <w:highlight w:val="yellow"/>
        </w:rPr>
      </w:pPr>
    </w:p>
    <w:p w14:paraId="339F347E" w14:textId="58297B55" w:rsidR="00EC1C43" w:rsidRPr="00EC1C43" w:rsidRDefault="00EC1C43" w:rsidP="00EC1C43">
      <w:pPr>
        <w:pStyle w:val="ListParagraph"/>
        <w:numPr>
          <w:ilvl w:val="0"/>
          <w:numId w:val="50"/>
        </w:numPr>
        <w:jc w:val="both"/>
        <w:rPr>
          <w:rFonts w:cs="Times New Roman"/>
        </w:rPr>
      </w:pPr>
      <w:r w:rsidRPr="009249D1">
        <w:rPr>
          <w:rFonts w:cs="Times New Roman"/>
          <w:b/>
          <w:bCs/>
        </w:rPr>
        <w:t xml:space="preserve">High cost of innovation, insufficient resources, market dominance, and lack of skills are the most prominent factors that prevent firms from innovating in the Philippines </w:t>
      </w:r>
      <w:r w:rsidRPr="009249D1">
        <w:rPr>
          <w:rFonts w:cs="Times New Roman"/>
          <w:bCs/>
        </w:rPr>
        <w:t xml:space="preserve">(Figure </w:t>
      </w:r>
      <w:r>
        <w:rPr>
          <w:rFonts w:cs="Times New Roman"/>
          <w:bCs/>
        </w:rPr>
        <w:t>27</w:t>
      </w:r>
      <w:r w:rsidRPr="009249D1">
        <w:rPr>
          <w:rFonts w:cs="Times New Roman"/>
          <w:bCs/>
        </w:rPr>
        <w:t>).</w:t>
      </w:r>
      <w:r w:rsidRPr="009249D1">
        <w:rPr>
          <w:rFonts w:cs="Times New Roman"/>
          <w:b/>
          <w:bCs/>
        </w:rPr>
        <w:t xml:space="preserve"> </w:t>
      </w:r>
      <w:r w:rsidRPr="009249D1">
        <w:rPr>
          <w:rFonts w:cs="Times New Roman"/>
        </w:rPr>
        <w:t>Firms within Philippines point to the high cost of innovation as the primary factor that prevent them from engaging in innovation activities in the country, followed by lack of funds from within firms</w:t>
      </w:r>
      <w:r>
        <w:rPr>
          <w:rFonts w:cs="Times New Roman"/>
        </w:rPr>
        <w:t xml:space="preserve"> </w:t>
      </w:r>
      <w:r w:rsidR="00363065" w:rsidRPr="00EC1C43">
        <w:rPr>
          <w:rFonts w:cs="Times New Roman"/>
        </w:rPr>
        <w:t>and external sources. Moreover, market dominance and lack of qualified personnel are also important factors that discourage innovation, especially among micro, small, and medium enterprises (MSMEs). As expected MSMEs are less likely to innovate than large firms</w:t>
      </w:r>
      <w:r w:rsidR="00363065" w:rsidRPr="00EC1C43">
        <w:rPr>
          <w:rFonts w:cs="Times New Roman"/>
          <w:bCs/>
        </w:rPr>
        <w:t xml:space="preserve"> (Figure </w:t>
      </w:r>
      <w:r w:rsidR="00D455AB" w:rsidRPr="00EC1C43">
        <w:rPr>
          <w:rFonts w:cs="Times New Roman"/>
          <w:bCs/>
        </w:rPr>
        <w:t>28</w:t>
      </w:r>
      <w:r w:rsidR="00363065" w:rsidRPr="00EC1C43">
        <w:rPr>
          <w:rFonts w:cs="Times New Roman"/>
          <w:bCs/>
        </w:rPr>
        <w:t>).</w:t>
      </w:r>
    </w:p>
    <w:p w14:paraId="548F13A4" w14:textId="3BEB873C" w:rsidR="00363065" w:rsidRDefault="00363065" w:rsidP="00363065">
      <w:pPr>
        <w:autoSpaceDE w:val="0"/>
        <w:autoSpaceDN w:val="0"/>
        <w:adjustRightInd w:val="0"/>
        <w:spacing w:after="0" w:line="240" w:lineRule="auto"/>
        <w:rPr>
          <w:rFonts w:cs="Times New Roman"/>
          <w:b/>
        </w:rPr>
      </w:pPr>
      <w:r w:rsidRPr="00363065">
        <w:rPr>
          <w:rFonts w:cs="Times New Roman"/>
          <w:b/>
        </w:rPr>
        <w:t xml:space="preserve">Fig: </w:t>
      </w:r>
      <w:r w:rsidR="00D455AB">
        <w:rPr>
          <w:rFonts w:cs="Times New Roman"/>
          <w:b/>
        </w:rPr>
        <w:t>28</w:t>
      </w:r>
      <w:r w:rsidRPr="00363065">
        <w:rPr>
          <w:rFonts w:cs="Times New Roman"/>
          <w:b/>
        </w:rPr>
        <w:t xml:space="preserve"> Innovation constraints: MSMEs vs. large firms</w:t>
      </w:r>
    </w:p>
    <w:p w14:paraId="4592E898" w14:textId="77777777" w:rsidR="000434FC" w:rsidRPr="000434FC" w:rsidRDefault="000434FC" w:rsidP="00363065">
      <w:pPr>
        <w:autoSpaceDE w:val="0"/>
        <w:autoSpaceDN w:val="0"/>
        <w:adjustRightInd w:val="0"/>
        <w:spacing w:after="0" w:line="240" w:lineRule="auto"/>
        <w:rPr>
          <w:rFonts w:cs="Times New Roman"/>
          <w:b/>
        </w:rPr>
      </w:pPr>
    </w:p>
    <w:p w14:paraId="0FF14CB4" w14:textId="77777777" w:rsidR="00363065" w:rsidRPr="00363065" w:rsidRDefault="00363065" w:rsidP="00363065">
      <w:pPr>
        <w:autoSpaceDE w:val="0"/>
        <w:autoSpaceDN w:val="0"/>
        <w:adjustRightInd w:val="0"/>
        <w:spacing w:after="0" w:line="240" w:lineRule="auto"/>
        <w:rPr>
          <w:rFonts w:cs="Times New Roman"/>
          <w:highlight w:val="yellow"/>
        </w:rPr>
      </w:pPr>
      <w:r w:rsidRPr="00363065">
        <w:rPr>
          <w:rFonts w:asciiTheme="minorHAnsi" w:hAnsiTheme="minorHAnsi"/>
          <w:noProof/>
        </w:rPr>
        <w:drawing>
          <wp:inline distT="0" distB="0" distL="0" distR="0" wp14:anchorId="128BEDC0" wp14:editId="2B6179EB">
            <wp:extent cx="4132162" cy="1721485"/>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03822" cy="1793000"/>
                    </a:xfrm>
                    <a:prstGeom prst="rect">
                      <a:avLst/>
                    </a:prstGeom>
                  </pic:spPr>
                </pic:pic>
              </a:graphicData>
            </a:graphic>
          </wp:inline>
        </w:drawing>
      </w:r>
    </w:p>
    <w:p w14:paraId="37184BDD" w14:textId="77777777" w:rsidR="00363065" w:rsidRPr="00363065" w:rsidRDefault="00363065" w:rsidP="00363065">
      <w:pPr>
        <w:autoSpaceDE w:val="0"/>
        <w:autoSpaceDN w:val="0"/>
        <w:adjustRightInd w:val="0"/>
        <w:spacing w:after="0" w:line="240" w:lineRule="auto"/>
        <w:rPr>
          <w:rFonts w:cs="Times New Roman"/>
          <w:i/>
          <w:iCs/>
          <w:sz w:val="18"/>
          <w:szCs w:val="18"/>
        </w:rPr>
      </w:pPr>
    </w:p>
    <w:p w14:paraId="3A233926" w14:textId="77777777" w:rsidR="00363065" w:rsidRPr="00363065" w:rsidRDefault="00363065" w:rsidP="00363065">
      <w:pPr>
        <w:autoSpaceDE w:val="0"/>
        <w:autoSpaceDN w:val="0"/>
        <w:adjustRightInd w:val="0"/>
        <w:spacing w:after="0" w:line="240" w:lineRule="auto"/>
        <w:rPr>
          <w:rFonts w:cs="Times New Roman"/>
          <w:highlight w:val="yellow"/>
        </w:rPr>
      </w:pPr>
      <w:r w:rsidRPr="00363065">
        <w:rPr>
          <w:rFonts w:cs="Times New Roman"/>
          <w:i/>
          <w:iCs/>
          <w:sz w:val="18"/>
          <w:szCs w:val="18"/>
        </w:rPr>
        <w:t xml:space="preserve">Source: </w:t>
      </w:r>
      <w:r w:rsidRPr="00363065">
        <w:rPr>
          <w:rFonts w:cs="Times New Roman"/>
          <w:sz w:val="18"/>
          <w:szCs w:val="18"/>
        </w:rPr>
        <w:t>2015 Survey of Innovation Activities, Philippine Institute for Development Studies.</w:t>
      </w:r>
    </w:p>
    <w:p w14:paraId="6964CCB2" w14:textId="77777777" w:rsidR="0031325C" w:rsidRDefault="0031325C" w:rsidP="003C476D">
      <w:pPr>
        <w:spacing w:line="256" w:lineRule="auto"/>
        <w:contextualSpacing/>
        <w:jc w:val="both"/>
        <w:rPr>
          <w:rFonts w:cs="Times New Roman"/>
          <w:szCs w:val="24"/>
        </w:rPr>
      </w:pPr>
    </w:p>
    <w:p w14:paraId="49FF633A" w14:textId="77777777" w:rsidR="00690063" w:rsidRPr="00690063" w:rsidRDefault="00690063" w:rsidP="00690063">
      <w:pPr>
        <w:pStyle w:val="ListParagraph"/>
        <w:rPr>
          <w:rFonts w:cs="Times New Roman"/>
        </w:rPr>
      </w:pPr>
      <w:bookmarkStart w:id="59" w:name="_Ref514186052"/>
      <w:bookmarkStart w:id="60" w:name="_Ref498427123"/>
    </w:p>
    <w:p w14:paraId="75BFD039" w14:textId="1D011E15" w:rsidR="00690063" w:rsidRPr="00690063" w:rsidRDefault="00D236D8" w:rsidP="00690063">
      <w:pPr>
        <w:pStyle w:val="ListParagraph"/>
        <w:numPr>
          <w:ilvl w:val="0"/>
          <w:numId w:val="48"/>
        </w:numPr>
        <w:jc w:val="both"/>
        <w:rPr>
          <w:rFonts w:cs="Times New Roman"/>
        </w:rPr>
      </w:pPr>
      <w:r w:rsidRPr="00D236D8">
        <w:rPr>
          <w:rFonts w:cs="Times New Roman"/>
          <w:b/>
        </w:rPr>
        <w:t>Summary of demand analysis.</w:t>
      </w:r>
      <w:r>
        <w:rPr>
          <w:rFonts w:cs="Times New Roman"/>
        </w:rPr>
        <w:t xml:space="preserve"> </w:t>
      </w:r>
      <w:r w:rsidR="00690063" w:rsidRPr="00690063">
        <w:rPr>
          <w:rFonts w:cs="Times New Roman"/>
        </w:rPr>
        <w:t xml:space="preserve">The above analysis reveals that MSMEs in the Philippines face constraints in multiple dimensions that affect productivity and growth. The constraints include external factors – ranging from high costs of doing business as well as establishing a new business; regular barrier dampen market conditions; high trade costs which reduce opportunities for MSMEs to access larger markets environment among other regulatory distortions in labor regulations and taxation. There are also missing or weak complementarities </w:t>
      </w:r>
      <w:proofErr w:type="gramStart"/>
      <w:r w:rsidR="00690063" w:rsidRPr="00690063">
        <w:rPr>
          <w:rFonts w:cs="Times New Roman"/>
        </w:rPr>
        <w:t>in the area of</w:t>
      </w:r>
      <w:proofErr w:type="gramEnd"/>
      <w:r w:rsidR="00690063" w:rsidRPr="00690063">
        <w:rPr>
          <w:rFonts w:cs="Times New Roman"/>
        </w:rPr>
        <w:t xml:space="preserve"> finance and skills</w:t>
      </w:r>
      <w:r w:rsidR="002C6508">
        <w:rPr>
          <w:rFonts w:cs="Times New Roman"/>
        </w:rPr>
        <w:t xml:space="preserve"> as well as infrastructure</w:t>
      </w:r>
      <w:r w:rsidR="00690063" w:rsidRPr="00690063">
        <w:rPr>
          <w:rFonts w:cs="Times New Roman"/>
        </w:rPr>
        <w:t xml:space="preserve">. Lastly, internal factors – covering weak internal capabilities, human capital and skills and technology dampen prospects of productivity growth. Remedial measures call for a combination of policy reforms and strengthening of programs for private sector to improve the operating environment of the firms (i.e. by resolving market failures, removing distortions) and within-firm performance (i.e. by building skills and managerial capabilities, technology adoption), as well as entry of new firms. </w:t>
      </w:r>
    </w:p>
    <w:p w14:paraId="2386D0E8" w14:textId="77777777" w:rsidR="00690063" w:rsidRDefault="00690063" w:rsidP="00C36D85">
      <w:pPr>
        <w:pStyle w:val="ListParagraph"/>
        <w:ind w:left="360"/>
        <w:jc w:val="both"/>
        <w:rPr>
          <w:rFonts w:cs="Times New Roman"/>
        </w:rPr>
      </w:pPr>
    </w:p>
    <w:p w14:paraId="1C4A2B3C" w14:textId="77777777" w:rsidR="00E76C61" w:rsidRPr="00317D18" w:rsidRDefault="00E76C61" w:rsidP="0013003C">
      <w:pPr>
        <w:pStyle w:val="ListParagraph"/>
        <w:ind w:left="360"/>
        <w:jc w:val="both"/>
        <w:rPr>
          <w:rFonts w:cs="Times New Roman"/>
        </w:rPr>
      </w:pPr>
    </w:p>
    <w:p w14:paraId="0BA20742" w14:textId="1CF78955" w:rsidR="001C13D7" w:rsidRPr="00F06176" w:rsidRDefault="001C13D7" w:rsidP="00F06176">
      <w:pPr>
        <w:pStyle w:val="ListParagraph"/>
        <w:spacing w:line="264" w:lineRule="auto"/>
        <w:ind w:left="0"/>
        <w:contextualSpacing w:val="0"/>
        <w:jc w:val="both"/>
        <w:rPr>
          <w:rFonts w:ascii="Times" w:hAnsi="Times"/>
        </w:rPr>
      </w:pPr>
    </w:p>
    <w:p w14:paraId="7223D6F3" w14:textId="77777777" w:rsidR="0040109E" w:rsidRDefault="0040109E">
      <w:pPr>
        <w:rPr>
          <w:rFonts w:asciiTheme="majorHAnsi" w:eastAsiaTheme="majorEastAsia" w:hAnsiTheme="majorHAnsi" w:cstheme="majorBidi"/>
          <w:color w:val="2F5496" w:themeColor="accent1" w:themeShade="BF"/>
          <w:sz w:val="32"/>
          <w:szCs w:val="32"/>
        </w:rPr>
      </w:pPr>
      <w:r>
        <w:br w:type="page"/>
      </w:r>
    </w:p>
    <w:p w14:paraId="516CF30C" w14:textId="7348EE48" w:rsidR="000116DA" w:rsidRPr="00A22D4B" w:rsidRDefault="001064BE" w:rsidP="0006683D">
      <w:pPr>
        <w:pStyle w:val="Heading1"/>
        <w:numPr>
          <w:ilvl w:val="0"/>
          <w:numId w:val="6"/>
        </w:numPr>
        <w:rPr>
          <w:b/>
          <w:sz w:val="28"/>
          <w:szCs w:val="28"/>
        </w:rPr>
      </w:pPr>
      <w:bookmarkStart w:id="61" w:name="_Toc10740044"/>
      <w:bookmarkStart w:id="62" w:name="_Toc12503519"/>
      <w:r w:rsidRPr="00A22D4B">
        <w:rPr>
          <w:b/>
          <w:sz w:val="28"/>
          <w:szCs w:val="28"/>
        </w:rPr>
        <w:t xml:space="preserve">MSME </w:t>
      </w:r>
      <w:r w:rsidR="00102328" w:rsidRPr="00A22D4B">
        <w:rPr>
          <w:b/>
          <w:sz w:val="28"/>
          <w:szCs w:val="28"/>
        </w:rPr>
        <w:t xml:space="preserve">and Entrepreneurship </w:t>
      </w:r>
      <w:r w:rsidR="00CF275A" w:rsidRPr="00A22D4B">
        <w:rPr>
          <w:b/>
          <w:sz w:val="28"/>
          <w:szCs w:val="28"/>
        </w:rPr>
        <w:t>P</w:t>
      </w:r>
      <w:r w:rsidR="00AF7290" w:rsidRPr="00A22D4B">
        <w:rPr>
          <w:b/>
          <w:sz w:val="28"/>
          <w:szCs w:val="28"/>
        </w:rPr>
        <w:t>olic</w:t>
      </w:r>
      <w:r w:rsidR="00E242B2" w:rsidRPr="00A22D4B">
        <w:rPr>
          <w:b/>
          <w:sz w:val="28"/>
          <w:szCs w:val="28"/>
        </w:rPr>
        <w:t xml:space="preserve">y </w:t>
      </w:r>
      <w:bookmarkEnd w:id="61"/>
      <w:r w:rsidR="001A5AA7">
        <w:rPr>
          <w:b/>
          <w:sz w:val="28"/>
          <w:szCs w:val="28"/>
        </w:rPr>
        <w:t>Framework</w:t>
      </w:r>
      <w:bookmarkEnd w:id="62"/>
    </w:p>
    <w:p w14:paraId="75EB1CCE" w14:textId="00C872FE" w:rsidR="00983884" w:rsidRPr="00983884" w:rsidRDefault="000116DA" w:rsidP="00983884">
      <w:pPr>
        <w:pStyle w:val="ListParagraph"/>
        <w:numPr>
          <w:ilvl w:val="0"/>
          <w:numId w:val="48"/>
        </w:numPr>
        <w:jc w:val="both"/>
        <w:rPr>
          <w:rFonts w:ascii="Times" w:hAnsi="Times" w:cs="Times New Roman"/>
          <w:bCs/>
        </w:rPr>
      </w:pPr>
      <w:r w:rsidRPr="00983884">
        <w:rPr>
          <w:rFonts w:ascii="Times" w:hAnsi="Times" w:cs="Times New Roman"/>
          <w:b/>
          <w:bCs/>
        </w:rPr>
        <w:t>The</w:t>
      </w:r>
      <w:r w:rsidR="00892BD0" w:rsidRPr="00983884">
        <w:rPr>
          <w:rFonts w:ascii="Times" w:hAnsi="Times" w:cs="Times New Roman"/>
          <w:b/>
          <w:bCs/>
        </w:rPr>
        <w:t xml:space="preserve"> previous section </w:t>
      </w:r>
      <w:r w:rsidRPr="00983884">
        <w:rPr>
          <w:rFonts w:ascii="Times" w:hAnsi="Times" w:cs="Times New Roman"/>
          <w:b/>
          <w:bCs/>
        </w:rPr>
        <w:t xml:space="preserve">reveals that </w:t>
      </w:r>
      <w:r w:rsidR="003478B7" w:rsidRPr="00983884">
        <w:rPr>
          <w:rFonts w:ascii="Times" w:hAnsi="Times" w:cs="Times New Roman"/>
          <w:b/>
          <w:bCs/>
        </w:rPr>
        <w:t>enterprises across firm c</w:t>
      </w:r>
      <w:r w:rsidR="005D2978" w:rsidRPr="00983884">
        <w:rPr>
          <w:rFonts w:ascii="Times" w:hAnsi="Times" w:cs="Times New Roman"/>
          <w:b/>
          <w:bCs/>
        </w:rPr>
        <w:t>ycle</w:t>
      </w:r>
      <w:r w:rsidR="003478B7" w:rsidRPr="00983884">
        <w:rPr>
          <w:rFonts w:ascii="Times" w:hAnsi="Times" w:cs="Times New Roman"/>
          <w:b/>
          <w:bCs/>
        </w:rPr>
        <w:t xml:space="preserve"> </w:t>
      </w:r>
      <w:r w:rsidRPr="00983884">
        <w:rPr>
          <w:rFonts w:ascii="Times" w:hAnsi="Times" w:cs="Times New Roman"/>
          <w:b/>
          <w:bCs/>
        </w:rPr>
        <w:t xml:space="preserve">in the Philippines face </w:t>
      </w:r>
      <w:r w:rsidR="00FA4DEA" w:rsidRPr="00983884">
        <w:rPr>
          <w:rFonts w:ascii="Times" w:hAnsi="Times" w:cs="Times New Roman"/>
          <w:b/>
          <w:bCs/>
        </w:rPr>
        <w:t xml:space="preserve">multiple </w:t>
      </w:r>
      <w:r w:rsidRPr="00983884">
        <w:rPr>
          <w:rFonts w:ascii="Times" w:hAnsi="Times" w:cs="Times New Roman"/>
          <w:b/>
          <w:bCs/>
        </w:rPr>
        <w:t xml:space="preserve">constraints that affect </w:t>
      </w:r>
      <w:r w:rsidR="00AD5C43" w:rsidRPr="00983884">
        <w:rPr>
          <w:rFonts w:ascii="Times" w:hAnsi="Times" w:cs="Times New Roman"/>
          <w:b/>
          <w:bCs/>
        </w:rPr>
        <w:t xml:space="preserve">productivity, </w:t>
      </w:r>
      <w:r w:rsidR="005D2978" w:rsidRPr="00983884">
        <w:rPr>
          <w:rFonts w:ascii="Times" w:hAnsi="Times" w:cs="Times New Roman"/>
          <w:b/>
          <w:bCs/>
        </w:rPr>
        <w:t xml:space="preserve">entrepreneurship, </w:t>
      </w:r>
      <w:r w:rsidR="00AD5C43" w:rsidRPr="00983884">
        <w:rPr>
          <w:rFonts w:ascii="Times" w:hAnsi="Times" w:cs="Times New Roman"/>
          <w:b/>
          <w:bCs/>
        </w:rPr>
        <w:t>and growth</w:t>
      </w:r>
      <w:r w:rsidRPr="00983884">
        <w:rPr>
          <w:rFonts w:ascii="Times" w:hAnsi="Times" w:cs="Times New Roman"/>
          <w:b/>
          <w:bCs/>
        </w:rPr>
        <w:t xml:space="preserve">. </w:t>
      </w:r>
      <w:r w:rsidR="00983884" w:rsidRPr="00983884">
        <w:rPr>
          <w:rFonts w:ascii="Times" w:hAnsi="Times" w:cs="Times New Roman"/>
          <w:bCs/>
        </w:rPr>
        <w:t xml:space="preserve">Many countries invest significant public resources in a variety of MSME support programs as part of their development strategies and plans and accordingly establish dedicated public-sector institutions to coordinate and implement these programs. MSME interventions are justified </w:t>
      </w:r>
      <w:proofErr w:type="gramStart"/>
      <w:r w:rsidR="00983884" w:rsidRPr="00983884">
        <w:rPr>
          <w:rFonts w:ascii="Times" w:hAnsi="Times" w:cs="Times New Roman"/>
          <w:bCs/>
        </w:rPr>
        <w:t>on the basis of</w:t>
      </w:r>
      <w:proofErr w:type="gramEnd"/>
      <w:r w:rsidR="00983884" w:rsidRPr="00983884">
        <w:rPr>
          <w:rFonts w:ascii="Times" w:hAnsi="Times" w:cs="Times New Roman"/>
          <w:bCs/>
        </w:rPr>
        <w:t xml:space="preserve"> market failures (e.g. incomplete markets) as well as institutional and coordination constraints (Figure 2</w:t>
      </w:r>
      <w:r w:rsidR="0017282D">
        <w:rPr>
          <w:rFonts w:ascii="Times" w:hAnsi="Times" w:cs="Times New Roman"/>
          <w:bCs/>
        </w:rPr>
        <w:t>9</w:t>
      </w:r>
      <w:r w:rsidR="00983884" w:rsidRPr="00983884">
        <w:rPr>
          <w:rFonts w:ascii="Times" w:hAnsi="Times" w:cs="Times New Roman"/>
          <w:bCs/>
        </w:rPr>
        <w:t xml:space="preserve">).   Direct and indirect interventions – ranging from financial and non-financial policies and programs – are deployed across multiple agencies to address the external and internal constraints faced by enterprises. Direct interventions may include subsidized credit lines, trainings, consulting services etc.  Indirect intervention may include changes in the institutional environment – regulatory and tax simplification policies - and competition reforms. MSMEs programs, nonetheless, have a mixed record. Identifying the market failures and binding constraints for enterprise growth in a country context is critical to the mix of policies and programs that are selected. However even when the correct constraints are identified, some instruments may perform better than others based on the specific modalities of each support instrument.  </w:t>
      </w:r>
    </w:p>
    <w:p w14:paraId="45EE5B5B" w14:textId="160FC451" w:rsidR="006842FA" w:rsidRPr="005A1782" w:rsidRDefault="006842FA" w:rsidP="00983884">
      <w:pPr>
        <w:pStyle w:val="ListParagraph"/>
        <w:ind w:left="360"/>
        <w:jc w:val="both"/>
        <w:rPr>
          <w:rFonts w:ascii="Times" w:hAnsi="Times" w:cs="Times New Roman"/>
          <w:b/>
          <w:bCs/>
        </w:rPr>
      </w:pPr>
    </w:p>
    <w:p w14:paraId="2909428A" w14:textId="3610D78D" w:rsidR="00F444C2" w:rsidRPr="00FF6DF5" w:rsidRDefault="00F444C2" w:rsidP="00CA1F9F">
      <w:pPr>
        <w:jc w:val="center"/>
        <w:rPr>
          <w:rFonts w:ascii="Times" w:hAnsi="Times" w:cs="Times New Roman"/>
          <w:b/>
        </w:rPr>
      </w:pPr>
      <w:bookmarkStart w:id="63" w:name="_Ref7012012"/>
      <w:r w:rsidRPr="000440C7">
        <w:rPr>
          <w:rFonts w:cs="Times New Roman"/>
          <w:b/>
          <w:color w:val="000000" w:themeColor="text1"/>
          <w:szCs w:val="20"/>
        </w:rPr>
        <w:t xml:space="preserve">Figure </w:t>
      </w:r>
      <w:r w:rsidR="002A109F">
        <w:rPr>
          <w:rFonts w:cs="Times New Roman"/>
          <w:b/>
          <w:color w:val="000000" w:themeColor="text1"/>
          <w:szCs w:val="20"/>
        </w:rPr>
        <w:t>29</w:t>
      </w:r>
      <w:bookmarkEnd w:id="63"/>
      <w:r w:rsidRPr="00FF6DF5">
        <w:rPr>
          <w:rFonts w:ascii="Times" w:hAnsi="Times" w:cs="Times New Roman"/>
        </w:rPr>
        <w:t xml:space="preserve">: </w:t>
      </w:r>
      <w:r w:rsidRPr="00FF6DF5">
        <w:rPr>
          <w:rFonts w:ascii="Times" w:hAnsi="Times" w:cs="Times New Roman"/>
          <w:b/>
        </w:rPr>
        <w:t xml:space="preserve">Typology of </w:t>
      </w:r>
      <w:r w:rsidR="00746BC6">
        <w:rPr>
          <w:rFonts w:ascii="Times" w:hAnsi="Times" w:cs="Times New Roman"/>
          <w:b/>
        </w:rPr>
        <w:t>m</w:t>
      </w:r>
      <w:r w:rsidRPr="00FF6DF5">
        <w:rPr>
          <w:rFonts w:ascii="Times" w:hAnsi="Times" w:cs="Times New Roman"/>
          <w:b/>
        </w:rPr>
        <w:t>arket and institutional failures and interventions</w:t>
      </w:r>
    </w:p>
    <w:p w14:paraId="7FC5FDB6" w14:textId="77777777" w:rsidR="00323E19" w:rsidRDefault="00F444C2" w:rsidP="00F444C2">
      <w:pPr>
        <w:jc w:val="center"/>
        <w:rPr>
          <w:rFonts w:ascii="Times" w:hAnsi="Times" w:cs="Times New Roman"/>
          <w:b/>
        </w:rPr>
      </w:pPr>
      <w:r w:rsidRPr="00FF6DF5">
        <w:rPr>
          <w:rFonts w:ascii="Times" w:hAnsi="Times"/>
          <w:noProof/>
        </w:rPr>
        <w:drawing>
          <wp:inline distT="0" distB="0" distL="0" distR="0" wp14:anchorId="4F8D04AA" wp14:editId="6FF8BBAE">
            <wp:extent cx="4074695" cy="2374870"/>
            <wp:effectExtent l="0" t="0" r="254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4102650" cy="2391163"/>
                    </a:xfrm>
                    <a:prstGeom prst="rect">
                      <a:avLst/>
                    </a:prstGeom>
                    <a:ln>
                      <a:noFill/>
                    </a:ln>
                    <a:extLst>
                      <a:ext uri="{53640926-AAD7-44D8-BBD7-CCE9431645EC}">
                        <a14:shadowObscured xmlns:a14="http://schemas.microsoft.com/office/drawing/2010/main"/>
                      </a:ext>
                    </a:extLst>
                  </pic:spPr>
                </pic:pic>
              </a:graphicData>
            </a:graphic>
          </wp:inline>
        </w:drawing>
      </w:r>
    </w:p>
    <w:p w14:paraId="634A65A6" w14:textId="0D65A31A" w:rsidR="00F444C2" w:rsidRDefault="00323E19" w:rsidP="00F444C2">
      <w:pPr>
        <w:jc w:val="center"/>
        <w:rPr>
          <w:rFonts w:ascii="Times" w:hAnsi="Times" w:cs="Times New Roman"/>
          <w:sz w:val="18"/>
          <w:szCs w:val="18"/>
        </w:rPr>
      </w:pPr>
      <w:r w:rsidRPr="009249D1">
        <w:rPr>
          <w:rFonts w:ascii="Times" w:hAnsi="Times" w:cs="Times New Roman"/>
          <w:sz w:val="18"/>
          <w:szCs w:val="18"/>
        </w:rPr>
        <w:t>Source:</w:t>
      </w:r>
      <w:r w:rsidR="00CE29F5" w:rsidRPr="009249D1">
        <w:rPr>
          <w:rFonts w:ascii="Times" w:hAnsi="Times" w:cs="Times New Roman"/>
          <w:sz w:val="18"/>
          <w:szCs w:val="18"/>
        </w:rPr>
        <w:t xml:space="preserve"> Ada</w:t>
      </w:r>
      <w:r w:rsidR="009822B1" w:rsidRPr="009249D1">
        <w:rPr>
          <w:rFonts w:ascii="Times" w:hAnsi="Times" w:cs="Times New Roman"/>
          <w:sz w:val="18"/>
          <w:szCs w:val="18"/>
        </w:rPr>
        <w:t xml:space="preserve">pted from </w:t>
      </w:r>
      <w:proofErr w:type="spellStart"/>
      <w:r w:rsidR="009822B1" w:rsidRPr="009249D1">
        <w:rPr>
          <w:rFonts w:ascii="Times" w:hAnsi="Times" w:cs="Times New Roman"/>
          <w:sz w:val="18"/>
          <w:szCs w:val="18"/>
        </w:rPr>
        <w:t>Carvo</w:t>
      </w:r>
      <w:proofErr w:type="spellEnd"/>
      <w:r w:rsidR="009822B1" w:rsidRPr="009249D1">
        <w:rPr>
          <w:rFonts w:ascii="Times" w:hAnsi="Times" w:cs="Times New Roman"/>
          <w:sz w:val="18"/>
          <w:szCs w:val="18"/>
        </w:rPr>
        <w:t xml:space="preserve"> </w:t>
      </w:r>
      <w:r w:rsidR="00CF48CC" w:rsidRPr="009249D1">
        <w:rPr>
          <w:rFonts w:ascii="Times" w:hAnsi="Times" w:cs="Times New Roman"/>
          <w:sz w:val="18"/>
          <w:szCs w:val="18"/>
        </w:rPr>
        <w:t xml:space="preserve">T. </w:t>
      </w:r>
      <w:r w:rsidR="009822B1" w:rsidRPr="009249D1">
        <w:rPr>
          <w:rFonts w:ascii="Times" w:hAnsi="Times" w:cs="Times New Roman"/>
          <w:sz w:val="18"/>
          <w:szCs w:val="18"/>
        </w:rPr>
        <w:t xml:space="preserve">and </w:t>
      </w:r>
      <w:r w:rsidR="00CF48CC" w:rsidRPr="009249D1">
        <w:rPr>
          <w:rFonts w:ascii="Times" w:hAnsi="Times" w:cs="Times New Roman"/>
          <w:sz w:val="18"/>
          <w:szCs w:val="18"/>
        </w:rPr>
        <w:t xml:space="preserve">C. </w:t>
      </w:r>
      <w:proofErr w:type="spellStart"/>
      <w:r w:rsidR="009822B1" w:rsidRPr="009249D1">
        <w:rPr>
          <w:rFonts w:ascii="Times" w:hAnsi="Times" w:cs="Times New Roman"/>
          <w:sz w:val="18"/>
          <w:szCs w:val="18"/>
        </w:rPr>
        <w:t>Piza</w:t>
      </w:r>
      <w:proofErr w:type="spellEnd"/>
      <w:r w:rsidR="009822B1" w:rsidRPr="009249D1">
        <w:rPr>
          <w:rFonts w:ascii="Times" w:hAnsi="Times" w:cs="Times New Roman"/>
          <w:sz w:val="18"/>
          <w:szCs w:val="18"/>
        </w:rPr>
        <w:t xml:space="preserve"> (2016)</w:t>
      </w:r>
      <w:r w:rsidR="001253E0" w:rsidRPr="009249D1">
        <w:rPr>
          <w:rFonts w:ascii="Times" w:hAnsi="Times" w:cs="Times New Roman"/>
          <w:sz w:val="18"/>
          <w:szCs w:val="18"/>
        </w:rPr>
        <w:br/>
      </w:r>
    </w:p>
    <w:p w14:paraId="0647A0BE" w14:textId="15B16EAF" w:rsidR="00281A9F" w:rsidRPr="00281A9F" w:rsidRDefault="008723BC" w:rsidP="00281A9F">
      <w:pPr>
        <w:pStyle w:val="ListParagraph"/>
        <w:numPr>
          <w:ilvl w:val="0"/>
          <w:numId w:val="48"/>
        </w:numPr>
        <w:jc w:val="both"/>
        <w:rPr>
          <w:rFonts w:ascii="Times" w:hAnsi="Times" w:cs="Times New Roman"/>
        </w:rPr>
      </w:pPr>
      <w:r w:rsidRPr="00281A9F">
        <w:rPr>
          <w:rFonts w:ascii="Times" w:hAnsi="Times" w:cs="Times New Roman"/>
        </w:rPr>
        <w:t xml:space="preserve">This section briefly reviews the </w:t>
      </w:r>
      <w:proofErr w:type="spellStart"/>
      <w:r w:rsidRPr="00281A9F">
        <w:rPr>
          <w:rFonts w:ascii="Times" w:hAnsi="Times" w:cs="Times New Roman"/>
        </w:rPr>
        <w:t>GoP’s</w:t>
      </w:r>
      <w:proofErr w:type="spellEnd"/>
      <w:r w:rsidRPr="00281A9F">
        <w:rPr>
          <w:rFonts w:ascii="Times" w:hAnsi="Times" w:cs="Times New Roman"/>
        </w:rPr>
        <w:t xml:space="preserve"> strategic plans and priorities for supporting the growth of MSMEs as an integral part of the country’ development vision. </w:t>
      </w:r>
      <w:r w:rsidR="00281A9F" w:rsidRPr="00281A9F">
        <w:rPr>
          <w:rFonts w:ascii="Times" w:hAnsi="Times" w:cs="Times New Roman"/>
        </w:rPr>
        <w:t xml:space="preserve">The assessment can be undertaken at two levels: the strategic and high level that reviews government priorities and goals/targets as set in the key national documents and laws to support MSMEs; and at the program and policy level (i.e. instrument level). </w:t>
      </w:r>
      <w:r w:rsidR="00C4318B">
        <w:rPr>
          <w:rFonts w:ascii="Times" w:hAnsi="Times" w:cs="Times New Roman"/>
        </w:rPr>
        <w:t xml:space="preserve">The </w:t>
      </w:r>
      <w:r w:rsidR="00F96D90">
        <w:rPr>
          <w:rFonts w:ascii="Times" w:hAnsi="Times" w:cs="Times New Roman"/>
        </w:rPr>
        <w:t>section</w:t>
      </w:r>
      <w:r w:rsidR="00C4318B">
        <w:rPr>
          <w:rFonts w:ascii="Times" w:hAnsi="Times" w:cs="Times New Roman"/>
        </w:rPr>
        <w:t xml:space="preserve"> briefly </w:t>
      </w:r>
      <w:r w:rsidR="003B480A">
        <w:rPr>
          <w:rFonts w:ascii="Times" w:hAnsi="Times" w:cs="Times New Roman"/>
        </w:rPr>
        <w:t>assesses the recently concluded MSME</w:t>
      </w:r>
      <w:r w:rsidR="00C4279B">
        <w:rPr>
          <w:rFonts w:ascii="Times" w:hAnsi="Times" w:cs="Times New Roman"/>
        </w:rPr>
        <w:t>D</w:t>
      </w:r>
      <w:r w:rsidR="003B480A">
        <w:rPr>
          <w:rFonts w:ascii="Times" w:hAnsi="Times" w:cs="Times New Roman"/>
        </w:rPr>
        <w:t xml:space="preserve"> </w:t>
      </w:r>
      <w:proofErr w:type="gramStart"/>
      <w:r w:rsidR="00C4279B">
        <w:rPr>
          <w:rFonts w:ascii="Times" w:hAnsi="Times" w:cs="Times New Roman"/>
        </w:rPr>
        <w:t>P</w:t>
      </w:r>
      <w:r w:rsidR="003B480A">
        <w:rPr>
          <w:rFonts w:ascii="Times" w:hAnsi="Times" w:cs="Times New Roman"/>
        </w:rPr>
        <w:t>lan,</w:t>
      </w:r>
      <w:r w:rsidR="00C4279B">
        <w:rPr>
          <w:rFonts w:ascii="Times" w:hAnsi="Times" w:cs="Times New Roman"/>
        </w:rPr>
        <w:t xml:space="preserve"> </w:t>
      </w:r>
      <w:r w:rsidR="00815839">
        <w:rPr>
          <w:rFonts w:ascii="Times" w:hAnsi="Times" w:cs="Times New Roman"/>
        </w:rPr>
        <w:t>and</w:t>
      </w:r>
      <w:proofErr w:type="gramEnd"/>
      <w:r w:rsidR="00815839">
        <w:rPr>
          <w:rFonts w:ascii="Times" w:hAnsi="Times" w:cs="Times New Roman"/>
        </w:rPr>
        <w:t xml:space="preserve"> lays out the priorities set in the new </w:t>
      </w:r>
      <w:r w:rsidR="00C4279B">
        <w:rPr>
          <w:rFonts w:ascii="Times" w:hAnsi="Times" w:cs="Times New Roman"/>
        </w:rPr>
        <w:t>MSMED P</w:t>
      </w:r>
      <w:r w:rsidR="00815839">
        <w:rPr>
          <w:rFonts w:ascii="Times" w:hAnsi="Times" w:cs="Times New Roman"/>
        </w:rPr>
        <w:t xml:space="preserve">lan. It also set stage for the </w:t>
      </w:r>
      <w:r w:rsidR="00C4279B">
        <w:rPr>
          <w:rFonts w:ascii="Times" w:hAnsi="Times" w:cs="Times New Roman"/>
        </w:rPr>
        <w:t>program level analysis that will be undertaken in section 5 and 6, using the PER methodology</w:t>
      </w:r>
      <w:r w:rsidR="00F96D90">
        <w:rPr>
          <w:rFonts w:ascii="Times" w:hAnsi="Times" w:cs="Times New Roman"/>
        </w:rPr>
        <w:t xml:space="preserve">. </w:t>
      </w:r>
    </w:p>
    <w:p w14:paraId="1EEEED4F" w14:textId="77777777" w:rsidR="00281A9F" w:rsidRDefault="00281A9F" w:rsidP="00C4318B">
      <w:pPr>
        <w:pStyle w:val="ListParagraph"/>
        <w:ind w:left="360"/>
        <w:jc w:val="both"/>
        <w:rPr>
          <w:rFonts w:ascii="Times" w:hAnsi="Times" w:cs="Times New Roman"/>
        </w:rPr>
      </w:pPr>
    </w:p>
    <w:p w14:paraId="0F2ED5D8" w14:textId="12CE7831" w:rsidR="008723BC" w:rsidRPr="008723BC" w:rsidRDefault="008723BC" w:rsidP="008723BC">
      <w:pPr>
        <w:pStyle w:val="ListParagraph"/>
        <w:ind w:left="360"/>
        <w:jc w:val="both"/>
        <w:rPr>
          <w:rFonts w:cs="Times New Roman"/>
          <w:b/>
          <w:bCs/>
        </w:rPr>
      </w:pPr>
    </w:p>
    <w:p w14:paraId="15E5B689" w14:textId="77777777" w:rsidR="008723BC" w:rsidRPr="009249D1" w:rsidRDefault="008723BC" w:rsidP="00F444C2">
      <w:pPr>
        <w:jc w:val="center"/>
        <w:rPr>
          <w:rFonts w:ascii="Times" w:hAnsi="Times" w:cs="Times New Roman"/>
          <w:sz w:val="18"/>
          <w:szCs w:val="18"/>
        </w:rPr>
      </w:pPr>
    </w:p>
    <w:p w14:paraId="4F1813B5" w14:textId="50F541FC" w:rsidR="00F444C2" w:rsidRDefault="00EC4C1E" w:rsidP="00EC4C1E">
      <w:pPr>
        <w:pStyle w:val="Heading2"/>
      </w:pPr>
      <w:bookmarkStart w:id="64" w:name="_Toc10740047"/>
      <w:bookmarkStart w:id="65" w:name="_Toc12503520"/>
      <w:r>
        <w:t xml:space="preserve">MSME </w:t>
      </w:r>
      <w:r w:rsidR="001A5AA7">
        <w:t xml:space="preserve">Plans and </w:t>
      </w:r>
      <w:r w:rsidR="001D61CD">
        <w:t>Polic</w:t>
      </w:r>
      <w:bookmarkEnd w:id="64"/>
      <w:r w:rsidR="001A5AA7">
        <w:t>ies</w:t>
      </w:r>
      <w:bookmarkEnd w:id="65"/>
    </w:p>
    <w:p w14:paraId="4677DD34" w14:textId="77777777" w:rsidR="00E95A34" w:rsidRPr="00E95A34" w:rsidRDefault="00E95A34" w:rsidP="009249D1">
      <w:pPr>
        <w:pStyle w:val="ListParagraph"/>
        <w:ind w:left="360"/>
        <w:jc w:val="both"/>
        <w:rPr>
          <w:rFonts w:cs="Times New Roman"/>
          <w:b/>
          <w:bCs/>
        </w:rPr>
      </w:pPr>
    </w:p>
    <w:p w14:paraId="5A4BCE28" w14:textId="22D596B7" w:rsidR="0010612F" w:rsidRPr="00680B72" w:rsidRDefault="008567B3" w:rsidP="00680B72">
      <w:pPr>
        <w:pStyle w:val="ListParagraph"/>
        <w:numPr>
          <w:ilvl w:val="0"/>
          <w:numId w:val="48"/>
        </w:numPr>
        <w:jc w:val="both"/>
        <w:rPr>
          <w:rFonts w:ascii="Times" w:hAnsi="Times" w:cs="Times New Roman"/>
        </w:rPr>
      </w:pPr>
      <w:r w:rsidRPr="00994285">
        <w:rPr>
          <w:rFonts w:ascii="Times" w:hAnsi="Times" w:cs="Times New Roman"/>
          <w:b/>
        </w:rPr>
        <w:t>The GOP’s National Development Plans and strategies articulate the prioritization of the MSMEs and entrepreneurship.</w:t>
      </w:r>
      <w:r w:rsidRPr="00994285">
        <w:rPr>
          <w:rFonts w:ascii="Times" w:hAnsi="Times" w:cs="Times New Roman"/>
        </w:rPr>
        <w:t xml:space="preserve"> Since 1991 several MSME plans, policies and programs have been instituted to support MSMEs in the Philippines (Annex 3). </w:t>
      </w:r>
      <w:r w:rsidR="007E791C" w:rsidRPr="00994285">
        <w:rPr>
          <w:rFonts w:ascii="Times" w:hAnsi="Times" w:cs="Times New Roman"/>
        </w:rPr>
        <w:t xml:space="preserve">As the implementation of the new MSME Development (MSMED) Plan 2017-2022 gains momentum with an expansion of MSMEs support programs, it is appropriate to take stock and learn lessons from implementation of past plans and on-going program </w:t>
      </w:r>
      <w:r w:rsidR="00994285" w:rsidRPr="00994285">
        <w:rPr>
          <w:rFonts w:ascii="Times" w:hAnsi="Times" w:cs="Times New Roman"/>
        </w:rPr>
        <w:t xml:space="preserve">to strengthen the MSME </w:t>
      </w:r>
      <w:r w:rsidR="00994285">
        <w:rPr>
          <w:rFonts w:ascii="Times" w:hAnsi="Times" w:cs="Times New Roman"/>
        </w:rPr>
        <w:t xml:space="preserve">and entrepreneurship </w:t>
      </w:r>
      <w:r w:rsidR="00994285" w:rsidRPr="00994285">
        <w:rPr>
          <w:rFonts w:ascii="Times" w:hAnsi="Times" w:cs="Times New Roman"/>
        </w:rPr>
        <w:t xml:space="preserve">support mechanisms in the Philippines. </w:t>
      </w:r>
    </w:p>
    <w:p w14:paraId="5857BAD2" w14:textId="69EC0096" w:rsidR="007E791C" w:rsidRPr="00281A9F" w:rsidRDefault="007E791C" w:rsidP="003B3929">
      <w:pPr>
        <w:pStyle w:val="ListParagraph"/>
        <w:ind w:left="360"/>
        <w:jc w:val="both"/>
        <w:rPr>
          <w:rFonts w:ascii="Times" w:hAnsi="Times" w:cs="Times New Roman"/>
        </w:rPr>
      </w:pPr>
      <w:r w:rsidRPr="00281A9F">
        <w:rPr>
          <w:rFonts w:ascii="Times" w:hAnsi="Times" w:cs="Times New Roman"/>
        </w:rPr>
        <w:t xml:space="preserve">The existing MSME programs are anchored in a range of strategic national plans, including the recently concluded MSMED Plan from 2011-2016. Annex 3 lists the key national plans as well as the laws that underpin some of the programs. </w:t>
      </w:r>
    </w:p>
    <w:p w14:paraId="4A970530" w14:textId="77777777" w:rsidR="007E791C" w:rsidRPr="007E791C" w:rsidRDefault="007E791C" w:rsidP="007E791C">
      <w:pPr>
        <w:pStyle w:val="ListParagraph"/>
        <w:rPr>
          <w:rFonts w:ascii="Times" w:hAnsi="Times" w:cs="Times New Roman"/>
        </w:rPr>
      </w:pPr>
    </w:p>
    <w:p w14:paraId="6B62A69E" w14:textId="6D3C3299" w:rsidR="008567B3" w:rsidRDefault="008567B3" w:rsidP="008567B3">
      <w:pPr>
        <w:pStyle w:val="ListParagraph"/>
        <w:numPr>
          <w:ilvl w:val="0"/>
          <w:numId w:val="48"/>
        </w:numPr>
        <w:jc w:val="both"/>
        <w:rPr>
          <w:rFonts w:ascii="Times" w:hAnsi="Times" w:cs="Times New Roman"/>
        </w:rPr>
      </w:pPr>
      <w:r>
        <w:rPr>
          <w:rFonts w:ascii="Times" w:hAnsi="Times" w:cs="Times New Roman"/>
        </w:rPr>
        <w:t xml:space="preserve">The </w:t>
      </w:r>
      <w:r w:rsidRPr="00FF6DF5">
        <w:rPr>
          <w:rFonts w:ascii="Times" w:hAnsi="Times" w:cs="Times New Roman"/>
        </w:rPr>
        <w:t xml:space="preserve">recently completed </w:t>
      </w:r>
      <w:r w:rsidRPr="009249D1">
        <w:rPr>
          <w:rFonts w:ascii="Times" w:hAnsi="Times" w:cs="Times New Roman"/>
          <w:i/>
        </w:rPr>
        <w:t>MSME Development Plan 2011-2016</w:t>
      </w:r>
      <w:r w:rsidRPr="009249D1">
        <w:rPr>
          <w:rFonts w:ascii="Times" w:hAnsi="Times"/>
          <w:i/>
        </w:rPr>
        <w:t xml:space="preserve"> </w:t>
      </w:r>
      <w:r w:rsidRPr="00FF6DF5">
        <w:rPr>
          <w:rFonts w:ascii="Times" w:hAnsi="Times" w:cs="Times New Roman"/>
        </w:rPr>
        <w:t>aimed “to promote, support, strengthen, and encourage the growth and development of MSMEs in all productive sectors of the economy”. The twin outcomes sought under the concluded MSME Plan was to generate 2 incremental million jobs in the MSME sector, and to increase contribution of MSME sector to 40</w:t>
      </w:r>
      <w:r>
        <w:rPr>
          <w:rFonts w:ascii="Times" w:hAnsi="Times" w:cs="Times New Roman"/>
        </w:rPr>
        <w:t xml:space="preserve"> percent</w:t>
      </w:r>
      <w:r w:rsidRPr="00FF6DF5">
        <w:rPr>
          <w:rFonts w:ascii="Times" w:hAnsi="Times" w:cs="Times New Roman"/>
        </w:rPr>
        <w:t xml:space="preserve"> in 2016 from 26</w:t>
      </w:r>
      <w:r>
        <w:rPr>
          <w:rFonts w:ascii="Times" w:hAnsi="Times" w:cs="Times New Roman"/>
        </w:rPr>
        <w:t xml:space="preserve"> percent</w:t>
      </w:r>
      <w:r w:rsidRPr="00FF6DF5">
        <w:rPr>
          <w:rFonts w:ascii="Times" w:hAnsi="Times" w:cs="Times New Roman"/>
        </w:rPr>
        <w:t xml:space="preserve"> in 2006. Focus areas of support included improvement in business environment, access to finance, access to markets, and productivity and efficiency of MSMEs. The Plan was implemented through MSMED programs of various participating government ministries/agencies with governance and secretariat support from the national and provincial MSMED councils, the regional offices of the Department of Trade and Industry (DTI), and the Bureau of Micro, Small and Medium Development (BMSMED). </w:t>
      </w:r>
    </w:p>
    <w:p w14:paraId="7B693167" w14:textId="77777777" w:rsidR="008567B3" w:rsidRPr="008567B3" w:rsidRDefault="008567B3" w:rsidP="008567B3">
      <w:pPr>
        <w:pStyle w:val="ListParagraph"/>
        <w:rPr>
          <w:rFonts w:cs="Times New Roman"/>
          <w:b/>
          <w:bCs/>
        </w:rPr>
      </w:pPr>
    </w:p>
    <w:p w14:paraId="1C221C46" w14:textId="5B31462C" w:rsidR="00CF770C" w:rsidRDefault="006369C1" w:rsidP="00CF770C">
      <w:pPr>
        <w:pStyle w:val="ListParagraph"/>
        <w:numPr>
          <w:ilvl w:val="0"/>
          <w:numId w:val="48"/>
        </w:numPr>
        <w:jc w:val="both"/>
        <w:rPr>
          <w:rFonts w:ascii="Times" w:hAnsi="Times" w:cs="Times New Roman"/>
          <w:b/>
        </w:rPr>
      </w:pPr>
      <w:r w:rsidRPr="00CF770C">
        <w:rPr>
          <w:rFonts w:ascii="Times" w:hAnsi="Times" w:cs="Times New Roman"/>
          <w:b/>
        </w:rPr>
        <w:t>Looking ahead, it is instructive to draw lessons from the recently concluded MSME Development Plan 2011-2016.</w:t>
      </w:r>
      <w:r w:rsidRPr="00FF6DF5">
        <w:rPr>
          <w:rStyle w:val="EndnoteReference"/>
          <w:rFonts w:ascii="Times" w:hAnsi="Times" w:cs="Times New Roman"/>
          <w:b/>
        </w:rPr>
        <w:endnoteReference w:id="58"/>
      </w:r>
      <w:r w:rsidRPr="00CF770C">
        <w:rPr>
          <w:rFonts w:ascii="Times" w:hAnsi="Times" w:cs="Times New Roman"/>
          <w:b/>
        </w:rPr>
        <w:t xml:space="preserve"> </w:t>
      </w:r>
      <w:r w:rsidR="00CF770C" w:rsidRPr="00CF770C">
        <w:rPr>
          <w:rFonts w:ascii="Times" w:hAnsi="Times" w:cs="Times New Roman"/>
        </w:rPr>
        <w:t>In undertaking the assessment, the focus is three-fold: (i) reviewing the alignment of articulated policies and priorities vis a vis the productivity constraints faced by MSMEs, as discussed earlier; (ii) what is the pace of progress made vis a vis the priorities and targets set, including governance and implementation issues; and (iii) highlight gaps, if any, based on the review as well as lessons learned for strengthening the MSME framework and policies, going forward.</w:t>
      </w:r>
      <w:r w:rsidR="00CF770C" w:rsidRPr="00CF770C">
        <w:rPr>
          <w:rFonts w:ascii="Times" w:hAnsi="Times" w:cs="Times New Roman"/>
          <w:b/>
        </w:rPr>
        <w:t xml:space="preserve">  </w:t>
      </w:r>
    </w:p>
    <w:p w14:paraId="0C5DEC7D" w14:textId="77777777" w:rsidR="00CF770C" w:rsidRPr="00CF770C" w:rsidRDefault="00CF770C" w:rsidP="00CF770C">
      <w:pPr>
        <w:pStyle w:val="ListParagraph"/>
        <w:ind w:left="360"/>
        <w:jc w:val="both"/>
        <w:rPr>
          <w:rFonts w:ascii="Times" w:hAnsi="Times" w:cs="Times New Roman"/>
          <w:b/>
        </w:rPr>
      </w:pPr>
    </w:p>
    <w:p w14:paraId="30EF7227" w14:textId="041FDF75" w:rsidR="00AB2994" w:rsidRPr="00BF5376" w:rsidRDefault="00E95A34" w:rsidP="009249D1">
      <w:pPr>
        <w:pStyle w:val="ListParagraph"/>
        <w:numPr>
          <w:ilvl w:val="0"/>
          <w:numId w:val="48"/>
        </w:numPr>
        <w:jc w:val="both"/>
        <w:rPr>
          <w:rFonts w:cs="Times New Roman"/>
          <w:bCs/>
        </w:rPr>
      </w:pPr>
      <w:r w:rsidRPr="009249D1">
        <w:rPr>
          <w:rFonts w:cs="Times New Roman"/>
          <w:bCs/>
        </w:rPr>
        <w:t xml:space="preserve">While the twin outcomes of the Plan were considered pertinent for the country, the MSMED Plan is challenged on reporting results because of basic problems in measurability and timeliness of data availability. The macro employment data indicates that employment growth has been impressive, attribution of the outcome to the four focus areas of support is difficult to ascertain without analytics that shed light on the key market failures and MSME constraints. Moreover, quality of jobs is a key issue. </w:t>
      </w:r>
      <w:proofErr w:type="gramStart"/>
      <w:r w:rsidRPr="009249D1">
        <w:rPr>
          <w:rFonts w:cs="Times New Roman"/>
          <w:bCs/>
        </w:rPr>
        <w:t>With regard to</w:t>
      </w:r>
      <w:proofErr w:type="gramEnd"/>
      <w:r w:rsidRPr="009249D1">
        <w:rPr>
          <w:rFonts w:cs="Times New Roman"/>
          <w:bCs/>
        </w:rPr>
        <w:t xml:space="preserve"> the objective of increased contribution of MSMEs, it is hard to determine progress in the absence of data and logical framework. Progress is reported vis a vis the focus areas of business environment, access to finance and productivity and efficiency. Access to markets is reported to have declined. Without independent studies these claims are challenging to verify particularly as the M &amp; E progress data was not available due to lack of financial and human resources. In addition, governance and implementation challenges have been highlighted. The effectiveness of MSMED councils was affected by lack of progress data and funds, and the weak governance links between the national and provincial levels. These findings provide important insights and lessons learnt as the </w:t>
      </w:r>
      <w:proofErr w:type="spellStart"/>
      <w:r w:rsidRPr="009249D1">
        <w:rPr>
          <w:rFonts w:cs="Times New Roman"/>
          <w:bCs/>
        </w:rPr>
        <w:t>GoP</w:t>
      </w:r>
      <w:proofErr w:type="spellEnd"/>
      <w:r w:rsidRPr="009249D1">
        <w:rPr>
          <w:rFonts w:cs="Times New Roman"/>
          <w:bCs/>
        </w:rPr>
        <w:t xml:space="preserve"> implements the new MSMED Plan.</w:t>
      </w:r>
    </w:p>
    <w:p w14:paraId="774D576B" w14:textId="77777777" w:rsidR="001E7CEC" w:rsidRPr="00FF6DF5" w:rsidRDefault="001E7CEC" w:rsidP="001E7CEC">
      <w:pPr>
        <w:pStyle w:val="ListParagraph"/>
        <w:ind w:left="360"/>
        <w:jc w:val="both"/>
        <w:rPr>
          <w:rFonts w:ascii="Times" w:hAnsi="Times" w:cs="Times New Roman"/>
        </w:rPr>
      </w:pPr>
    </w:p>
    <w:p w14:paraId="4535E052" w14:textId="286F1CD0" w:rsidR="00113FFD" w:rsidRPr="009240F6" w:rsidRDefault="00113FFD" w:rsidP="00113FFD">
      <w:pPr>
        <w:pStyle w:val="ListParagraph"/>
        <w:numPr>
          <w:ilvl w:val="0"/>
          <w:numId w:val="48"/>
        </w:numPr>
        <w:jc w:val="both"/>
        <w:rPr>
          <w:rFonts w:cs="Times New Roman"/>
          <w:bCs/>
        </w:rPr>
      </w:pPr>
      <w:r w:rsidRPr="00E95A34">
        <w:rPr>
          <w:rFonts w:cs="Times New Roman"/>
          <w:b/>
          <w:bCs/>
        </w:rPr>
        <w:t xml:space="preserve">The priorities outlined in the new MSMED Plan 2017-2022 are broadly aligned to the constraints faced by MSMEs. </w:t>
      </w:r>
      <w:r w:rsidRPr="009249D1">
        <w:rPr>
          <w:rFonts w:cs="Times New Roman"/>
          <w:bCs/>
        </w:rPr>
        <w:t>The three focus areas for the Plan include: (i) Business Environment with emphasis on improving the business regulatory requirements and procedures as well as maximizing access to finance; (ii) Business Capacity with the aim of strengthening human capital development and improving innovation and technological competitiveness of MSMEs to transform and create new business models and enterprises; and (iii) Business Opportunities with the aim of broadening access to markets. The priority focus areas are broadly aligned to the constraints faced by MSMEs in the country</w:t>
      </w:r>
      <w:r w:rsidR="00F66B58">
        <w:rPr>
          <w:rFonts w:cs="Times New Roman"/>
          <w:bCs/>
        </w:rPr>
        <w:t xml:space="preserve"> (fig. 30)</w:t>
      </w:r>
      <w:r w:rsidRPr="009249D1">
        <w:rPr>
          <w:rFonts w:cs="Times New Roman"/>
          <w:bCs/>
        </w:rPr>
        <w:t>. For instance, reforms in the operating environment (external factors) and capacity of firms (internal factors) that constrain MSMEs in the Philippines. How successfully these constraints are addressed depends on how specific policies and program level interventions are designed and implemented.  This will be the focus of the PER.</w:t>
      </w:r>
    </w:p>
    <w:p w14:paraId="55E7917C" w14:textId="49B12291" w:rsidR="00E941AF" w:rsidRDefault="00E941AF" w:rsidP="009249D1">
      <w:pPr>
        <w:pStyle w:val="ListParagraph"/>
        <w:rPr>
          <w:rFonts w:ascii="Times" w:hAnsi="Times" w:cs="Times New Roman"/>
        </w:rPr>
      </w:pPr>
    </w:p>
    <w:p w14:paraId="781DB98B" w14:textId="77777777" w:rsidR="009240F6" w:rsidRPr="009249D1" w:rsidRDefault="009240F6" w:rsidP="009249D1">
      <w:pPr>
        <w:pStyle w:val="ListParagraph"/>
        <w:rPr>
          <w:rFonts w:ascii="Times" w:hAnsi="Times" w:cs="Times New Roman"/>
        </w:rPr>
      </w:pPr>
    </w:p>
    <w:p w14:paraId="25FCA2A0" w14:textId="5119D969" w:rsidR="00E941AF" w:rsidRDefault="00E941AF" w:rsidP="009249D1">
      <w:pPr>
        <w:pStyle w:val="ListParagraph"/>
        <w:ind w:left="360"/>
        <w:jc w:val="both"/>
        <w:rPr>
          <w:rFonts w:ascii="Times" w:hAnsi="Times" w:cs="Times New Roman"/>
        </w:rPr>
      </w:pPr>
      <w:r>
        <w:rPr>
          <w:rFonts w:ascii="Times" w:hAnsi="Times" w:cs="Times New Roman"/>
        </w:rPr>
        <w:tab/>
      </w:r>
      <w:r>
        <w:rPr>
          <w:rFonts w:ascii="Times" w:hAnsi="Times" w:cs="Times New Roman"/>
        </w:rPr>
        <w:tab/>
      </w:r>
      <w:r>
        <w:rPr>
          <w:rFonts w:ascii="Times" w:hAnsi="Times" w:cs="Times New Roman"/>
        </w:rPr>
        <w:tab/>
      </w:r>
      <w:r w:rsidRPr="009249D1">
        <w:rPr>
          <w:rFonts w:cs="Times New Roman"/>
          <w:b/>
          <w:bCs/>
        </w:rPr>
        <w:t xml:space="preserve">Figure </w:t>
      </w:r>
      <w:r w:rsidR="0081590E">
        <w:rPr>
          <w:rFonts w:cs="Times New Roman"/>
          <w:b/>
          <w:bCs/>
        </w:rPr>
        <w:t>30</w:t>
      </w:r>
      <w:r w:rsidRPr="009249D1">
        <w:rPr>
          <w:rFonts w:cs="Times New Roman"/>
          <w:b/>
          <w:bCs/>
        </w:rPr>
        <w:t>.</w:t>
      </w:r>
      <w:r w:rsidRPr="00E941AF">
        <w:rPr>
          <w:rFonts w:cs="Times New Roman"/>
          <w:b/>
          <w:bCs/>
        </w:rPr>
        <w:t xml:space="preserve"> </w:t>
      </w:r>
      <w:r>
        <w:rPr>
          <w:rFonts w:cs="Times New Roman"/>
          <w:b/>
          <w:bCs/>
        </w:rPr>
        <w:t xml:space="preserve">PHILIPPINE’s </w:t>
      </w:r>
      <w:r w:rsidRPr="009249D1">
        <w:rPr>
          <w:rFonts w:cs="Times New Roman"/>
          <w:b/>
          <w:bCs/>
        </w:rPr>
        <w:t>MSMED Plan Development 2017-2022 Framework</w:t>
      </w:r>
    </w:p>
    <w:p w14:paraId="0981E8D8" w14:textId="546AAAEB" w:rsidR="00E941AF" w:rsidRDefault="00E941AF" w:rsidP="00E941AF">
      <w:pPr>
        <w:pStyle w:val="ListParagraph"/>
        <w:rPr>
          <w:rFonts w:ascii="Times" w:hAnsi="Times" w:cs="Times New Roman"/>
        </w:rPr>
      </w:pPr>
      <w:r>
        <w:rPr>
          <w:noProof/>
        </w:rPr>
        <w:drawing>
          <wp:inline distT="0" distB="0" distL="0" distR="0" wp14:anchorId="1B2BD396" wp14:editId="732BAA50">
            <wp:extent cx="5312949" cy="2779081"/>
            <wp:effectExtent l="0" t="0" r="254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60622" cy="2804018"/>
                    </a:xfrm>
                    <a:prstGeom prst="rect">
                      <a:avLst/>
                    </a:prstGeom>
                  </pic:spPr>
                </pic:pic>
              </a:graphicData>
            </a:graphic>
          </wp:inline>
        </w:drawing>
      </w:r>
    </w:p>
    <w:p w14:paraId="128EC68C" w14:textId="55CC3B4F" w:rsidR="00E941AF" w:rsidRDefault="00E941AF" w:rsidP="009249D1">
      <w:pPr>
        <w:pStyle w:val="ListParagraph"/>
        <w:rPr>
          <w:rFonts w:ascii="Times" w:hAnsi="Times" w:cs="Times New Roman"/>
          <w:sz w:val="16"/>
          <w:szCs w:val="16"/>
        </w:rPr>
      </w:pPr>
      <w:r>
        <w:rPr>
          <w:rFonts w:ascii="Times" w:hAnsi="Times" w:cs="Times New Roman"/>
        </w:rPr>
        <w:tab/>
      </w:r>
      <w:r>
        <w:rPr>
          <w:rFonts w:ascii="Times" w:hAnsi="Times" w:cs="Times New Roman"/>
        </w:rPr>
        <w:tab/>
      </w:r>
      <w:r w:rsidRPr="009249D1">
        <w:rPr>
          <w:rFonts w:ascii="Times" w:hAnsi="Times" w:cs="Times New Roman"/>
          <w:sz w:val="16"/>
          <w:szCs w:val="16"/>
        </w:rPr>
        <w:t>Source: Government of Philippines</w:t>
      </w:r>
      <w:r w:rsidR="00A62D9C" w:rsidRPr="009249D1">
        <w:rPr>
          <w:rFonts w:ascii="Times" w:hAnsi="Times" w:cs="Times New Roman"/>
          <w:sz w:val="16"/>
          <w:szCs w:val="16"/>
        </w:rPr>
        <w:t xml:space="preserve"> (May 2018), </w:t>
      </w:r>
      <w:r w:rsidRPr="009249D1">
        <w:rPr>
          <w:rFonts w:ascii="Times" w:hAnsi="Times" w:cs="Times New Roman"/>
          <w:i/>
          <w:sz w:val="16"/>
          <w:szCs w:val="16"/>
        </w:rPr>
        <w:t>MSMED Plan Development 2017-2022</w:t>
      </w:r>
      <w:r w:rsidRPr="009249D1">
        <w:rPr>
          <w:rFonts w:ascii="Times" w:hAnsi="Times" w:cs="Times New Roman"/>
          <w:sz w:val="16"/>
          <w:szCs w:val="16"/>
        </w:rPr>
        <w:t xml:space="preserve"> </w:t>
      </w:r>
    </w:p>
    <w:p w14:paraId="170C1B32" w14:textId="79817D88" w:rsidR="00BF5376" w:rsidRDefault="00BF5376" w:rsidP="009249D1">
      <w:pPr>
        <w:pStyle w:val="ListParagraph"/>
        <w:rPr>
          <w:rFonts w:ascii="Times" w:hAnsi="Times" w:cs="Times New Roman"/>
          <w:sz w:val="16"/>
          <w:szCs w:val="16"/>
        </w:rPr>
      </w:pPr>
    </w:p>
    <w:p w14:paraId="77B9C8F5" w14:textId="476675F3" w:rsidR="00BF5376" w:rsidRDefault="00BF5376" w:rsidP="009249D1">
      <w:pPr>
        <w:pStyle w:val="ListParagraph"/>
        <w:rPr>
          <w:rFonts w:ascii="Times" w:hAnsi="Times" w:cs="Times New Roman"/>
          <w:sz w:val="16"/>
          <w:szCs w:val="16"/>
        </w:rPr>
      </w:pPr>
    </w:p>
    <w:p w14:paraId="40C7B408" w14:textId="77777777" w:rsidR="00BF5376" w:rsidRPr="00BF5376" w:rsidRDefault="00BF5376" w:rsidP="009240F6">
      <w:pPr>
        <w:pStyle w:val="ListParagraph"/>
        <w:ind w:left="360"/>
        <w:jc w:val="both"/>
        <w:rPr>
          <w:rFonts w:cs="Times New Roman"/>
        </w:rPr>
      </w:pPr>
    </w:p>
    <w:p w14:paraId="6461C266" w14:textId="1B3154E8" w:rsidR="00E941AF" w:rsidRPr="001A5AA7" w:rsidRDefault="00CF770C" w:rsidP="00113FFD">
      <w:pPr>
        <w:pStyle w:val="Heading2"/>
        <w:rPr>
          <w:i/>
          <w:sz w:val="24"/>
          <w:szCs w:val="24"/>
        </w:rPr>
      </w:pPr>
      <w:bookmarkStart w:id="66" w:name="_Toc12503521"/>
      <w:r>
        <w:rPr>
          <w:i/>
          <w:sz w:val="24"/>
          <w:szCs w:val="24"/>
        </w:rPr>
        <w:t xml:space="preserve">Emphasizing </w:t>
      </w:r>
      <w:r w:rsidR="00E941AF" w:rsidRPr="001A5AA7">
        <w:rPr>
          <w:i/>
          <w:sz w:val="24"/>
          <w:szCs w:val="24"/>
        </w:rPr>
        <w:t xml:space="preserve">Entrepreneurship </w:t>
      </w:r>
      <w:r>
        <w:rPr>
          <w:i/>
          <w:sz w:val="24"/>
          <w:szCs w:val="24"/>
        </w:rPr>
        <w:t>and start-ups</w:t>
      </w:r>
      <w:bookmarkEnd w:id="66"/>
      <w:r w:rsidR="001A5AA7">
        <w:rPr>
          <w:i/>
          <w:sz w:val="24"/>
          <w:szCs w:val="24"/>
        </w:rPr>
        <w:t xml:space="preserve"> </w:t>
      </w:r>
    </w:p>
    <w:p w14:paraId="5384062E" w14:textId="4E931B14" w:rsidR="006A424B" w:rsidRDefault="006A424B" w:rsidP="006A424B">
      <w:pPr>
        <w:pStyle w:val="ListParagraph"/>
        <w:numPr>
          <w:ilvl w:val="0"/>
          <w:numId w:val="48"/>
        </w:numPr>
        <w:jc w:val="both"/>
        <w:rPr>
          <w:rFonts w:cs="Times New Roman"/>
        </w:rPr>
      </w:pPr>
      <w:r w:rsidRPr="00CF770C">
        <w:rPr>
          <w:rFonts w:cs="Times New Roman"/>
          <w:b/>
        </w:rPr>
        <w:t>Promoting entrepreneurship</w:t>
      </w:r>
      <w:r w:rsidR="00EC7409" w:rsidRPr="00CF770C">
        <w:rPr>
          <w:rFonts w:cs="Times New Roman"/>
          <w:b/>
          <w:vertAlign w:val="superscript"/>
        </w:rPr>
        <w:endnoteReference w:id="59"/>
      </w:r>
      <w:r w:rsidR="00EC7409" w:rsidRPr="00CF770C">
        <w:rPr>
          <w:rFonts w:cs="Times New Roman"/>
          <w:b/>
          <w:vertAlign w:val="superscript"/>
        </w:rPr>
        <w:t xml:space="preserve"> </w:t>
      </w:r>
      <w:r w:rsidRPr="00CF770C">
        <w:rPr>
          <w:rFonts w:cs="Times New Roman"/>
          <w:b/>
        </w:rPr>
        <w:t xml:space="preserve"> is a key pillar of the Government’s </w:t>
      </w:r>
      <w:r w:rsidRPr="00CF770C">
        <w:rPr>
          <w:rFonts w:cs="Times New Roman"/>
          <w:b/>
          <w:i/>
        </w:rPr>
        <w:t>MSME Development Plan 2017-22</w:t>
      </w:r>
      <w:r w:rsidRPr="00CF770C">
        <w:rPr>
          <w:rFonts w:cs="Times New Roman"/>
          <w:b/>
        </w:rPr>
        <w:t xml:space="preserve"> that underlines the need to “create new business models and enterprises” through improved business environment, business capacity and opportunities</w:t>
      </w:r>
      <w:r w:rsidRPr="00A00DD6">
        <w:rPr>
          <w:rFonts w:cs="Times New Roman"/>
        </w:rPr>
        <w:t>.</w:t>
      </w:r>
      <w:r w:rsidRPr="00A00DD6">
        <w:rPr>
          <w:rFonts w:cs="Times New Roman"/>
          <w:vertAlign w:val="superscript"/>
        </w:rPr>
        <w:endnoteReference w:id="60"/>
      </w:r>
      <w:r w:rsidRPr="00A00DD6">
        <w:rPr>
          <w:rFonts w:cs="Times New Roman"/>
          <w:vertAlign w:val="superscript"/>
        </w:rPr>
        <w:t xml:space="preserve"> </w:t>
      </w:r>
      <w:r w:rsidRPr="00A00DD6">
        <w:rPr>
          <w:rFonts w:cs="Times New Roman"/>
        </w:rPr>
        <w:t>Empirical evidence from across countries indicate that start-ups and younger firms grow faster and contribute more to net job creation and aggregate productivity growth.</w:t>
      </w:r>
      <w:r w:rsidRPr="00A00DD6">
        <w:rPr>
          <w:rFonts w:cs="Times New Roman"/>
          <w:vertAlign w:val="superscript"/>
        </w:rPr>
        <w:endnoteReference w:id="61"/>
      </w:r>
      <w:r w:rsidRPr="00A00DD6">
        <w:rPr>
          <w:rFonts w:cs="Times New Roman"/>
        </w:rPr>
        <w:t xml:space="preserve"> Because innovation, by definition, is putting new products, services, or processes into use, enterprises are the main innovators. New firms are also a source of competitive pressure on incumbents, thus contributing to higher productivity.</w:t>
      </w:r>
      <w:r w:rsidRPr="00A00DD6">
        <w:rPr>
          <w:rFonts w:eastAsia="PMingLiU" w:cs="Times New Roman"/>
          <w:lang w:eastAsia="zh-TW"/>
        </w:rPr>
        <w:t xml:space="preserve"> With emerging technologies,</w:t>
      </w:r>
      <w:r w:rsidRPr="00A00DD6">
        <w:rPr>
          <w:rFonts w:eastAsia="PMingLiU" w:cs="Times New Roman"/>
          <w:vertAlign w:val="superscript"/>
          <w:lang w:eastAsia="zh-TW"/>
        </w:rPr>
        <w:endnoteReference w:id="62"/>
      </w:r>
      <w:r w:rsidRPr="00A00DD6">
        <w:rPr>
          <w:rFonts w:eastAsia="PMingLiU" w:cs="Times New Roman"/>
          <w:lang w:eastAsia="zh-TW"/>
        </w:rPr>
        <w:t xml:space="preserve"> </w:t>
      </w:r>
      <w:r w:rsidRPr="00A00DD6">
        <w:rPr>
          <w:rFonts w:cs="Times New Roman"/>
        </w:rPr>
        <w:t>combined with existing digital and information technologies</w:t>
      </w:r>
      <w:r w:rsidRPr="00A00DD6">
        <w:rPr>
          <w:rFonts w:eastAsia="PMingLiU" w:cs="Times New Roman"/>
          <w:lang w:eastAsia="zh-TW"/>
        </w:rPr>
        <w:t xml:space="preserve">, the </w:t>
      </w:r>
      <w:proofErr w:type="spellStart"/>
      <w:r w:rsidRPr="00A00DD6">
        <w:rPr>
          <w:rFonts w:eastAsia="PMingLiU" w:cs="Times New Roman"/>
          <w:lang w:eastAsia="zh-TW"/>
        </w:rPr>
        <w:t>GoP</w:t>
      </w:r>
      <w:proofErr w:type="spellEnd"/>
      <w:r w:rsidRPr="00A00DD6">
        <w:rPr>
          <w:rFonts w:eastAsia="PMingLiU" w:cs="Times New Roman"/>
          <w:lang w:eastAsia="zh-TW"/>
        </w:rPr>
        <w:t xml:space="preserve"> recognizes that start-ups can potentially contribute to realizing its MSME goals.</w:t>
      </w:r>
      <w:r w:rsidRPr="00A00DD6">
        <w:rPr>
          <w:rFonts w:eastAsia="PMingLiU" w:cs="Times New Roman"/>
          <w:vertAlign w:val="superscript"/>
          <w:lang w:eastAsia="zh-TW"/>
        </w:rPr>
        <w:endnoteReference w:id="63"/>
      </w:r>
      <w:r w:rsidRPr="00A00DD6">
        <w:rPr>
          <w:rFonts w:eastAsia="PMingLiU" w:cs="Times New Roman"/>
          <w:lang w:eastAsia="zh-TW"/>
        </w:rPr>
        <w:t xml:space="preserve"> </w:t>
      </w:r>
      <w:r w:rsidRPr="00A00DD6">
        <w:rPr>
          <w:rFonts w:cs="Times New Roman"/>
        </w:rPr>
        <w:t>By supporting startups,</w:t>
      </w:r>
      <w:r w:rsidRPr="00A00DD6">
        <w:t xml:space="preserve"> </w:t>
      </w:r>
      <w:r>
        <w:t xml:space="preserve">the </w:t>
      </w:r>
      <w:r w:rsidRPr="00A00DD6">
        <w:rPr>
          <w:rFonts w:cs="Times New Roman"/>
        </w:rPr>
        <w:t xml:space="preserve">Philippines aims to enhance its productivity </w:t>
      </w:r>
      <w:proofErr w:type="gramStart"/>
      <w:r w:rsidRPr="00A00DD6">
        <w:rPr>
          <w:rFonts w:cs="Times New Roman"/>
        </w:rPr>
        <w:t>and also</w:t>
      </w:r>
      <w:proofErr w:type="gramEnd"/>
      <w:r w:rsidRPr="00A00DD6">
        <w:rPr>
          <w:rFonts w:cs="Times New Roman"/>
        </w:rPr>
        <w:t xml:space="preserve"> carve out a role for itself in the increasingly new innovation-driven and emerging tech-centric global economy. </w:t>
      </w:r>
    </w:p>
    <w:p w14:paraId="7C829D16" w14:textId="77777777" w:rsidR="00CF770C" w:rsidRDefault="00CF770C" w:rsidP="00CF770C">
      <w:pPr>
        <w:pStyle w:val="ListParagraph"/>
        <w:ind w:left="360"/>
        <w:jc w:val="both"/>
        <w:rPr>
          <w:rFonts w:cs="Times New Roman"/>
        </w:rPr>
      </w:pPr>
    </w:p>
    <w:p w14:paraId="0BD7270B" w14:textId="77777777" w:rsidR="00F66B58" w:rsidRPr="00A17EDE" w:rsidRDefault="00F66B58" w:rsidP="00F66B58">
      <w:pPr>
        <w:pStyle w:val="ListParagraph"/>
        <w:numPr>
          <w:ilvl w:val="0"/>
          <w:numId w:val="48"/>
        </w:numPr>
        <w:jc w:val="both"/>
        <w:rPr>
          <w:rFonts w:eastAsia="PMingLiU" w:cs="Times New Roman"/>
          <w:lang w:eastAsia="zh-TW"/>
        </w:rPr>
      </w:pPr>
      <w:r w:rsidRPr="00A17EDE">
        <w:rPr>
          <w:rFonts w:cs="Times New Roman"/>
          <w:b/>
        </w:rPr>
        <w:t xml:space="preserve">The Government is keen on supporting the </w:t>
      </w:r>
      <w:r>
        <w:rPr>
          <w:rFonts w:cs="Times New Roman"/>
          <w:b/>
        </w:rPr>
        <w:t xml:space="preserve">emerging </w:t>
      </w:r>
      <w:r w:rsidRPr="00A17EDE">
        <w:rPr>
          <w:rFonts w:cs="Times New Roman"/>
          <w:b/>
        </w:rPr>
        <w:t>startup ecosystem in the Philippines.</w:t>
      </w:r>
      <w:r w:rsidRPr="00A17EDE">
        <w:rPr>
          <w:rFonts w:cs="Times New Roman"/>
        </w:rPr>
        <w:t xml:space="preserve"> To help underpin the private sector dynamism,</w:t>
      </w:r>
      <w:r w:rsidRPr="00A17EDE">
        <w:t xml:space="preserve"> </w:t>
      </w:r>
      <w:r w:rsidRPr="00A17EDE">
        <w:rPr>
          <w:rFonts w:cs="Times New Roman"/>
        </w:rPr>
        <w:t xml:space="preserve">the </w:t>
      </w:r>
      <w:proofErr w:type="spellStart"/>
      <w:r w:rsidRPr="00A17EDE">
        <w:rPr>
          <w:rFonts w:cs="Times New Roman"/>
        </w:rPr>
        <w:t>GoP</w:t>
      </w:r>
      <w:proofErr w:type="spellEnd"/>
      <w:r w:rsidRPr="00A17EDE">
        <w:rPr>
          <w:rFonts w:cs="Times New Roman"/>
        </w:rPr>
        <w:t xml:space="preserve"> has increased its efforts to support startups through various policies and programs. Following on the 2015 </w:t>
      </w:r>
      <w:r w:rsidRPr="00A17EDE">
        <w:rPr>
          <w:rFonts w:cs="Times New Roman"/>
          <w:i/>
        </w:rPr>
        <w:t>Philippine Startup Roadmap</w:t>
      </w:r>
      <w:r w:rsidRPr="00A17EDE">
        <w:rPr>
          <w:rFonts w:cs="Times New Roman"/>
        </w:rPr>
        <w:t xml:space="preserve">, the </w:t>
      </w:r>
      <w:proofErr w:type="spellStart"/>
      <w:r w:rsidRPr="00A17EDE">
        <w:rPr>
          <w:rFonts w:cs="Times New Roman"/>
        </w:rPr>
        <w:t>GoP</w:t>
      </w:r>
      <w:proofErr w:type="spellEnd"/>
      <w:r w:rsidRPr="00A17EDE">
        <w:rPr>
          <w:rFonts w:cs="Times New Roman"/>
        </w:rPr>
        <w:t xml:space="preserve"> has recently approved the </w:t>
      </w:r>
      <w:r w:rsidRPr="00A17EDE">
        <w:rPr>
          <w:rFonts w:cs="Times New Roman"/>
          <w:i/>
        </w:rPr>
        <w:t>Innovative Startup Act</w:t>
      </w:r>
      <w:r w:rsidRPr="00A17EDE">
        <w:rPr>
          <w:rFonts w:cs="Times New Roman"/>
        </w:rPr>
        <w:t xml:space="preserve"> (2018). As the national agency responsible for making a globally competitive and innovative industry and services sector, the Department of Trade and Industry (DTI) promotes the development and scaling up of the local start-ups through its </w:t>
      </w:r>
      <w:r w:rsidRPr="00A17EDE">
        <w:rPr>
          <w:rFonts w:cs="Times New Roman"/>
          <w:i/>
        </w:rPr>
        <w:t>Startup Ecosystem Development Program</w:t>
      </w:r>
      <w:r w:rsidRPr="00A17EDE">
        <w:rPr>
          <w:rFonts w:cs="Times New Roman"/>
        </w:rPr>
        <w:t xml:space="preserve"> </w:t>
      </w:r>
      <w:r w:rsidRPr="00A17EDE">
        <w:rPr>
          <w:rFonts w:cs="Times New Roman"/>
          <w:i/>
        </w:rPr>
        <w:t>2016-2021</w:t>
      </w:r>
      <w:r w:rsidRPr="00A17EDE">
        <w:rPr>
          <w:rFonts w:cs="Times New Roman"/>
        </w:rPr>
        <w:t xml:space="preserve">, (SEDP). </w:t>
      </w:r>
    </w:p>
    <w:p w14:paraId="0AEDFBD7" w14:textId="77777777" w:rsidR="006A424B" w:rsidRPr="00200A17" w:rsidRDefault="006A424B" w:rsidP="006A424B">
      <w:pPr>
        <w:pStyle w:val="ListParagraph"/>
        <w:ind w:left="360"/>
        <w:jc w:val="both"/>
        <w:rPr>
          <w:rFonts w:cs="Times New Roman"/>
        </w:rPr>
      </w:pPr>
    </w:p>
    <w:p w14:paraId="66E31483" w14:textId="3FED5BAF" w:rsidR="006A424B" w:rsidRDefault="006A424B" w:rsidP="006A424B">
      <w:pPr>
        <w:pStyle w:val="ListParagraph"/>
        <w:numPr>
          <w:ilvl w:val="0"/>
          <w:numId w:val="48"/>
        </w:numPr>
        <w:jc w:val="both"/>
        <w:rPr>
          <w:rFonts w:cs="Times New Roman"/>
        </w:rPr>
      </w:pPr>
      <w:r w:rsidRPr="00200A17">
        <w:rPr>
          <w:rFonts w:cs="Times New Roman"/>
          <w:b/>
        </w:rPr>
        <w:t>Entrepreneurship encompasses multiple dimensions and contributes to diverse economic outcomes.</w:t>
      </w:r>
      <w:r w:rsidRPr="00200A17">
        <w:rPr>
          <w:rFonts w:cs="Times New Roman"/>
        </w:rPr>
        <w:t xml:space="preserve"> Defining and distilling the heterogeneous concept of entrepreneurship is essential for policy-making as it has significant implications on performance outcomes and impact. Supporting “innovative” </w:t>
      </w:r>
      <w:r w:rsidRPr="00200A17">
        <w:rPr>
          <w:rFonts w:cs="Times New Roman"/>
          <w:i/>
        </w:rPr>
        <w:t>vis</w:t>
      </w:r>
      <w:r>
        <w:rPr>
          <w:rFonts w:cs="Times New Roman"/>
          <w:i/>
        </w:rPr>
        <w:t>-</w:t>
      </w:r>
      <w:r w:rsidRPr="00200A17">
        <w:rPr>
          <w:rFonts w:cs="Times New Roman"/>
          <w:i/>
        </w:rPr>
        <w:t>a</w:t>
      </w:r>
      <w:r>
        <w:rPr>
          <w:rFonts w:cs="Times New Roman"/>
          <w:i/>
        </w:rPr>
        <w:t>-</w:t>
      </w:r>
      <w:r w:rsidRPr="00200A17">
        <w:rPr>
          <w:rFonts w:cs="Times New Roman"/>
          <w:i/>
        </w:rPr>
        <w:t>vis</w:t>
      </w:r>
      <w:r w:rsidRPr="00200A17">
        <w:rPr>
          <w:rFonts w:cs="Times New Roman"/>
        </w:rPr>
        <w:t xml:space="preserve"> “necessity” entrepreneurs, for example, may call for distinctly different policy responses.</w:t>
      </w:r>
      <w:r w:rsidRPr="00200A17">
        <w:rPr>
          <w:rFonts w:cs="Times New Roman"/>
          <w:vertAlign w:val="superscript"/>
        </w:rPr>
        <w:endnoteReference w:id="64"/>
      </w:r>
      <w:r w:rsidRPr="00200A17">
        <w:rPr>
          <w:rFonts w:cs="Times New Roman"/>
        </w:rPr>
        <w:t xml:space="preserve">  Enterprise life-cycle is another dimension to consider (</w:t>
      </w:r>
      <w:r w:rsidR="0081590E">
        <w:rPr>
          <w:rFonts w:cs="Times New Roman"/>
        </w:rPr>
        <w:t>fig. 3</w:t>
      </w:r>
      <w:r w:rsidR="00F6150F">
        <w:rPr>
          <w:rFonts w:cs="Times New Roman"/>
        </w:rPr>
        <w:t>1</w:t>
      </w:r>
      <w:r w:rsidRPr="00200A17">
        <w:rPr>
          <w:rFonts w:cs="Times New Roman"/>
        </w:rPr>
        <w:t>).</w:t>
      </w:r>
      <w:r>
        <w:rPr>
          <w:rFonts w:cs="Times New Roman"/>
        </w:rPr>
        <w:t xml:space="preserve"> </w:t>
      </w:r>
      <w:r w:rsidRPr="00200A17">
        <w:rPr>
          <w:rFonts w:cs="Times New Roman"/>
        </w:rPr>
        <w:t>Constraints facing firms vary along the entrepreneurship path. Early stage entrepreneurship (i.e. start-ups including pre-seed, seed stage)</w:t>
      </w:r>
      <w:r w:rsidRPr="00200A17">
        <w:rPr>
          <w:rFonts w:cs="Times New Roman"/>
          <w:vertAlign w:val="superscript"/>
        </w:rPr>
        <w:endnoteReference w:id="65"/>
      </w:r>
      <w:r w:rsidRPr="00200A17">
        <w:rPr>
          <w:rFonts w:eastAsia="Calibri" w:cs="Times New Roman"/>
        </w:rPr>
        <w:t xml:space="preserve"> </w:t>
      </w:r>
      <w:r w:rsidRPr="00200A17">
        <w:rPr>
          <w:rFonts w:cs="Times New Roman"/>
        </w:rPr>
        <w:t>may face very different constraints/needs than firms at a later stage of maturity (growth, developed and established firms).</w:t>
      </w:r>
      <w:r w:rsidRPr="00200A17">
        <w:rPr>
          <w:rFonts w:cs="Times New Roman"/>
          <w:vertAlign w:val="superscript"/>
        </w:rPr>
        <w:endnoteReference w:id="66"/>
      </w:r>
      <w:r w:rsidRPr="00200A17">
        <w:rPr>
          <w:rFonts w:cs="Times New Roman"/>
        </w:rPr>
        <w:t xml:space="preserve"> Similarly, the specific instruments to support enterprises will largely depend on the life cycle stage of the firm.</w:t>
      </w:r>
      <w:r w:rsidRPr="00200A17">
        <w:rPr>
          <w:rFonts w:cs="Times New Roman"/>
          <w:vertAlign w:val="superscript"/>
        </w:rPr>
        <w:endnoteReference w:id="67"/>
      </w:r>
      <w:r w:rsidRPr="00200A17">
        <w:rPr>
          <w:rFonts w:cs="Times New Roman"/>
        </w:rPr>
        <w:t xml:space="preserve"> Indeed, many entrepreneurial policies are flawed precisely because they fail to distinguish between these heterogeneous sets of entrepreneurs and stages of firm life cycle.</w:t>
      </w:r>
    </w:p>
    <w:p w14:paraId="3096C247" w14:textId="77777777" w:rsidR="006A424B" w:rsidRPr="00200A17" w:rsidRDefault="006A424B" w:rsidP="006A424B">
      <w:pPr>
        <w:pStyle w:val="ListParagraph"/>
        <w:ind w:left="360"/>
        <w:jc w:val="both"/>
        <w:rPr>
          <w:rFonts w:cs="Times New Roman"/>
        </w:rPr>
      </w:pPr>
    </w:p>
    <w:p w14:paraId="22A7EBB8" w14:textId="1106587E" w:rsidR="006A424B" w:rsidRDefault="006A424B" w:rsidP="006A424B">
      <w:pPr>
        <w:ind w:left="360"/>
        <w:contextualSpacing/>
        <w:jc w:val="center"/>
        <w:rPr>
          <w:rFonts w:cs="Times New Roman"/>
          <w:b/>
        </w:rPr>
      </w:pPr>
      <w:r w:rsidRPr="00D92710">
        <w:rPr>
          <w:b/>
        </w:rPr>
        <w:t xml:space="preserve">Figure </w:t>
      </w:r>
      <w:r w:rsidR="0081590E">
        <w:rPr>
          <w:b/>
        </w:rPr>
        <w:t>3</w:t>
      </w:r>
      <w:r w:rsidR="00F6150F">
        <w:rPr>
          <w:b/>
        </w:rPr>
        <w:t>1</w:t>
      </w:r>
      <w:r w:rsidRPr="00D92710">
        <w:rPr>
          <w:rFonts w:ascii="Times" w:eastAsia="Calibri" w:hAnsi="Times" w:cs="Times New Roman"/>
          <w:b/>
        </w:rPr>
        <w:t xml:space="preserve">: </w:t>
      </w:r>
      <w:r>
        <w:rPr>
          <w:rFonts w:cs="Times New Roman"/>
          <w:b/>
        </w:rPr>
        <w:t xml:space="preserve">Firm life cycle – Ecosystem to support Entry and Growth of Productive Enterprises </w:t>
      </w:r>
    </w:p>
    <w:p w14:paraId="1F0AC817" w14:textId="77777777" w:rsidR="006A424B" w:rsidRDefault="006A424B" w:rsidP="006A424B">
      <w:pPr>
        <w:ind w:left="360"/>
        <w:contextualSpacing/>
        <w:jc w:val="both"/>
        <w:rPr>
          <w:rFonts w:cs="Times New Roman"/>
          <w:bCs/>
          <w:sz w:val="24"/>
          <w:szCs w:val="24"/>
        </w:rPr>
      </w:pPr>
    </w:p>
    <w:p w14:paraId="7BAAD073" w14:textId="77777777" w:rsidR="006A424B" w:rsidRDefault="006A424B" w:rsidP="006A424B">
      <w:pPr>
        <w:ind w:left="360"/>
        <w:contextualSpacing/>
        <w:jc w:val="both"/>
        <w:rPr>
          <w:rFonts w:cs="Times New Roman"/>
          <w:bCs/>
          <w:sz w:val="24"/>
          <w:szCs w:val="24"/>
        </w:rPr>
      </w:pPr>
      <w:r>
        <w:rPr>
          <w:noProof/>
        </w:rPr>
        <w:drawing>
          <wp:inline distT="0" distB="0" distL="0" distR="0" wp14:anchorId="2EB26520" wp14:editId="0CDE4ED3">
            <wp:extent cx="5943600" cy="37738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773805"/>
                    </a:xfrm>
                    <a:prstGeom prst="rect">
                      <a:avLst/>
                    </a:prstGeom>
                    <a:noFill/>
                    <a:ln>
                      <a:noFill/>
                    </a:ln>
                  </pic:spPr>
                </pic:pic>
              </a:graphicData>
            </a:graphic>
          </wp:inline>
        </w:drawing>
      </w:r>
    </w:p>
    <w:p w14:paraId="630BD186" w14:textId="77777777" w:rsidR="006A424B" w:rsidRDefault="006A424B" w:rsidP="006A424B">
      <w:pPr>
        <w:ind w:left="360"/>
        <w:contextualSpacing/>
        <w:jc w:val="center"/>
        <w:rPr>
          <w:rFonts w:cs="Times New Roman"/>
          <w:sz w:val="18"/>
          <w:szCs w:val="18"/>
        </w:rPr>
      </w:pPr>
      <w:r>
        <w:rPr>
          <w:rFonts w:cs="Times New Roman"/>
          <w:sz w:val="18"/>
          <w:szCs w:val="18"/>
        </w:rPr>
        <w:t xml:space="preserve">Source: </w:t>
      </w:r>
      <w:r>
        <w:rPr>
          <w:rFonts w:cs="Times New Roman"/>
          <w:i/>
          <w:sz w:val="18"/>
          <w:szCs w:val="18"/>
        </w:rPr>
        <w:t xml:space="preserve">SME Action Plan, </w:t>
      </w:r>
      <w:r>
        <w:rPr>
          <w:rFonts w:cs="Times New Roman"/>
          <w:sz w:val="18"/>
          <w:szCs w:val="18"/>
        </w:rPr>
        <w:t>World Bank 2016</w:t>
      </w:r>
    </w:p>
    <w:p w14:paraId="4F88890B" w14:textId="4CE2E585" w:rsidR="000055CF" w:rsidRDefault="006A424B" w:rsidP="000055CF">
      <w:pPr>
        <w:pStyle w:val="ListParagraph"/>
        <w:numPr>
          <w:ilvl w:val="0"/>
          <w:numId w:val="48"/>
        </w:numPr>
        <w:jc w:val="both"/>
        <w:rPr>
          <w:rFonts w:cs="Times New Roman"/>
          <w:bCs/>
        </w:rPr>
      </w:pPr>
      <w:r w:rsidRPr="00CE1BC1">
        <w:rPr>
          <w:rFonts w:cs="Times New Roman"/>
          <w:b/>
        </w:rPr>
        <w:t>Early stages of firm life cycle are considered the riskiest and underscore the rationale for public policy.</w:t>
      </w:r>
      <w:r w:rsidRPr="00CE1BC1">
        <w:rPr>
          <w:rFonts w:cs="Times New Roman"/>
        </w:rPr>
        <w:t xml:space="preserve"> Market failures and constraints vary along the stages of the entrepreneurship and innovation process (</w:t>
      </w:r>
      <w:r>
        <w:rPr>
          <w:rFonts w:cs="Times New Roman"/>
        </w:rPr>
        <w:t>8</w:t>
      </w:r>
      <w:r w:rsidRPr="00CE1BC1">
        <w:rPr>
          <w:rFonts w:cs="Times New Roman"/>
        </w:rPr>
        <w:t>).</w:t>
      </w:r>
      <w:r w:rsidRPr="00CE1BC1">
        <w:rPr>
          <w:rFonts w:cs="Times New Roman"/>
          <w:vertAlign w:val="superscript"/>
        </w:rPr>
        <w:endnoteReference w:id="68"/>
      </w:r>
      <w:r w:rsidRPr="00CE1BC1">
        <w:rPr>
          <w:rFonts w:cs="Times New Roman"/>
        </w:rPr>
        <w:t xml:space="preserve"> Early stage entrepreneurs often need to prove early adoption traction to reflect and/or have a minimum viable product before private</w:t>
      </w:r>
      <w:r w:rsidRPr="00CE1BC1">
        <w:t xml:space="preserve"> </w:t>
      </w:r>
      <w:r w:rsidRPr="00CE1BC1">
        <w:rPr>
          <w:rFonts w:cs="Times New Roman"/>
        </w:rPr>
        <w:t>investor interest can be elicited to finance the startup.</w:t>
      </w:r>
      <w:r w:rsidRPr="00CE1BC1">
        <w:t xml:space="preserve"> </w:t>
      </w:r>
      <w:r w:rsidRPr="00CE1BC1">
        <w:rPr>
          <w:rFonts w:cs="Times New Roman"/>
        </w:rPr>
        <w:t xml:space="preserve">As agents of innovation, start-ups may under-invest in innovative </w:t>
      </w:r>
      <w:r w:rsidRPr="00CE1BC1">
        <w:rPr>
          <w:rFonts w:cs="Times New Roman"/>
          <w:bCs/>
        </w:rPr>
        <w:t>activities as they may not capture all the private returns to innovation.</w:t>
      </w:r>
      <w:r w:rsidRPr="00CE1BC1">
        <w:rPr>
          <w:bCs/>
          <w:vertAlign w:val="superscript"/>
        </w:rPr>
        <w:endnoteReference w:id="69"/>
      </w:r>
      <w:r w:rsidRPr="00CE1BC1">
        <w:rPr>
          <w:rFonts w:cs="Times New Roman"/>
          <w:bCs/>
        </w:rPr>
        <w:t xml:space="preserve"> There may be constraints in the operating environment – ranging from distortive market conditions, competitive, regulatory and trade policies – that can hamper growth prospects, particularly for startups. In addition to the external constraints, entrepreneurs may face internal </w:t>
      </w:r>
      <w:r>
        <w:rPr>
          <w:rFonts w:cs="Times New Roman"/>
          <w:bCs/>
        </w:rPr>
        <w:t xml:space="preserve">productivity </w:t>
      </w:r>
      <w:r w:rsidRPr="00CE1BC1">
        <w:rPr>
          <w:rFonts w:cs="Times New Roman"/>
          <w:bCs/>
        </w:rPr>
        <w:t>constraints (</w:t>
      </w:r>
      <w:r>
        <w:rPr>
          <w:rFonts w:cs="Times New Roman"/>
          <w:bCs/>
        </w:rPr>
        <w:t xml:space="preserve">Figure </w:t>
      </w:r>
      <w:r w:rsidR="001D1967">
        <w:rPr>
          <w:rFonts w:cs="Times New Roman"/>
          <w:bCs/>
        </w:rPr>
        <w:t>10</w:t>
      </w:r>
      <w:r>
        <w:rPr>
          <w:rFonts w:cs="Times New Roman"/>
          <w:bCs/>
        </w:rPr>
        <w:t>).</w:t>
      </w:r>
      <w:r w:rsidRPr="00CE1BC1">
        <w:rPr>
          <w:bCs/>
          <w:vertAlign w:val="superscript"/>
        </w:rPr>
        <w:endnoteReference w:id="70"/>
      </w:r>
      <w:r w:rsidRPr="00CE1BC1">
        <w:rPr>
          <w:rFonts w:cs="Times New Roman"/>
          <w:bCs/>
        </w:rPr>
        <w:t xml:space="preserve"> </w:t>
      </w:r>
      <w:r>
        <w:rPr>
          <w:rFonts w:cs="Times New Roman"/>
          <w:bCs/>
        </w:rPr>
        <w:t xml:space="preserve"> </w:t>
      </w:r>
      <w:r w:rsidRPr="007E483E">
        <w:rPr>
          <w:rFonts w:cs="Times New Roman"/>
          <w:bCs/>
        </w:rPr>
        <w:t>For instance, managerial and entrepreneurial capabilities which are considered important factors for growth may be lacking (World Bank 2017). Together these constraints and market failures underpin the role of public policy in supporting entrepreneurship. Governments may provide programs/services – from business development training to financing - that target start-ups.</w:t>
      </w:r>
    </w:p>
    <w:p w14:paraId="335E20CD" w14:textId="49AEBCA9" w:rsidR="00345FC4" w:rsidRPr="00BA40B3" w:rsidRDefault="000055CF" w:rsidP="000055CF">
      <w:pPr>
        <w:pStyle w:val="ListParagraph"/>
        <w:ind w:left="360"/>
        <w:jc w:val="both"/>
        <w:rPr>
          <w:rFonts w:cs="Times New Roman"/>
          <w:bCs/>
        </w:rPr>
      </w:pPr>
      <w:r w:rsidRPr="00BA40B3">
        <w:rPr>
          <w:rFonts w:cs="Times New Roman"/>
          <w:bCs/>
        </w:rPr>
        <w:t xml:space="preserve"> </w:t>
      </w:r>
    </w:p>
    <w:p w14:paraId="42FAE866" w14:textId="77777777" w:rsidR="006A424B" w:rsidRDefault="006A424B" w:rsidP="006A424B">
      <w:pPr>
        <w:pStyle w:val="ListParagraph"/>
        <w:numPr>
          <w:ilvl w:val="0"/>
          <w:numId w:val="48"/>
        </w:numPr>
        <w:jc w:val="both"/>
        <w:rPr>
          <w:rFonts w:eastAsia="Calibri" w:cs="Times New Roman"/>
          <w:color w:val="000000"/>
        </w:rPr>
      </w:pPr>
      <w:r w:rsidRPr="001665D6">
        <w:rPr>
          <w:rFonts w:cs="Times New Roman"/>
          <w:b/>
        </w:rPr>
        <w:t>Experience</w:t>
      </w:r>
      <w:r w:rsidRPr="00380BAA">
        <w:rPr>
          <w:rFonts w:eastAsia="Calibri" w:cs="Times New Roman"/>
          <w:b/>
          <w:color w:val="000000"/>
        </w:rPr>
        <w:t xml:space="preserve"> from across the world suggests that entrepreneurship evolves organically within ecosystems through the actions of many stakeholders, including but not limited to the government.</w:t>
      </w:r>
      <w:r w:rsidRPr="00380BAA">
        <w:rPr>
          <w:rFonts w:eastAsia="Calibri" w:cs="Times New Roman"/>
          <w:color w:val="000000"/>
        </w:rPr>
        <w:t xml:space="preserve"> </w:t>
      </w:r>
      <w:r w:rsidRPr="00380BAA">
        <w:rPr>
          <w:rFonts w:eastAsia="Calibri" w:cs="Times New Roman"/>
        </w:rPr>
        <w:t xml:space="preserve">The entrepreneurial ecosystem is the business environment in which entrepreneurs undertake their business activities, and the set of connections that support this. It includes “a set of interconnected entrepreneurial </w:t>
      </w:r>
      <w:r w:rsidRPr="00380BAA">
        <w:rPr>
          <w:rFonts w:eastAsia="Calibri" w:cs="Times New Roman"/>
          <w:i/>
        </w:rPr>
        <w:t>actors</w:t>
      </w:r>
      <w:r w:rsidRPr="00380BAA">
        <w:rPr>
          <w:rFonts w:eastAsia="Calibri" w:cs="Times New Roman"/>
        </w:rPr>
        <w:t xml:space="preserve">, entrepreneurial </w:t>
      </w:r>
      <w:r w:rsidRPr="00380BAA">
        <w:rPr>
          <w:rFonts w:eastAsia="Calibri" w:cs="Times New Roman"/>
          <w:i/>
        </w:rPr>
        <w:t>organizations</w:t>
      </w:r>
      <w:r w:rsidRPr="00380BAA">
        <w:rPr>
          <w:rFonts w:eastAsia="Calibri" w:cs="Times New Roman"/>
        </w:rPr>
        <w:t xml:space="preserve"> (i.e. firms, venture capitalists, business angels, and banks), </w:t>
      </w:r>
      <w:r w:rsidRPr="00380BAA">
        <w:rPr>
          <w:rFonts w:eastAsia="Calibri" w:cs="Times New Roman"/>
          <w:i/>
        </w:rPr>
        <w:t>institutions</w:t>
      </w:r>
      <w:r w:rsidRPr="00380BAA">
        <w:rPr>
          <w:rFonts w:eastAsia="Calibri" w:cs="Times New Roman"/>
        </w:rPr>
        <w:t xml:space="preserve"> (i.e. universities, public sector agencies, financial bodies) and entrepreneurial </w:t>
      </w:r>
      <w:r w:rsidRPr="00380BAA">
        <w:rPr>
          <w:rFonts w:eastAsia="Calibri" w:cs="Times New Roman"/>
          <w:i/>
        </w:rPr>
        <w:t>processes</w:t>
      </w:r>
      <w:r w:rsidRPr="00380BAA">
        <w:rPr>
          <w:rFonts w:eastAsia="Calibri" w:cs="Times New Roman"/>
        </w:rPr>
        <w:t xml:space="preserve"> which formally and informally coalesce to connect, mediate and govern the performance within the local entrepreneurial environment”.</w:t>
      </w:r>
      <w:r w:rsidRPr="00380BAA">
        <w:rPr>
          <w:rFonts w:eastAsia="Calibri" w:cs="Times New Roman"/>
          <w:vertAlign w:val="superscript"/>
        </w:rPr>
        <w:endnoteReference w:id="71"/>
      </w:r>
      <w:r w:rsidRPr="00380BAA">
        <w:rPr>
          <w:rFonts w:eastAsia="Calibri" w:cs="Times New Roman"/>
        </w:rPr>
        <w:t xml:space="preserve"> In addition to government programs/services and policies, there are private sector business incubators and seed accelerators, education/training institutions as well as venture capital financing that support entrepreneurs and start-ups. It is thus </w:t>
      </w:r>
      <w:r w:rsidRPr="00380BAA">
        <w:rPr>
          <w:rFonts w:eastAsia="Calibri" w:cs="Times New Roman"/>
          <w:color w:val="000000"/>
        </w:rPr>
        <w:t>important that the government’s efforts in catalyzing and enhancing the development of the entrepreneurship ecosystem is done in partnership with other players.</w:t>
      </w:r>
      <w:r w:rsidRPr="00380BAA">
        <w:rPr>
          <w:rFonts w:eastAsia="Calibri" w:cs="Times New Roman"/>
          <w:color w:val="000000"/>
          <w:vertAlign w:val="superscript"/>
        </w:rPr>
        <w:endnoteReference w:id="72"/>
      </w:r>
      <w:r w:rsidRPr="00380BAA">
        <w:rPr>
          <w:rFonts w:eastAsia="Calibri" w:cs="Times New Roman"/>
          <w:color w:val="000000"/>
        </w:rPr>
        <w:t xml:space="preserve"> </w:t>
      </w:r>
    </w:p>
    <w:p w14:paraId="73E92D84" w14:textId="77777777" w:rsidR="006A424B" w:rsidRPr="009249D1" w:rsidRDefault="006A424B" w:rsidP="009249D1">
      <w:pPr>
        <w:pStyle w:val="ListParagraph"/>
        <w:ind w:left="360"/>
        <w:jc w:val="both"/>
        <w:rPr>
          <w:rFonts w:eastAsia="PMingLiU" w:cs="Times New Roman"/>
          <w:lang w:eastAsia="zh-TW"/>
        </w:rPr>
      </w:pPr>
    </w:p>
    <w:p w14:paraId="156BA8F6" w14:textId="74942F58" w:rsidR="00E941AF" w:rsidRDefault="00E941AF" w:rsidP="00E941AF">
      <w:pPr>
        <w:pStyle w:val="ListParagraph"/>
        <w:numPr>
          <w:ilvl w:val="0"/>
          <w:numId w:val="48"/>
        </w:numPr>
        <w:jc w:val="both"/>
        <w:rPr>
          <w:rFonts w:eastAsia="PMingLiU" w:cs="Times New Roman"/>
          <w:lang w:eastAsia="zh-TW"/>
        </w:rPr>
      </w:pPr>
      <w:r>
        <w:rPr>
          <w:rFonts w:eastAsia="PMingLiU" w:cs="Times New Roman"/>
          <w:b/>
          <w:lang w:eastAsia="zh-TW"/>
        </w:rPr>
        <w:t xml:space="preserve">Cognizant of the challenges faced </w:t>
      </w:r>
      <w:r w:rsidRPr="0007592E">
        <w:rPr>
          <w:rFonts w:eastAsia="PMingLiU" w:cs="Times New Roman"/>
          <w:b/>
          <w:lang w:eastAsia="zh-TW"/>
        </w:rPr>
        <w:t>entrepreneurs</w:t>
      </w:r>
      <w:r>
        <w:rPr>
          <w:rFonts w:eastAsia="PMingLiU" w:cs="Times New Roman"/>
          <w:b/>
          <w:lang w:eastAsia="zh-TW"/>
        </w:rPr>
        <w:t>, t</w:t>
      </w:r>
      <w:r w:rsidRPr="00E10FD6">
        <w:rPr>
          <w:rFonts w:eastAsia="PMingLiU" w:cs="Times New Roman"/>
          <w:b/>
          <w:lang w:eastAsia="zh-TW"/>
        </w:rPr>
        <w:t xml:space="preserve">he Philippine government </w:t>
      </w:r>
      <w:r>
        <w:rPr>
          <w:rFonts w:eastAsia="PMingLiU" w:cs="Times New Roman"/>
          <w:b/>
          <w:lang w:eastAsia="zh-TW"/>
        </w:rPr>
        <w:t>has</w:t>
      </w:r>
      <w:r w:rsidRPr="00E10FD6">
        <w:rPr>
          <w:rFonts w:eastAsia="PMingLiU" w:cs="Times New Roman"/>
          <w:b/>
          <w:lang w:eastAsia="zh-TW"/>
        </w:rPr>
        <w:t xml:space="preserve"> implemented various policies and programs over the past decades to foster entrepreneurial growth</w:t>
      </w:r>
      <w:r w:rsidRPr="00A17EDE">
        <w:rPr>
          <w:rFonts w:eastAsia="PMingLiU" w:cs="Times New Roman"/>
          <w:lang w:eastAsia="zh-TW"/>
        </w:rPr>
        <w:t xml:space="preserve">. </w:t>
      </w:r>
      <w:r w:rsidRPr="00FF1B78">
        <w:rPr>
          <w:rFonts w:cs="Times New Roman"/>
        </w:rPr>
        <w:t xml:space="preserve">Multiple agencies that are tasked in supporting this agenda - from DTI, DOST and DICT. </w:t>
      </w:r>
      <w:r w:rsidRPr="00FF1B78">
        <w:rPr>
          <w:rFonts w:eastAsia="PMingLiU" w:cs="Times New Roman"/>
          <w:lang w:eastAsia="zh-TW"/>
        </w:rPr>
        <w:t>Key</w:t>
      </w:r>
      <w:r w:rsidRPr="00A17EDE">
        <w:rPr>
          <w:rFonts w:eastAsia="PMingLiU" w:cs="Times New Roman"/>
          <w:lang w:eastAsia="zh-TW"/>
        </w:rPr>
        <w:t xml:space="preserve"> government documents are the </w:t>
      </w:r>
      <w:r>
        <w:rPr>
          <w:rFonts w:eastAsia="PMingLiU" w:cs="Times New Roman"/>
          <w:lang w:eastAsia="zh-TW"/>
        </w:rPr>
        <w:t>PDP</w:t>
      </w:r>
      <w:r w:rsidRPr="00A17EDE">
        <w:rPr>
          <w:rFonts w:eastAsia="PMingLiU" w:cs="Times New Roman"/>
          <w:lang w:eastAsia="zh-TW"/>
        </w:rPr>
        <w:t xml:space="preserve"> and </w:t>
      </w:r>
      <w:r>
        <w:rPr>
          <w:rFonts w:eastAsia="PMingLiU" w:cs="Times New Roman"/>
          <w:lang w:eastAsia="zh-TW"/>
        </w:rPr>
        <w:t xml:space="preserve">the </w:t>
      </w:r>
      <w:r w:rsidRPr="00A17EDE">
        <w:rPr>
          <w:rFonts w:eastAsia="PMingLiU" w:cs="Times New Roman"/>
          <w:lang w:eastAsia="zh-TW"/>
        </w:rPr>
        <w:t>MSME Development Plan</w:t>
      </w:r>
      <w:r>
        <w:rPr>
          <w:rFonts w:eastAsia="PMingLiU" w:cs="Times New Roman"/>
          <w:lang w:eastAsia="zh-TW"/>
        </w:rPr>
        <w:t>s</w:t>
      </w:r>
      <w:r w:rsidRPr="00A17EDE">
        <w:rPr>
          <w:rFonts w:eastAsia="PMingLiU" w:cs="Times New Roman"/>
          <w:lang w:eastAsia="zh-TW"/>
        </w:rPr>
        <w:t xml:space="preserve"> 2011-2016/2017-2022. The PDP outlines objectives to spur economic growth through provision of strategies to develop globally competitive industry and services sectors as well as encouraging the culture of entrepreneurship. </w:t>
      </w:r>
    </w:p>
    <w:p w14:paraId="5E3D9A0A" w14:textId="77777777" w:rsidR="00E941AF" w:rsidRDefault="00E941AF" w:rsidP="00E941AF">
      <w:pPr>
        <w:pStyle w:val="ListParagraph"/>
        <w:ind w:left="360"/>
        <w:jc w:val="both"/>
        <w:rPr>
          <w:rFonts w:eastAsia="PMingLiU" w:cs="Times New Roman"/>
          <w:lang w:eastAsia="zh-TW"/>
        </w:rPr>
      </w:pPr>
    </w:p>
    <w:p w14:paraId="7C4B6611" w14:textId="77777777" w:rsidR="00E941AF" w:rsidRDefault="00E941AF" w:rsidP="00E941AF">
      <w:pPr>
        <w:pStyle w:val="ListParagraph"/>
        <w:numPr>
          <w:ilvl w:val="0"/>
          <w:numId w:val="48"/>
        </w:numPr>
        <w:jc w:val="both"/>
        <w:rPr>
          <w:rFonts w:eastAsia="PMingLiU" w:cs="Times New Roman"/>
          <w:lang w:eastAsia="zh-TW"/>
        </w:rPr>
      </w:pPr>
      <w:r w:rsidRPr="00612477">
        <w:rPr>
          <w:rFonts w:eastAsia="PMingLiU" w:cs="Times New Roman"/>
          <w:b/>
          <w:lang w:eastAsia="zh-TW"/>
        </w:rPr>
        <w:t xml:space="preserve">Other government documents go deeper to recognize the roles of </w:t>
      </w:r>
      <w:proofErr w:type="gramStart"/>
      <w:r w:rsidRPr="00612477">
        <w:rPr>
          <w:rFonts w:eastAsia="PMingLiU" w:cs="Times New Roman"/>
          <w:b/>
          <w:lang w:eastAsia="zh-TW"/>
        </w:rPr>
        <w:t>particular types</w:t>
      </w:r>
      <w:proofErr w:type="gramEnd"/>
      <w:r w:rsidRPr="00612477">
        <w:rPr>
          <w:rFonts w:eastAsia="PMingLiU" w:cs="Times New Roman"/>
          <w:b/>
          <w:lang w:eastAsia="zh-TW"/>
        </w:rPr>
        <w:t xml:space="preserve"> of entrepreneurs: start-ups in the digital economy</w:t>
      </w:r>
      <w:r w:rsidRPr="00A17EDE">
        <w:rPr>
          <w:rFonts w:eastAsia="PMingLiU" w:cs="Times New Roman"/>
          <w:lang w:eastAsia="zh-TW"/>
        </w:rPr>
        <w:t xml:space="preserve">. For example, the Philippine Export Development Plan 2015-2017 calls for government priority in boosting digital economy exports (especially goods and services produced by MSMEs) given their high growth and scalability potential via the internet. The plan lists the enhancement of innovative capacity of the export sector by creating “an innovation ecosystem for startups and other businesses” as one key strategy. The Philippine Roadmap for Digital Startups 2015 outlines some action points to develop internet-related innovation in the Philippines </w:t>
      </w:r>
      <w:proofErr w:type="gramStart"/>
      <w:r w:rsidRPr="00A17EDE">
        <w:rPr>
          <w:rFonts w:eastAsia="PMingLiU" w:cs="Times New Roman"/>
          <w:lang w:eastAsia="zh-TW"/>
        </w:rPr>
        <w:t>in order to</w:t>
      </w:r>
      <w:proofErr w:type="gramEnd"/>
      <w:r w:rsidRPr="00A17EDE">
        <w:rPr>
          <w:rFonts w:eastAsia="PMingLiU" w:cs="Times New Roman"/>
          <w:lang w:eastAsia="zh-TW"/>
        </w:rPr>
        <w:t xml:space="preserve"> boost economic growth. These action points are relevant to internet startups, including protecting IPR, spurring internet infrastructure, improving R&amp;D and education and enhancing internet-related legislations and policies. This roadmap sets a target of achieving by 2020 at least 500 Philippine startups with a cumulative valuation of $2 billion, resulting in 8,500 high-skilled jobs created, 1,250 startup founders, 15,166,684 users acquired and 719,737 paying customers.</w:t>
      </w:r>
    </w:p>
    <w:p w14:paraId="7397A4B7" w14:textId="77777777" w:rsidR="00E941AF" w:rsidRPr="00A17EDE" w:rsidRDefault="00E941AF" w:rsidP="00E941AF">
      <w:pPr>
        <w:pStyle w:val="ListParagraph"/>
        <w:ind w:left="360"/>
        <w:jc w:val="both"/>
        <w:rPr>
          <w:rFonts w:eastAsia="PMingLiU" w:cs="Times New Roman"/>
          <w:lang w:eastAsia="zh-TW"/>
        </w:rPr>
      </w:pPr>
    </w:p>
    <w:p w14:paraId="1B96FB24" w14:textId="77777777" w:rsidR="00E941AF" w:rsidRPr="00A17EDE" w:rsidRDefault="00E941AF" w:rsidP="00E941AF">
      <w:pPr>
        <w:pStyle w:val="ListParagraph"/>
        <w:numPr>
          <w:ilvl w:val="0"/>
          <w:numId w:val="48"/>
        </w:numPr>
        <w:jc w:val="both"/>
        <w:rPr>
          <w:rFonts w:eastAsia="PMingLiU" w:cs="Times New Roman"/>
          <w:lang w:eastAsia="zh-TW"/>
        </w:rPr>
      </w:pPr>
      <w:r w:rsidRPr="00F41773">
        <w:rPr>
          <w:rFonts w:eastAsia="PMingLiU" w:cs="Times New Roman"/>
          <w:b/>
          <w:lang w:eastAsia="zh-TW"/>
        </w:rPr>
        <w:t xml:space="preserve">Relevant laws for startups include the Go </w:t>
      </w:r>
      <w:proofErr w:type="spellStart"/>
      <w:r w:rsidRPr="00F41773">
        <w:rPr>
          <w:rFonts w:eastAsia="PMingLiU" w:cs="Times New Roman"/>
          <w:b/>
          <w:lang w:eastAsia="zh-TW"/>
        </w:rPr>
        <w:t>Negosyo</w:t>
      </w:r>
      <w:proofErr w:type="spellEnd"/>
      <w:r w:rsidRPr="00F41773">
        <w:rPr>
          <w:rFonts w:eastAsia="PMingLiU" w:cs="Times New Roman"/>
          <w:b/>
          <w:lang w:eastAsia="zh-TW"/>
        </w:rPr>
        <w:t xml:space="preserve"> Act 2015 and Innovative Startup Act 2018.</w:t>
      </w:r>
      <w:r w:rsidRPr="00A17EDE">
        <w:rPr>
          <w:rFonts w:eastAsia="PMingLiU" w:cs="Times New Roman"/>
          <w:lang w:eastAsia="zh-TW"/>
        </w:rPr>
        <w:t xml:space="preserve"> </w:t>
      </w:r>
      <w:r>
        <w:rPr>
          <w:rFonts w:eastAsia="PMingLiU" w:cs="Times New Roman"/>
          <w:lang w:eastAsia="zh-TW"/>
        </w:rPr>
        <w:t xml:space="preserve">The </w:t>
      </w:r>
      <w:r w:rsidRPr="00A17EDE">
        <w:rPr>
          <w:rFonts w:eastAsia="PMingLiU" w:cs="Times New Roman"/>
          <w:lang w:eastAsia="zh-TW"/>
        </w:rPr>
        <w:t xml:space="preserve">Go </w:t>
      </w:r>
      <w:proofErr w:type="spellStart"/>
      <w:r w:rsidRPr="00A17EDE">
        <w:rPr>
          <w:rFonts w:eastAsia="PMingLiU" w:cs="Times New Roman"/>
          <w:lang w:eastAsia="zh-TW"/>
        </w:rPr>
        <w:t>Negosyo</w:t>
      </w:r>
      <w:proofErr w:type="spellEnd"/>
      <w:r w:rsidRPr="00A17EDE">
        <w:rPr>
          <w:rFonts w:eastAsia="PMingLiU" w:cs="Times New Roman"/>
          <w:lang w:eastAsia="zh-TW"/>
        </w:rPr>
        <w:t xml:space="preserve"> Act 2015 seeks to promote MSME development by establishing </w:t>
      </w:r>
      <w:proofErr w:type="spellStart"/>
      <w:r w:rsidRPr="00A17EDE">
        <w:rPr>
          <w:rFonts w:eastAsia="PMingLiU" w:cs="Times New Roman"/>
          <w:lang w:eastAsia="zh-TW"/>
        </w:rPr>
        <w:t>Negosyo</w:t>
      </w:r>
      <w:proofErr w:type="spellEnd"/>
      <w:r w:rsidRPr="00A17EDE">
        <w:rPr>
          <w:rFonts w:eastAsia="PMingLiU" w:cs="Times New Roman"/>
          <w:lang w:eastAsia="zh-TW"/>
        </w:rPr>
        <w:t xml:space="preserve"> Centers around the country and creating Start-up Funds for MSMEs. </w:t>
      </w:r>
      <w:proofErr w:type="spellStart"/>
      <w:r w:rsidRPr="00A17EDE">
        <w:rPr>
          <w:rFonts w:eastAsia="PMingLiU" w:cs="Times New Roman"/>
          <w:lang w:eastAsia="zh-TW"/>
        </w:rPr>
        <w:t>Negosyo</w:t>
      </w:r>
      <w:proofErr w:type="spellEnd"/>
      <w:r w:rsidRPr="00A17EDE">
        <w:rPr>
          <w:rFonts w:eastAsia="PMingLiU" w:cs="Times New Roman"/>
          <w:lang w:eastAsia="zh-TW"/>
        </w:rPr>
        <w:t xml:space="preserve"> Centers are one-stop shops for business registration and business development assistance for MSMEs. Start-up Funds for MSMEs is to be sourced from MSME Development Fund and BMBE Fund, with the goal of providing funding for MSMEs in priority sectors cited in MSMED Plan. The Innovative Startup Act 2018</w:t>
      </w:r>
      <w:r w:rsidRPr="00A17EDE">
        <w:rPr>
          <w:rFonts w:eastAsia="PMingLiU" w:cs="Times New Roman"/>
          <w:vertAlign w:val="superscript"/>
          <w:lang w:eastAsia="zh-TW"/>
        </w:rPr>
        <w:endnoteReference w:id="73"/>
      </w:r>
      <w:r w:rsidRPr="00A17EDE">
        <w:rPr>
          <w:rFonts w:eastAsia="PMingLiU" w:cs="Times New Roman"/>
          <w:lang w:eastAsia="zh-TW"/>
        </w:rPr>
        <w:t xml:space="preserve"> provides “innovative startups” with financial/non-financial support benefits (such as easier business registration procedures, grants, fee exemptions from using government equipment and facilities, visa application subsidy, tax exemptions). </w:t>
      </w:r>
      <w:proofErr w:type="gramStart"/>
      <w:r w:rsidRPr="00A17EDE">
        <w:rPr>
          <w:rFonts w:eastAsia="PMingLiU" w:cs="Times New Roman"/>
          <w:lang w:eastAsia="zh-TW"/>
        </w:rPr>
        <w:t>All of</w:t>
      </w:r>
      <w:proofErr w:type="gramEnd"/>
      <w:r w:rsidRPr="00A17EDE">
        <w:rPr>
          <w:rFonts w:eastAsia="PMingLiU" w:cs="Times New Roman"/>
          <w:lang w:eastAsia="zh-TW"/>
        </w:rPr>
        <w:t xml:space="preserve"> </w:t>
      </w:r>
      <w:r>
        <w:rPr>
          <w:rFonts w:eastAsia="PMingLiU" w:cs="Times New Roman"/>
          <w:lang w:eastAsia="zh-TW"/>
        </w:rPr>
        <w:t>this</w:t>
      </w:r>
      <w:r w:rsidRPr="00A17EDE">
        <w:rPr>
          <w:rFonts w:eastAsia="PMingLiU" w:cs="Times New Roman"/>
          <w:lang w:eastAsia="zh-TW"/>
        </w:rPr>
        <w:t xml:space="preserve"> support will be housed under the Innovative Startup Development Program.</w:t>
      </w:r>
    </w:p>
    <w:p w14:paraId="0A2D54E5" w14:textId="77777777" w:rsidR="00E941AF" w:rsidRDefault="00E941AF" w:rsidP="00E941AF">
      <w:pPr>
        <w:pStyle w:val="Heading3"/>
      </w:pPr>
      <w:bookmarkStart w:id="67" w:name="_Toc12503522"/>
      <w:r>
        <w:t>Supporting the growth of the Entrepreneurship Ecosystem</w:t>
      </w:r>
      <w:bookmarkEnd w:id="67"/>
    </w:p>
    <w:p w14:paraId="081E8D3E" w14:textId="16C26085" w:rsidR="00E941AF" w:rsidRDefault="00E941AF" w:rsidP="00E941AF">
      <w:pPr>
        <w:pStyle w:val="ListParagraph"/>
        <w:numPr>
          <w:ilvl w:val="0"/>
          <w:numId w:val="48"/>
        </w:numPr>
        <w:jc w:val="both"/>
        <w:rPr>
          <w:rFonts w:cs="Times New Roman"/>
        </w:rPr>
      </w:pPr>
      <w:proofErr w:type="gramStart"/>
      <w:r w:rsidRPr="00CF3A44">
        <w:rPr>
          <w:rFonts w:cs="Times New Roman"/>
          <w:b/>
        </w:rPr>
        <w:t>In order to</w:t>
      </w:r>
      <w:proofErr w:type="gramEnd"/>
      <w:r w:rsidRPr="00CF3A44">
        <w:rPr>
          <w:rFonts w:cs="Times New Roman"/>
          <w:b/>
        </w:rPr>
        <w:t xml:space="preserve"> better support MSMEs and startups particularly, the PDP highlights the need to expand economic opportunities for MSMEs in the industry and services sectors, all with the aim of eventually graduating to a knowledge economy</w:t>
      </w:r>
      <w:r w:rsidRPr="00A17EDE">
        <w:rPr>
          <w:rFonts w:cs="Times New Roman"/>
        </w:rPr>
        <w:t>. However, to make this jump, the PDP needed to shift the focus and investment towards improving the policy and regulatory environment, and introducing new mechanisms to support not only MSMEs, but startups, “techno-</w:t>
      </w:r>
      <w:proofErr w:type="spellStart"/>
      <w:r w:rsidRPr="00A17EDE">
        <w:rPr>
          <w:rFonts w:cs="Times New Roman"/>
        </w:rPr>
        <w:t>preneurs</w:t>
      </w:r>
      <w:proofErr w:type="spellEnd"/>
      <w:r w:rsidRPr="00A17EDE">
        <w:rPr>
          <w:rFonts w:cs="Times New Roman"/>
        </w:rPr>
        <w:t xml:space="preserve">,” and more innovative entrepreneurs who promote science, technology and innovation-based businesses. </w:t>
      </w:r>
    </w:p>
    <w:p w14:paraId="39FD8B89" w14:textId="77777777" w:rsidR="00006331" w:rsidRPr="00A17EDE" w:rsidRDefault="00006331" w:rsidP="00006331">
      <w:pPr>
        <w:pStyle w:val="ListParagraph"/>
        <w:ind w:left="360"/>
        <w:jc w:val="both"/>
        <w:rPr>
          <w:rFonts w:cs="Times New Roman"/>
        </w:rPr>
      </w:pPr>
    </w:p>
    <w:p w14:paraId="171D31E8" w14:textId="77777777" w:rsidR="00E941AF" w:rsidRPr="00A17EDE" w:rsidRDefault="00E941AF" w:rsidP="00E941AF">
      <w:pPr>
        <w:pStyle w:val="ListParagraph"/>
        <w:numPr>
          <w:ilvl w:val="0"/>
          <w:numId w:val="48"/>
        </w:numPr>
        <w:jc w:val="both"/>
        <w:rPr>
          <w:rFonts w:cs="Times New Roman"/>
        </w:rPr>
      </w:pPr>
      <w:r w:rsidRPr="00215968">
        <w:rPr>
          <w:rFonts w:cs="Times New Roman"/>
          <w:b/>
        </w:rPr>
        <w:t>As a follow up to the PDP’s desired enhancement of the innovative capacity of the export sector, creating “an innovation ecosystem for startups and other businesses” became a key part of the strategy</w:t>
      </w:r>
      <w:r w:rsidRPr="00A17EDE">
        <w:rPr>
          <w:rFonts w:cs="Times New Roman"/>
        </w:rPr>
        <w:t xml:space="preserve">. From this the Philippine Roadmap for Digital Startups 2015 was born. The Roadmap outlines five action points to develop internet-related innovation and boost economic growth: </w:t>
      </w:r>
    </w:p>
    <w:p w14:paraId="56105577" w14:textId="77777777" w:rsidR="00E941AF" w:rsidRPr="00A17EDE" w:rsidRDefault="00E941AF" w:rsidP="00E941AF">
      <w:pPr>
        <w:shd w:val="clear" w:color="auto" w:fill="FFFFFF"/>
        <w:spacing w:before="100" w:beforeAutospacing="1" w:after="100" w:afterAutospacing="1" w:line="256" w:lineRule="auto"/>
        <w:ind w:left="720"/>
        <w:contextualSpacing/>
        <w:rPr>
          <w:rFonts w:cs="Times New Roman"/>
        </w:rPr>
      </w:pPr>
      <w:r w:rsidRPr="00A17EDE">
        <w:rPr>
          <w:rFonts w:cs="Times New Roman"/>
        </w:rPr>
        <w:t>Action Agenda #1:  Increase culture and collaboration</w:t>
      </w:r>
      <w:r w:rsidRPr="00A17EDE">
        <w:rPr>
          <w:rFonts w:cs="Times New Roman"/>
        </w:rPr>
        <w:br/>
        <w:t>Action Agenda #2: Address legal and regulatory barriers</w:t>
      </w:r>
      <w:r w:rsidRPr="00A17EDE">
        <w:rPr>
          <w:rFonts w:cs="Times New Roman"/>
        </w:rPr>
        <w:br/>
        <w:t>Action Agenda #3: Support through government services, capital and resources</w:t>
      </w:r>
      <w:r w:rsidRPr="00A17EDE">
        <w:rPr>
          <w:rFonts w:cs="Times New Roman"/>
        </w:rPr>
        <w:br/>
        <w:t>Action Agenda #4: Create a national innovation council</w:t>
      </w:r>
      <w:r w:rsidRPr="00A17EDE">
        <w:rPr>
          <w:rFonts w:cs="Times New Roman"/>
        </w:rPr>
        <w:tab/>
      </w:r>
      <w:r w:rsidRPr="00A17EDE">
        <w:rPr>
          <w:rFonts w:cs="Times New Roman"/>
        </w:rPr>
        <w:br/>
        <w:t xml:space="preserve">Action Agenda #5: Establish a Philippine innovation economic zone </w:t>
      </w:r>
    </w:p>
    <w:p w14:paraId="4BAB9B4F" w14:textId="77777777" w:rsidR="00E941AF" w:rsidRDefault="00E941AF" w:rsidP="00E941AF">
      <w:pPr>
        <w:pStyle w:val="ListParagraph"/>
        <w:numPr>
          <w:ilvl w:val="0"/>
          <w:numId w:val="48"/>
        </w:numPr>
        <w:jc w:val="both"/>
        <w:rPr>
          <w:rFonts w:cs="Times New Roman"/>
        </w:rPr>
      </w:pPr>
      <w:r w:rsidRPr="00DD27AE">
        <w:rPr>
          <w:rFonts w:cs="Times New Roman"/>
          <w:b/>
        </w:rPr>
        <w:t>These action points include protecting IPR, spurring internet infrastructure, improving R&amp;D and education and enhancing internet-related legislations and policies</w:t>
      </w:r>
      <w:r w:rsidRPr="00A17EDE">
        <w:rPr>
          <w:rFonts w:cs="Times New Roman"/>
        </w:rPr>
        <w:t xml:space="preserve">, with a target of achieving at least 500 Philippine startups with a cumulative valuation of $2 billion, resulting in 8,500 high-skilled jobs created, 1,250 startup founders, 15,166,684 users acquired and 719,737 paying customers by 2020. </w:t>
      </w:r>
      <w:r>
        <w:rPr>
          <w:rFonts w:cs="Times New Roman"/>
        </w:rPr>
        <w:t>These are</w:t>
      </w:r>
      <w:r w:rsidRPr="00A17EDE">
        <w:rPr>
          <w:rFonts w:cs="Times New Roman"/>
        </w:rPr>
        <w:t xml:space="preserve"> ambitious goal</w:t>
      </w:r>
      <w:r>
        <w:rPr>
          <w:rFonts w:cs="Times New Roman"/>
        </w:rPr>
        <w:t>s</w:t>
      </w:r>
      <w:r w:rsidRPr="00A17EDE">
        <w:rPr>
          <w:rFonts w:cs="Times New Roman"/>
        </w:rPr>
        <w:t xml:space="preserve"> but at its core demonstrates a clear recognition of the importance and value of startup support. </w:t>
      </w:r>
    </w:p>
    <w:p w14:paraId="117200D1" w14:textId="77777777" w:rsidR="00E941AF" w:rsidRPr="00A17EDE" w:rsidRDefault="00E941AF" w:rsidP="00E941AF">
      <w:pPr>
        <w:pStyle w:val="ListParagraph"/>
        <w:ind w:left="360"/>
        <w:jc w:val="both"/>
        <w:rPr>
          <w:rFonts w:cs="Times New Roman"/>
        </w:rPr>
      </w:pPr>
    </w:p>
    <w:p w14:paraId="5D96009B" w14:textId="1471E672" w:rsidR="00E941AF" w:rsidRDefault="00E941AF" w:rsidP="00E941AF">
      <w:pPr>
        <w:pStyle w:val="ListParagraph"/>
        <w:numPr>
          <w:ilvl w:val="0"/>
          <w:numId w:val="48"/>
        </w:numPr>
        <w:jc w:val="both"/>
        <w:rPr>
          <w:rFonts w:cs="Times New Roman"/>
        </w:rPr>
      </w:pPr>
      <w:r w:rsidRPr="00DD27AE">
        <w:rPr>
          <w:rFonts w:cs="Times New Roman"/>
          <w:b/>
        </w:rPr>
        <w:t>In the final landmark step towards government-mandated support of the entrepreneurship ecosystem was the Startup Ecosystem Development Program (SEDP) 2016-2021</w:t>
      </w:r>
      <w:r w:rsidRPr="00A17EDE">
        <w:rPr>
          <w:rFonts w:cs="Times New Roman"/>
        </w:rPr>
        <w:t>. Recognizing the role of early stage entrepreneurs, the SEDP proposed measures to create “high growth and high impact” startups to contribute to growth and job creation. Among its action points was to create a national startup business council and establish a Philippine startup economic zone.</w:t>
      </w:r>
    </w:p>
    <w:p w14:paraId="3D9291DD" w14:textId="77777777" w:rsidR="00E941AF" w:rsidRPr="00AE7D88" w:rsidRDefault="00E941AF" w:rsidP="009249D1">
      <w:pPr>
        <w:pStyle w:val="ListParagraph"/>
        <w:rPr>
          <w:rFonts w:cs="Times New Roman"/>
        </w:rPr>
      </w:pPr>
    </w:p>
    <w:p w14:paraId="70A24FB2" w14:textId="77777777" w:rsidR="00E941AF" w:rsidRPr="008029C2" w:rsidRDefault="00E941AF" w:rsidP="009249D1">
      <w:pPr>
        <w:pStyle w:val="ListParagraph"/>
        <w:ind w:left="360"/>
        <w:jc w:val="both"/>
        <w:rPr>
          <w:rFonts w:cs="Times New Roman"/>
        </w:rPr>
      </w:pPr>
    </w:p>
    <w:p w14:paraId="26C5B372" w14:textId="43DAFEA5" w:rsidR="00E941AF" w:rsidRDefault="00E941AF" w:rsidP="00E941AF">
      <w:pPr>
        <w:pStyle w:val="ListParagraph"/>
        <w:ind w:left="360"/>
        <w:jc w:val="both"/>
        <w:rPr>
          <w:rFonts w:ascii="Times" w:hAnsi="Times" w:cs="Times New Roman"/>
        </w:rPr>
      </w:pPr>
    </w:p>
    <w:p w14:paraId="4367D01D" w14:textId="7FBC5259" w:rsidR="00E941AF" w:rsidRDefault="00E941AF" w:rsidP="00E941AF">
      <w:pPr>
        <w:pStyle w:val="ListParagraph"/>
        <w:ind w:left="360"/>
        <w:jc w:val="both"/>
        <w:rPr>
          <w:rFonts w:ascii="Times" w:hAnsi="Times" w:cs="Times New Roman"/>
        </w:rPr>
      </w:pPr>
    </w:p>
    <w:p w14:paraId="76B017D7" w14:textId="6DA8D884" w:rsidR="00E941AF" w:rsidRDefault="00E941AF" w:rsidP="00E941AF">
      <w:pPr>
        <w:pStyle w:val="ListParagraph"/>
        <w:ind w:left="360"/>
        <w:jc w:val="both"/>
        <w:rPr>
          <w:rFonts w:ascii="Times" w:hAnsi="Times" w:cs="Times New Roman"/>
        </w:rPr>
      </w:pPr>
    </w:p>
    <w:p w14:paraId="018720D7" w14:textId="54943CFB" w:rsidR="00E941AF" w:rsidRDefault="00E941AF" w:rsidP="00E941AF">
      <w:pPr>
        <w:pStyle w:val="ListParagraph"/>
        <w:ind w:left="360"/>
        <w:jc w:val="both"/>
        <w:rPr>
          <w:rFonts w:ascii="Times" w:hAnsi="Times" w:cs="Times New Roman"/>
        </w:rPr>
      </w:pPr>
    </w:p>
    <w:p w14:paraId="162AD956" w14:textId="56C13415" w:rsidR="00E941AF" w:rsidRPr="00FF6DF5" w:rsidRDefault="00E912A3" w:rsidP="001D1967">
      <w:pPr>
        <w:rPr>
          <w:rFonts w:ascii="Times" w:hAnsi="Times" w:cs="Times New Roman"/>
        </w:rPr>
      </w:pPr>
      <w:r>
        <w:rPr>
          <w:rFonts w:ascii="Times" w:hAnsi="Times" w:cs="Times New Roman"/>
        </w:rPr>
        <w:br w:type="page"/>
      </w:r>
    </w:p>
    <w:p w14:paraId="1D6D4F2E" w14:textId="5AAE62BC" w:rsidR="00724F38" w:rsidRPr="0067123E" w:rsidRDefault="00724F38" w:rsidP="0067123E">
      <w:pPr>
        <w:pStyle w:val="Heading2"/>
        <w:rPr>
          <w:i/>
          <w:sz w:val="24"/>
          <w:szCs w:val="24"/>
        </w:rPr>
      </w:pPr>
      <w:bookmarkStart w:id="68" w:name="_Toc10740048"/>
      <w:bookmarkStart w:id="69" w:name="_Toc12503523"/>
      <w:r w:rsidRPr="0067123E">
        <w:rPr>
          <w:i/>
          <w:sz w:val="24"/>
          <w:szCs w:val="24"/>
        </w:rPr>
        <w:t>Policy Effectiveness Review</w:t>
      </w:r>
      <w:bookmarkEnd w:id="68"/>
      <w:bookmarkEnd w:id="69"/>
    </w:p>
    <w:p w14:paraId="225A7E80" w14:textId="77777777" w:rsidR="001125D9" w:rsidRPr="001125D9" w:rsidRDefault="001125D9" w:rsidP="001125D9">
      <w:pPr>
        <w:pStyle w:val="ListParagraph"/>
        <w:rPr>
          <w:rFonts w:ascii="Times" w:hAnsi="Times" w:cs="Times New Roman"/>
          <w:b/>
        </w:rPr>
      </w:pPr>
    </w:p>
    <w:p w14:paraId="5572BEDD" w14:textId="77777777" w:rsidR="000369B5" w:rsidRPr="000369B5" w:rsidRDefault="001125D9" w:rsidP="00EE6E9F">
      <w:pPr>
        <w:pStyle w:val="ListParagraph"/>
        <w:numPr>
          <w:ilvl w:val="0"/>
          <w:numId w:val="48"/>
        </w:numPr>
        <w:jc w:val="both"/>
        <w:rPr>
          <w:rFonts w:ascii="Times" w:hAnsi="Times" w:cs="Times New Roman"/>
          <w:b/>
        </w:rPr>
      </w:pPr>
      <w:r>
        <w:rPr>
          <w:rFonts w:ascii="Times" w:hAnsi="Times" w:cs="Times New Roman"/>
          <w:b/>
        </w:rPr>
        <w:t xml:space="preserve">The </w:t>
      </w:r>
      <w:r w:rsidRPr="001125D9">
        <w:rPr>
          <w:rFonts w:ascii="Times" w:hAnsi="Times" w:cs="Times New Roman"/>
          <w:b/>
        </w:rPr>
        <w:t xml:space="preserve">supply side analysis focuses on the set of policies and program interventions that are deployed to address the demand constraints and needs of the MSMEs. </w:t>
      </w:r>
      <w:r w:rsidRPr="001125D9">
        <w:rPr>
          <w:rFonts w:ascii="Times" w:hAnsi="Times" w:cs="Times New Roman"/>
        </w:rPr>
        <w:t>In undertaking this analysis, the report deploys the Policy Effectiveness Review (PER) methodology developed by the World Bank</w:t>
      </w:r>
      <w:r w:rsidR="00F01516">
        <w:rPr>
          <w:rFonts w:ascii="Times" w:hAnsi="Times" w:cs="Times New Roman"/>
        </w:rPr>
        <w:t xml:space="preserve"> (see Annex 3)</w:t>
      </w:r>
      <w:r w:rsidRPr="001125D9">
        <w:rPr>
          <w:rFonts w:ascii="Times" w:hAnsi="Times" w:cs="Times New Roman"/>
        </w:rPr>
        <w:t xml:space="preserve">. After presenting the overarching policy framework for MSMEs and entrepreneurship and the priorities set by the </w:t>
      </w:r>
      <w:proofErr w:type="spellStart"/>
      <w:r w:rsidRPr="001125D9">
        <w:rPr>
          <w:rFonts w:ascii="Times" w:hAnsi="Times" w:cs="Times New Roman"/>
        </w:rPr>
        <w:t>GoP</w:t>
      </w:r>
      <w:proofErr w:type="spellEnd"/>
      <w:r w:rsidRPr="001125D9">
        <w:rPr>
          <w:rFonts w:ascii="Times" w:hAnsi="Times" w:cs="Times New Roman"/>
        </w:rPr>
        <w:t xml:space="preserve">, the PER focuses on the MSME programs currently under implementation by the Department of Trade and Industry (DTI), and the Department of Science and Technology (DOST).  </w:t>
      </w:r>
    </w:p>
    <w:p w14:paraId="2E111068" w14:textId="77777777" w:rsidR="000369B5" w:rsidRPr="000369B5" w:rsidRDefault="000369B5" w:rsidP="000369B5">
      <w:pPr>
        <w:pStyle w:val="ListParagraph"/>
        <w:rPr>
          <w:rFonts w:ascii="Times" w:hAnsi="Times" w:cs="Times New Roman"/>
        </w:rPr>
      </w:pPr>
    </w:p>
    <w:p w14:paraId="2EDE4D41" w14:textId="162391A4" w:rsidR="00B26686" w:rsidRPr="00B26686" w:rsidRDefault="000369B5" w:rsidP="00EE6E9F">
      <w:pPr>
        <w:pStyle w:val="ListParagraph"/>
        <w:numPr>
          <w:ilvl w:val="0"/>
          <w:numId w:val="48"/>
        </w:numPr>
        <w:jc w:val="both"/>
        <w:rPr>
          <w:rFonts w:ascii="Times" w:hAnsi="Times" w:cs="Times New Roman"/>
          <w:b/>
        </w:rPr>
      </w:pPr>
      <w:r w:rsidRPr="0064488D">
        <w:rPr>
          <w:rFonts w:ascii="Times" w:hAnsi="Times" w:cs="Times New Roman"/>
          <w:b/>
        </w:rPr>
        <w:t>Policy Mix component:</w:t>
      </w:r>
      <w:r>
        <w:rPr>
          <w:rFonts w:ascii="Times" w:hAnsi="Times" w:cs="Times New Roman"/>
        </w:rPr>
        <w:t xml:space="preserve"> </w:t>
      </w:r>
      <w:r w:rsidR="001125D9" w:rsidRPr="001125D9">
        <w:rPr>
          <w:rFonts w:ascii="Times" w:hAnsi="Times" w:cs="Times New Roman"/>
        </w:rPr>
        <w:t xml:space="preserve">The first component of the PER undertakes a policy mix analysis to assess if the current policy framework for entrepreneurship and MSMEs is in line with government priorities as well as the needs of the MSMEs. The focus is on the alignment between programs and outcomes. </w:t>
      </w:r>
      <w:r w:rsidR="0064488D">
        <w:rPr>
          <w:rFonts w:ascii="Times" w:hAnsi="Times" w:cs="Times New Roman"/>
        </w:rPr>
        <w:t>This is the focus of section 5.</w:t>
      </w:r>
    </w:p>
    <w:p w14:paraId="21469028" w14:textId="77777777" w:rsidR="00B26686" w:rsidRPr="00B26686" w:rsidRDefault="00B26686" w:rsidP="00B26686">
      <w:pPr>
        <w:pStyle w:val="ListParagraph"/>
        <w:rPr>
          <w:rFonts w:ascii="Times" w:hAnsi="Times" w:cs="Times New Roman"/>
        </w:rPr>
      </w:pPr>
    </w:p>
    <w:p w14:paraId="2D23C68B" w14:textId="50848B7A" w:rsidR="00011996" w:rsidRPr="00011996" w:rsidRDefault="00B26686" w:rsidP="00011996">
      <w:pPr>
        <w:pStyle w:val="ListParagraph"/>
        <w:numPr>
          <w:ilvl w:val="0"/>
          <w:numId w:val="48"/>
        </w:numPr>
        <w:rPr>
          <w:rFonts w:ascii="Times" w:hAnsi="Times" w:cs="Times New Roman"/>
        </w:rPr>
      </w:pPr>
      <w:r w:rsidRPr="00011996">
        <w:rPr>
          <w:rFonts w:ascii="Times" w:hAnsi="Times" w:cs="Times New Roman"/>
          <w:b/>
        </w:rPr>
        <w:t>Functional review component:</w:t>
      </w:r>
      <w:r w:rsidRPr="00011996">
        <w:rPr>
          <w:rFonts w:ascii="Times" w:hAnsi="Times" w:cs="Times New Roman"/>
        </w:rPr>
        <w:t xml:space="preserve"> </w:t>
      </w:r>
      <w:r w:rsidR="001125D9" w:rsidRPr="00011996">
        <w:rPr>
          <w:rFonts w:ascii="Times" w:hAnsi="Times" w:cs="Times New Roman"/>
        </w:rPr>
        <w:t>The</w:t>
      </w:r>
      <w:r w:rsidRPr="00011996">
        <w:rPr>
          <w:rFonts w:ascii="Times" w:hAnsi="Times" w:cs="Times New Roman"/>
        </w:rPr>
        <w:t xml:space="preserve"> </w:t>
      </w:r>
      <w:r w:rsidR="001125D9" w:rsidRPr="00011996">
        <w:rPr>
          <w:rFonts w:ascii="Times" w:hAnsi="Times" w:cs="Times New Roman"/>
        </w:rPr>
        <w:t>functional review undertakes a detailed analysis of the design and implementation of selected programs under the two departments.</w:t>
      </w:r>
      <w:r w:rsidR="00011996" w:rsidRPr="00011996">
        <w:t xml:space="preserve"> </w:t>
      </w:r>
      <w:r w:rsidR="00011996" w:rsidRPr="00011996">
        <w:rPr>
          <w:rFonts w:ascii="Times" w:hAnsi="Times" w:cs="Times New Roman"/>
        </w:rPr>
        <w:t>This is the focus of section 6.</w:t>
      </w:r>
    </w:p>
    <w:p w14:paraId="48F6F89A" w14:textId="46BD17EE" w:rsidR="001C13D7" w:rsidRDefault="001125D9" w:rsidP="00011996">
      <w:pPr>
        <w:pStyle w:val="ListParagraph"/>
        <w:ind w:left="360"/>
        <w:jc w:val="both"/>
        <w:rPr>
          <w:rFonts w:ascii="Times" w:hAnsi="Times" w:cs="Times New Roman"/>
        </w:rPr>
      </w:pPr>
      <w:r w:rsidRPr="00011996">
        <w:rPr>
          <w:rFonts w:ascii="Times" w:hAnsi="Times" w:cs="Times New Roman"/>
        </w:rPr>
        <w:t xml:space="preserve"> Based on the above analysis, key findings are presented along with a menu of policy options for strengthening the effectiveness of MSMEs policies</w:t>
      </w:r>
      <w:r w:rsidR="00011996">
        <w:rPr>
          <w:rFonts w:ascii="Times" w:hAnsi="Times" w:cs="Times New Roman"/>
        </w:rPr>
        <w:t xml:space="preserve"> are captured in the executive summary.</w:t>
      </w:r>
    </w:p>
    <w:p w14:paraId="7D54DC1C" w14:textId="7F9CA117" w:rsidR="00011996" w:rsidRPr="001125D9" w:rsidRDefault="00011996" w:rsidP="00011996">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68D09448" w14:textId="1758F015" w:rsidR="00471EE8" w:rsidRPr="00A22D4B" w:rsidRDefault="00471EE8" w:rsidP="0006683D">
      <w:pPr>
        <w:pStyle w:val="Heading1"/>
        <w:numPr>
          <w:ilvl w:val="0"/>
          <w:numId w:val="6"/>
        </w:numPr>
        <w:rPr>
          <w:b/>
          <w:sz w:val="28"/>
          <w:szCs w:val="28"/>
        </w:rPr>
      </w:pPr>
      <w:bookmarkStart w:id="70" w:name="_Toc10740049"/>
      <w:bookmarkStart w:id="71" w:name="_Toc12503524"/>
      <w:r w:rsidRPr="00A22D4B">
        <w:rPr>
          <w:b/>
          <w:sz w:val="28"/>
          <w:szCs w:val="28"/>
        </w:rPr>
        <w:t xml:space="preserve">The assessment of the Quality of the </w:t>
      </w:r>
      <w:r w:rsidR="00547700" w:rsidRPr="00A22D4B">
        <w:rPr>
          <w:b/>
          <w:sz w:val="28"/>
          <w:szCs w:val="28"/>
        </w:rPr>
        <w:t xml:space="preserve">Policy </w:t>
      </w:r>
      <w:r w:rsidR="009004E6" w:rsidRPr="00A22D4B">
        <w:rPr>
          <w:b/>
          <w:sz w:val="28"/>
          <w:szCs w:val="28"/>
        </w:rPr>
        <w:t>M</w:t>
      </w:r>
      <w:r w:rsidR="00547700" w:rsidRPr="00A22D4B">
        <w:rPr>
          <w:b/>
          <w:sz w:val="28"/>
          <w:szCs w:val="28"/>
        </w:rPr>
        <w:t>ix</w:t>
      </w:r>
      <w:bookmarkEnd w:id="70"/>
      <w:bookmarkEnd w:id="71"/>
    </w:p>
    <w:p w14:paraId="7702B485" w14:textId="59E853A6" w:rsidR="005B758B" w:rsidRDefault="005B758B" w:rsidP="001665D6">
      <w:pPr>
        <w:pStyle w:val="ListParagraph"/>
        <w:numPr>
          <w:ilvl w:val="0"/>
          <w:numId w:val="48"/>
        </w:numPr>
        <w:jc w:val="both"/>
        <w:rPr>
          <w:rFonts w:ascii="Times" w:hAnsi="Times"/>
        </w:rPr>
      </w:pPr>
      <w:r w:rsidRPr="00467830">
        <w:rPr>
          <w:rFonts w:ascii="Times" w:hAnsi="Times"/>
          <w:b/>
        </w:rPr>
        <w:t xml:space="preserve">This section summarizes the findings from the analysis of the quality of the policy mix </w:t>
      </w:r>
      <w:r w:rsidR="00571433" w:rsidRPr="00467830">
        <w:rPr>
          <w:rFonts w:ascii="Times" w:hAnsi="Times"/>
          <w:b/>
        </w:rPr>
        <w:t xml:space="preserve">for firm-level innovation and SME development </w:t>
      </w:r>
      <w:r w:rsidRPr="00467830">
        <w:rPr>
          <w:rFonts w:ascii="Times" w:hAnsi="Times"/>
          <w:b/>
        </w:rPr>
        <w:t>in the Philippines</w:t>
      </w:r>
      <w:r w:rsidRPr="00FF6DF5">
        <w:rPr>
          <w:rFonts w:ascii="Times" w:hAnsi="Times"/>
        </w:rPr>
        <w:t xml:space="preserve">. This analysis is part of a larger task that seeks to review key MSME support programs, with a focus on analyzing the policy mix, and assessing key supporting systems and procedures to design and implement these programs. </w:t>
      </w:r>
    </w:p>
    <w:p w14:paraId="6F5C0506" w14:textId="26D7F041" w:rsidR="00EB16A6" w:rsidRPr="00EB16A6" w:rsidRDefault="00EB16A6" w:rsidP="00EB16A6">
      <w:pPr>
        <w:pStyle w:val="Heading2"/>
      </w:pPr>
      <w:bookmarkStart w:id="72" w:name="_Toc10740050"/>
      <w:bookmarkStart w:id="73" w:name="_Toc12503525"/>
      <w:r w:rsidRPr="00EB16A6">
        <w:t>Approach</w:t>
      </w:r>
      <w:bookmarkEnd w:id="72"/>
      <w:bookmarkEnd w:id="73"/>
    </w:p>
    <w:p w14:paraId="1D94048D" w14:textId="2189D216" w:rsidR="00245B57" w:rsidRDefault="00245B57" w:rsidP="00055497">
      <w:pPr>
        <w:pStyle w:val="ListParagraph"/>
        <w:numPr>
          <w:ilvl w:val="0"/>
          <w:numId w:val="48"/>
        </w:numPr>
        <w:jc w:val="both"/>
        <w:rPr>
          <w:rFonts w:ascii="Times" w:hAnsi="Times"/>
        </w:rPr>
      </w:pPr>
      <w:r w:rsidRPr="00467830">
        <w:rPr>
          <w:rFonts w:ascii="Times" w:hAnsi="Times"/>
          <w:b/>
        </w:rPr>
        <w:t xml:space="preserve">The framework for analyzing the quality of the policy mix compares the policy priorities for </w:t>
      </w:r>
      <w:r w:rsidR="00D06A20" w:rsidRPr="00467830">
        <w:rPr>
          <w:rFonts w:ascii="Times" w:hAnsi="Times"/>
          <w:b/>
        </w:rPr>
        <w:t xml:space="preserve">SME development and </w:t>
      </w:r>
      <w:r w:rsidRPr="00467830">
        <w:rPr>
          <w:rFonts w:ascii="Times" w:hAnsi="Times"/>
          <w:b/>
        </w:rPr>
        <w:t>innovation with the set of policy instruments</w:t>
      </w:r>
      <w:r w:rsidRPr="00FF6DF5">
        <w:rPr>
          <w:rFonts w:ascii="Times" w:hAnsi="Times"/>
        </w:rPr>
        <w:t xml:space="preserve">. At its core, the analysis goes from descriptive to prescriptive analytics by evaluating the coherence between priorities and the portfolio, and by assessing the internal consistency of the policy mix. Since the policy portfolio tends to grow organically, it is common to find some degree of fragmentation, overlapping policies and legacy programs which is ready for rationalization. </w:t>
      </w:r>
    </w:p>
    <w:p w14:paraId="3F4D5695" w14:textId="77777777" w:rsidR="00055497" w:rsidRPr="00FF6DF5" w:rsidRDefault="00055497" w:rsidP="00933FB8">
      <w:pPr>
        <w:pStyle w:val="ListParagraph"/>
        <w:ind w:left="360"/>
        <w:jc w:val="both"/>
        <w:rPr>
          <w:rFonts w:ascii="Times" w:hAnsi="Times"/>
        </w:rPr>
      </w:pPr>
    </w:p>
    <w:p w14:paraId="527F66F8" w14:textId="78FB329E" w:rsidR="00245B57" w:rsidRPr="00FF6DF5" w:rsidRDefault="00245B57" w:rsidP="00933FB8">
      <w:pPr>
        <w:pStyle w:val="ListParagraph"/>
        <w:numPr>
          <w:ilvl w:val="0"/>
          <w:numId w:val="48"/>
        </w:numPr>
        <w:jc w:val="both"/>
        <w:rPr>
          <w:rFonts w:ascii="Times" w:hAnsi="Times"/>
        </w:rPr>
      </w:pPr>
      <w:r w:rsidRPr="00FF6DF5">
        <w:rPr>
          <w:rFonts w:ascii="Times" w:hAnsi="Times"/>
        </w:rPr>
        <w:t>The overview of the analytical framework in the figure below (</w:t>
      </w:r>
      <w:r w:rsidR="001E7CEC">
        <w:rPr>
          <w:rFonts w:ascii="Times" w:hAnsi="Times"/>
        </w:rPr>
        <w:t>F</w:t>
      </w:r>
      <w:r w:rsidRPr="00FF6DF5">
        <w:rPr>
          <w:rFonts w:ascii="Times" w:hAnsi="Times"/>
        </w:rPr>
        <w:t xml:space="preserve">igure </w:t>
      </w:r>
      <w:r w:rsidR="002C3405">
        <w:rPr>
          <w:rFonts w:ascii="Times" w:hAnsi="Times"/>
        </w:rPr>
        <w:t>3</w:t>
      </w:r>
      <w:r w:rsidR="001D1967">
        <w:rPr>
          <w:rFonts w:ascii="Times" w:hAnsi="Times"/>
        </w:rPr>
        <w:t>2</w:t>
      </w:r>
      <w:r w:rsidRPr="00FF6DF5">
        <w:rPr>
          <w:rFonts w:ascii="Times" w:hAnsi="Times"/>
        </w:rPr>
        <w:t>) depicts the general approach and presents the three components: 1) Country needs assessments, 2) Composition of the policy mix, and the 3) Coherence and consistency analysis. We present the key questions that the analysis will seek to find answers to.</w:t>
      </w:r>
    </w:p>
    <w:p w14:paraId="7C9E1873" w14:textId="5D2EC0A5" w:rsidR="00245B57" w:rsidRPr="00FF6DF5" w:rsidRDefault="00245B57" w:rsidP="00245B57">
      <w:pPr>
        <w:spacing w:after="240" w:line="240" w:lineRule="auto"/>
        <w:rPr>
          <w:rFonts w:ascii="Times" w:hAnsi="Times"/>
        </w:rPr>
      </w:pPr>
      <w:r w:rsidRPr="00FF6DF5">
        <w:rPr>
          <w:rFonts w:ascii="Times" w:hAnsi="Times"/>
          <w:b/>
        </w:rPr>
        <w:t xml:space="preserve">Figure </w:t>
      </w:r>
      <w:r w:rsidR="002C3405">
        <w:rPr>
          <w:rFonts w:ascii="Times" w:hAnsi="Times"/>
          <w:b/>
        </w:rPr>
        <w:t>3</w:t>
      </w:r>
      <w:r w:rsidR="001D1967">
        <w:rPr>
          <w:rFonts w:ascii="Times" w:hAnsi="Times"/>
          <w:b/>
        </w:rPr>
        <w:t>2</w:t>
      </w:r>
      <w:r w:rsidRPr="00FF6DF5">
        <w:rPr>
          <w:rFonts w:ascii="Times" w:hAnsi="Times"/>
          <w:b/>
        </w:rPr>
        <w:t>: general analytical framework</w:t>
      </w:r>
      <w:r w:rsidRPr="00512A93">
        <w:rPr>
          <w:rFonts w:ascii="Times" w:hAnsi="Times"/>
          <w:b/>
        </w:rPr>
        <w:t xml:space="preserve"> </w:t>
      </w:r>
      <w:r>
        <w:rPr>
          <w:rFonts w:ascii="Times" w:hAnsi="Times"/>
          <w:b/>
        </w:rPr>
        <w:t>used for the Policy Mix Assessment</w:t>
      </w:r>
      <w:r w:rsidRPr="00512A93">
        <w:rPr>
          <w:noProof/>
        </w:rPr>
        <w:drawing>
          <wp:inline distT="0" distB="0" distL="0" distR="0" wp14:anchorId="42E7B6D0" wp14:editId="4E5D2054">
            <wp:extent cx="6011639" cy="2965141"/>
            <wp:effectExtent l="0" t="0" r="825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0312" t="22297" r="22450" b="18767"/>
                    <a:stretch/>
                  </pic:blipFill>
                  <pic:spPr bwMode="auto">
                    <a:xfrm>
                      <a:off x="0" y="0"/>
                      <a:ext cx="6026999" cy="2972717"/>
                    </a:xfrm>
                    <a:prstGeom prst="rect">
                      <a:avLst/>
                    </a:prstGeom>
                    <a:noFill/>
                    <a:ln>
                      <a:noFill/>
                    </a:ln>
                    <a:extLst>
                      <a:ext uri="{53640926-AAD7-44D8-BBD7-CCE9431645EC}">
                        <a14:shadowObscured xmlns:a14="http://schemas.microsoft.com/office/drawing/2010/main"/>
                      </a:ext>
                    </a:extLst>
                  </pic:spPr>
                </pic:pic>
              </a:graphicData>
            </a:graphic>
          </wp:inline>
        </w:drawing>
      </w:r>
    </w:p>
    <w:p w14:paraId="581CE43E" w14:textId="77777777" w:rsidR="00245B57" w:rsidRDefault="00245B57" w:rsidP="00245B57">
      <w:pPr>
        <w:spacing w:after="240" w:line="240" w:lineRule="auto"/>
        <w:jc w:val="both"/>
        <w:rPr>
          <w:rFonts w:ascii="Times" w:hAnsi="Times"/>
          <w:sz w:val="18"/>
          <w:szCs w:val="18"/>
        </w:rPr>
      </w:pPr>
      <w:r w:rsidRPr="00FF6DF5">
        <w:rPr>
          <w:rFonts w:ascii="Times" w:hAnsi="Times"/>
          <w:sz w:val="18"/>
          <w:szCs w:val="18"/>
        </w:rPr>
        <w:t>Source: WBG, 2018.</w:t>
      </w:r>
    </w:p>
    <w:p w14:paraId="5E356EC7" w14:textId="2B3ABC0E" w:rsidR="00245B57" w:rsidRDefault="00245B57" w:rsidP="00933FB8">
      <w:pPr>
        <w:pStyle w:val="ListParagraph"/>
        <w:numPr>
          <w:ilvl w:val="0"/>
          <w:numId w:val="48"/>
        </w:numPr>
        <w:jc w:val="both"/>
        <w:rPr>
          <w:rFonts w:ascii="Times" w:hAnsi="Times"/>
        </w:rPr>
      </w:pPr>
      <w:r w:rsidRPr="00467830">
        <w:rPr>
          <w:rFonts w:ascii="Times" w:hAnsi="Times"/>
          <w:b/>
        </w:rPr>
        <w:t>The framework also allows us to assess internal consistency of instrument in terms of resource allocation.</w:t>
      </w:r>
      <w:r>
        <w:rPr>
          <w:rFonts w:ascii="Times" w:hAnsi="Times"/>
        </w:rPr>
        <w:t xml:space="preserve"> This would include t</w:t>
      </w:r>
      <w:r w:rsidRPr="00B80D2D">
        <w:rPr>
          <w:rFonts w:ascii="Times" w:hAnsi="Times"/>
        </w:rPr>
        <w:t>he degree of overlap across directorates and division of labor across responsible units responsible for the policy mix</w:t>
      </w:r>
      <w:r>
        <w:rPr>
          <w:rFonts w:ascii="Times" w:hAnsi="Times"/>
        </w:rPr>
        <w:t>, p</w:t>
      </w:r>
      <w:r w:rsidRPr="00B80D2D">
        <w:rPr>
          <w:rFonts w:ascii="Times" w:hAnsi="Times"/>
        </w:rPr>
        <w:t>resence and magnitude of co-financing mechanisms, when these apply</w:t>
      </w:r>
      <w:r>
        <w:rPr>
          <w:rFonts w:ascii="Times" w:hAnsi="Times"/>
        </w:rPr>
        <w:t>, the c</w:t>
      </w:r>
      <w:r w:rsidRPr="00B80D2D">
        <w:rPr>
          <w:rFonts w:ascii="Times" w:hAnsi="Times"/>
        </w:rPr>
        <w:t>oncentration of instruments with similar characteristic</w:t>
      </w:r>
      <w:r>
        <w:rPr>
          <w:rFonts w:ascii="Times" w:hAnsi="Times"/>
        </w:rPr>
        <w:t>s, the l</w:t>
      </w:r>
      <w:r w:rsidRPr="00B80D2D">
        <w:rPr>
          <w:rFonts w:ascii="Times" w:hAnsi="Times"/>
        </w:rPr>
        <w:t>ikelihood that the magnitude of budget allocation will achieve significant impact</w:t>
      </w:r>
      <w:r>
        <w:rPr>
          <w:rFonts w:ascii="Times" w:hAnsi="Times"/>
        </w:rPr>
        <w:t>, and the l</w:t>
      </w:r>
      <w:r w:rsidRPr="00B80D2D">
        <w:rPr>
          <w:rFonts w:ascii="Times" w:hAnsi="Times"/>
        </w:rPr>
        <w:t>ikelihood that the timespan of implementation will yield results</w:t>
      </w:r>
      <w:r>
        <w:rPr>
          <w:rFonts w:ascii="Times" w:hAnsi="Times"/>
        </w:rPr>
        <w:t>.</w:t>
      </w:r>
      <w:r w:rsidR="00D06A20">
        <w:rPr>
          <w:rFonts w:ascii="Times" w:hAnsi="Times"/>
        </w:rPr>
        <w:t xml:space="preserve"> </w:t>
      </w:r>
      <w:r w:rsidRPr="00336747">
        <w:rPr>
          <w:rFonts w:ascii="Times" w:hAnsi="Times"/>
        </w:rPr>
        <w:t>The external coherence analysis</w:t>
      </w:r>
      <w:r>
        <w:rPr>
          <w:rFonts w:ascii="Times" w:hAnsi="Times"/>
        </w:rPr>
        <w:t xml:space="preserve"> allows us to </w:t>
      </w:r>
      <w:r w:rsidRPr="00336747">
        <w:rPr>
          <w:rFonts w:ascii="Times" w:hAnsi="Times"/>
        </w:rPr>
        <w:t>evaluate the coherence between the demand for innovation (country’s needs) and the composition of the portfolio of instruments.</w:t>
      </w:r>
    </w:p>
    <w:p w14:paraId="074D2920" w14:textId="77777777" w:rsidR="00933FB8" w:rsidRDefault="00933FB8" w:rsidP="00933FB8">
      <w:pPr>
        <w:pStyle w:val="ListParagraph"/>
        <w:ind w:left="360"/>
        <w:jc w:val="both"/>
        <w:rPr>
          <w:rFonts w:ascii="Times" w:hAnsi="Times"/>
        </w:rPr>
      </w:pPr>
    </w:p>
    <w:p w14:paraId="308BD589" w14:textId="362F6167" w:rsidR="00546FC0" w:rsidRDefault="00546FC0" w:rsidP="00933FB8">
      <w:pPr>
        <w:pStyle w:val="ListParagraph"/>
        <w:numPr>
          <w:ilvl w:val="0"/>
          <w:numId w:val="48"/>
        </w:numPr>
        <w:jc w:val="both"/>
        <w:rPr>
          <w:rFonts w:ascii="Times" w:hAnsi="Times"/>
        </w:rPr>
      </w:pPr>
      <w:r w:rsidRPr="00467830">
        <w:rPr>
          <w:rFonts w:ascii="Times" w:hAnsi="Times"/>
          <w:b/>
        </w:rPr>
        <w:t>The main goals under the policy mapping exercise are to collect the data for mapping the portfolio of innovation and SME supporting programs, and to provide the basis for running descriptive analytics and for profiling the portfolio that provides support to firms for innovation.</w:t>
      </w:r>
      <w:r w:rsidRPr="00FF6DF5">
        <w:rPr>
          <w:rFonts w:ascii="Times" w:hAnsi="Times"/>
        </w:rPr>
        <w:t xml:space="preserve"> At the end of the process our key counterparts – DTI and DOST, should have a descriptive profile of the instrument portfolio and policy mix. It is worth clarifying that the mapping brings under its scope programs and instruments that fall under the category of </w:t>
      </w:r>
      <w:r w:rsidRPr="00FF6DF5">
        <w:rPr>
          <w:rFonts w:ascii="Times" w:hAnsi="Times"/>
          <w:i/>
        </w:rPr>
        <w:t>market interventions</w:t>
      </w:r>
      <w:r w:rsidRPr="00FF6DF5">
        <w:rPr>
          <w:rFonts w:ascii="Times" w:hAnsi="Times"/>
        </w:rPr>
        <w:t xml:space="preserve"> and </w:t>
      </w:r>
      <w:r w:rsidRPr="00FF6DF5">
        <w:rPr>
          <w:rFonts w:ascii="Times" w:hAnsi="Times"/>
          <w:i/>
        </w:rPr>
        <w:t>public goods</w:t>
      </w:r>
      <w:r w:rsidRPr="00FF6DF5">
        <w:rPr>
          <w:rFonts w:ascii="Times" w:hAnsi="Times"/>
        </w:rPr>
        <w:t xml:space="preserve">, and which are regular recipients of government funding. We have deliberately excluded government </w:t>
      </w:r>
      <w:r w:rsidRPr="00FF6DF5">
        <w:rPr>
          <w:rFonts w:ascii="Times" w:hAnsi="Times"/>
          <w:i/>
        </w:rPr>
        <w:t>legal and regulatory instruments</w:t>
      </w:r>
      <w:r w:rsidRPr="00FF6DF5">
        <w:rPr>
          <w:rFonts w:ascii="Times" w:hAnsi="Times"/>
        </w:rPr>
        <w:t xml:space="preserve"> that support SMEs, but which do not allocate public funding. For example, the policies of Magna Carta for SMEs, and the Barangay MBEs Act of 2002, which are meant to improve the operating environment of SMEs have been excluded from our analysis. We recognize that removing binding constraints to an enabling environment by expediting delivery of services, streamlining businesses processes, are removing business restrictions and distortions, represent critical areas of support. However, we understand that the mapping of these have been completed through other analyses. </w:t>
      </w:r>
    </w:p>
    <w:p w14:paraId="52B88FC6" w14:textId="77777777" w:rsidR="00933FB8" w:rsidRPr="00FF6DF5" w:rsidRDefault="00933FB8" w:rsidP="00933FB8">
      <w:pPr>
        <w:pStyle w:val="ListParagraph"/>
        <w:ind w:left="360"/>
        <w:jc w:val="both"/>
        <w:rPr>
          <w:rFonts w:ascii="Times" w:hAnsi="Times"/>
        </w:rPr>
      </w:pPr>
    </w:p>
    <w:p w14:paraId="7F8BB50B" w14:textId="77777777" w:rsidR="00546FC0" w:rsidRDefault="00546FC0" w:rsidP="00933FB8">
      <w:pPr>
        <w:pStyle w:val="ListParagraph"/>
        <w:numPr>
          <w:ilvl w:val="0"/>
          <w:numId w:val="48"/>
        </w:numPr>
        <w:jc w:val="both"/>
        <w:rPr>
          <w:rFonts w:ascii="Times" w:hAnsi="Times"/>
        </w:rPr>
      </w:pPr>
      <w:r w:rsidRPr="00467830">
        <w:rPr>
          <w:rFonts w:ascii="Times" w:hAnsi="Times"/>
          <w:b/>
        </w:rPr>
        <w:t>The policy matrix contains a core set of parameters for conducting comparisons and a set of plug-ins to zoom into STI, innovation and SME policies</w:t>
      </w:r>
      <w:r w:rsidRPr="00FF6DF5">
        <w:rPr>
          <w:rFonts w:ascii="Times" w:hAnsi="Times"/>
        </w:rPr>
        <w:t xml:space="preserve">. The component provides the basis for coherence and consistency analysis.   It is worth noting that the inclusion of “instrument” as the unit of analysis: an addition to the PER guidance note (Correa, 2014), which focuses on aggregate budgetary units. Under this approach the framework opens the opportunity to look at design, implementation and governance arrangements, provides an alternative to the lack of expenditure, and represents information, which is supplementary when spending data is not available. However, the framework using the instrument can be more resource intensive than focusing on aggregate budget data as unit of analysis. </w:t>
      </w:r>
    </w:p>
    <w:p w14:paraId="2DAD63C1" w14:textId="75416462" w:rsidR="00546FC0" w:rsidRPr="00546FC0" w:rsidRDefault="00546FC0" w:rsidP="00546FC0">
      <w:pPr>
        <w:pStyle w:val="Heading2"/>
      </w:pPr>
      <w:bookmarkStart w:id="74" w:name="_Toc1911601"/>
      <w:bookmarkStart w:id="75" w:name="_Toc10740051"/>
      <w:bookmarkStart w:id="76" w:name="_Toc12503526"/>
      <w:r w:rsidRPr="00546FC0">
        <w:t>The data</w:t>
      </w:r>
      <w:bookmarkEnd w:id="74"/>
      <w:r w:rsidR="00B619B0">
        <w:t xml:space="preserve"> and scope</w:t>
      </w:r>
      <w:bookmarkEnd w:id="75"/>
      <w:bookmarkEnd w:id="76"/>
    </w:p>
    <w:p w14:paraId="425FDF9A" w14:textId="664B1653" w:rsidR="00A747F5" w:rsidRPr="00D63D2B" w:rsidRDefault="00546FC0" w:rsidP="00A747F5">
      <w:pPr>
        <w:pStyle w:val="ListParagraph"/>
        <w:numPr>
          <w:ilvl w:val="0"/>
          <w:numId w:val="48"/>
        </w:numPr>
        <w:jc w:val="both"/>
        <w:rPr>
          <w:rFonts w:ascii="Times" w:hAnsi="Times"/>
        </w:rPr>
      </w:pPr>
      <w:r w:rsidRPr="00467830">
        <w:rPr>
          <w:rFonts w:ascii="Times" w:hAnsi="Times"/>
          <w:b/>
        </w:rPr>
        <w:t>The information provided in this report has been collected through secondary sources</w:t>
      </w:r>
      <w:r w:rsidR="00E134B8">
        <w:rPr>
          <w:rFonts w:ascii="Times" w:hAnsi="Times"/>
        </w:rPr>
        <w:t xml:space="preserve"> </w:t>
      </w:r>
      <w:proofErr w:type="gramStart"/>
      <w:r w:rsidR="00E134B8">
        <w:rPr>
          <w:rFonts w:ascii="Times" w:hAnsi="Times"/>
        </w:rPr>
        <w:t>The</w:t>
      </w:r>
      <w:proofErr w:type="gramEnd"/>
      <w:r w:rsidR="00E134B8">
        <w:rPr>
          <w:rFonts w:ascii="Times" w:hAnsi="Times"/>
        </w:rPr>
        <w:t xml:space="preserve"> </w:t>
      </w:r>
      <w:r w:rsidR="00D0633B">
        <w:rPr>
          <w:rFonts w:ascii="Times" w:hAnsi="Times"/>
        </w:rPr>
        <w:t>data includes</w:t>
      </w:r>
      <w:r w:rsidRPr="00FF6DF5">
        <w:rPr>
          <w:rFonts w:ascii="Times" w:hAnsi="Times"/>
        </w:rPr>
        <w:t xml:space="preserve"> reports of the budget appropriations from the Filipino government, specialized documents from the DTI and DOST, country and donor publications available to the world bank, among others. The dataset of instruments has been shared with government counterparts for validation and verification. </w:t>
      </w:r>
      <w:r>
        <w:rPr>
          <w:rFonts w:ascii="Times" w:hAnsi="Times"/>
        </w:rPr>
        <w:t>The scope of our work i</w:t>
      </w:r>
      <w:r w:rsidRPr="00D63D2B">
        <w:rPr>
          <w:rFonts w:ascii="Times" w:hAnsi="Times"/>
        </w:rPr>
        <w:t xml:space="preserve">ncluded instruments that support </w:t>
      </w:r>
      <w:r>
        <w:rPr>
          <w:rFonts w:ascii="Times" w:hAnsi="Times"/>
        </w:rPr>
        <w:t xml:space="preserve">innovation and </w:t>
      </w:r>
      <w:r w:rsidRPr="00D63D2B">
        <w:rPr>
          <w:rFonts w:ascii="Times" w:hAnsi="Times"/>
        </w:rPr>
        <w:t>SME</w:t>
      </w:r>
      <w:r>
        <w:rPr>
          <w:rFonts w:ascii="Times" w:hAnsi="Times"/>
        </w:rPr>
        <w:t>s</w:t>
      </w:r>
      <w:r w:rsidRPr="00D63D2B">
        <w:rPr>
          <w:rFonts w:ascii="Times" w:hAnsi="Times"/>
        </w:rPr>
        <w:t>, from Department of Science and Technology (</w:t>
      </w:r>
      <w:proofErr w:type="spellStart"/>
      <w:r w:rsidRPr="00D63D2B">
        <w:rPr>
          <w:rFonts w:ascii="Times" w:hAnsi="Times"/>
        </w:rPr>
        <w:t>DoST</w:t>
      </w:r>
      <w:proofErr w:type="spellEnd"/>
      <w:r w:rsidRPr="00D63D2B">
        <w:rPr>
          <w:rFonts w:ascii="Times" w:hAnsi="Times"/>
        </w:rPr>
        <w:t>) and Department of Trade and Industry (DTI)</w:t>
      </w:r>
      <w:r>
        <w:rPr>
          <w:rFonts w:ascii="Times" w:hAnsi="Times"/>
        </w:rPr>
        <w:t>, bu</w:t>
      </w:r>
      <w:r w:rsidR="007F0464">
        <w:rPr>
          <w:rFonts w:ascii="Times" w:hAnsi="Times"/>
        </w:rPr>
        <w:t>t</w:t>
      </w:r>
      <w:r>
        <w:rPr>
          <w:rFonts w:ascii="Times" w:hAnsi="Times"/>
        </w:rPr>
        <w:t xml:space="preserve"> e</w:t>
      </w:r>
      <w:r w:rsidRPr="00D63D2B">
        <w:rPr>
          <w:rFonts w:ascii="Times" w:hAnsi="Times"/>
        </w:rPr>
        <w:t>xcluded block funding to Public Research Institutions (PRIs)</w:t>
      </w:r>
      <w:r w:rsidR="007F0464">
        <w:rPr>
          <w:rFonts w:ascii="Times" w:hAnsi="Times"/>
        </w:rPr>
        <w:t>.</w:t>
      </w:r>
      <w:r w:rsidR="00A747F5">
        <w:rPr>
          <w:rFonts w:ascii="Times" w:hAnsi="Times"/>
        </w:rPr>
        <w:t xml:space="preserve"> </w:t>
      </w:r>
      <w:r w:rsidR="00A747F5" w:rsidRPr="00D63D2B">
        <w:rPr>
          <w:rFonts w:ascii="Times" w:hAnsi="Times"/>
        </w:rPr>
        <w:t xml:space="preserve">Budgets represent transfers to beneficiaries and resources in lending programs represent finance available for </w:t>
      </w:r>
      <w:r w:rsidR="00A747F5">
        <w:rPr>
          <w:rFonts w:ascii="Times" w:hAnsi="Times"/>
        </w:rPr>
        <w:t xml:space="preserve">firm-level innovation and </w:t>
      </w:r>
      <w:r w:rsidR="00A747F5" w:rsidRPr="00FF6DF5">
        <w:rPr>
          <w:rFonts w:ascii="Times" w:hAnsi="Times"/>
        </w:rPr>
        <w:t>SME</w:t>
      </w:r>
      <w:r w:rsidR="00951922">
        <w:rPr>
          <w:rFonts w:ascii="Times" w:hAnsi="Times"/>
        </w:rPr>
        <w:t>s</w:t>
      </w:r>
      <w:r w:rsidR="00A747F5">
        <w:rPr>
          <w:rFonts w:ascii="Times" w:hAnsi="Times"/>
        </w:rPr>
        <w:t xml:space="preserve">. </w:t>
      </w:r>
    </w:p>
    <w:p w14:paraId="6FD8A738" w14:textId="5DDA3600" w:rsidR="00546FC0" w:rsidRDefault="00546FC0" w:rsidP="00A747F5">
      <w:pPr>
        <w:pStyle w:val="ListParagraph"/>
        <w:ind w:left="360"/>
        <w:jc w:val="both"/>
        <w:rPr>
          <w:rFonts w:ascii="Times" w:hAnsi="Times"/>
        </w:rPr>
      </w:pPr>
    </w:p>
    <w:p w14:paraId="49B0B190" w14:textId="36281611" w:rsidR="00546FC0" w:rsidRDefault="00936675" w:rsidP="00933FB8">
      <w:pPr>
        <w:pStyle w:val="ListParagraph"/>
        <w:numPr>
          <w:ilvl w:val="0"/>
          <w:numId w:val="48"/>
        </w:numPr>
        <w:jc w:val="both"/>
        <w:rPr>
          <w:rFonts w:ascii="Times" w:hAnsi="Times"/>
        </w:rPr>
      </w:pPr>
      <w:r w:rsidRPr="00467830">
        <w:rPr>
          <w:rFonts w:ascii="Times" w:hAnsi="Times"/>
          <w:b/>
        </w:rPr>
        <w:t>I</w:t>
      </w:r>
      <w:r w:rsidR="00546FC0" w:rsidRPr="00467830">
        <w:rPr>
          <w:rFonts w:ascii="Times" w:hAnsi="Times"/>
          <w:b/>
        </w:rPr>
        <w:t xml:space="preserve">nitially a list of 137 programs </w:t>
      </w:r>
      <w:r w:rsidR="001D693B" w:rsidRPr="00467830">
        <w:rPr>
          <w:rFonts w:ascii="Times" w:hAnsi="Times"/>
          <w:b/>
        </w:rPr>
        <w:t xml:space="preserve">that </w:t>
      </w:r>
      <w:r w:rsidR="00546FC0" w:rsidRPr="00467830">
        <w:rPr>
          <w:rFonts w:ascii="Times" w:hAnsi="Times"/>
          <w:b/>
        </w:rPr>
        <w:t>promote innovation were earmarked for further scrutiny</w:t>
      </w:r>
      <w:r w:rsidR="00546FC0" w:rsidRPr="00FF6DF5">
        <w:rPr>
          <w:rFonts w:ascii="Times" w:hAnsi="Times"/>
        </w:rPr>
        <w:t xml:space="preserve">. </w:t>
      </w:r>
      <w:r w:rsidR="001D693B">
        <w:rPr>
          <w:rFonts w:ascii="Times" w:hAnsi="Times"/>
        </w:rPr>
        <w:t>Subsequently,</w:t>
      </w:r>
      <w:r w:rsidR="00546FC0" w:rsidRPr="00FF6DF5">
        <w:rPr>
          <w:rFonts w:ascii="Times" w:hAnsi="Times"/>
        </w:rPr>
        <w:t xml:space="preserve"> the pool of 137 was reduced to </w:t>
      </w:r>
      <w:r w:rsidR="00CC0D3B">
        <w:rPr>
          <w:rFonts w:ascii="Times" w:hAnsi="Times"/>
        </w:rPr>
        <w:t xml:space="preserve">70 </w:t>
      </w:r>
      <w:r w:rsidR="00546FC0" w:rsidRPr="00FF6DF5">
        <w:rPr>
          <w:rFonts w:ascii="Times" w:hAnsi="Times"/>
        </w:rPr>
        <w:t xml:space="preserve">programs for </w:t>
      </w:r>
      <w:r w:rsidR="00546FC0">
        <w:rPr>
          <w:rFonts w:ascii="Times" w:hAnsi="Times"/>
        </w:rPr>
        <w:t xml:space="preserve">3 </w:t>
      </w:r>
      <w:r w:rsidR="00546FC0" w:rsidRPr="00FF6DF5">
        <w:rPr>
          <w:rFonts w:ascii="Times" w:hAnsi="Times"/>
        </w:rPr>
        <w:t xml:space="preserve">main reasons. First, the initial list contained initiatives that could be better described as components of umbrella programs. For example, a few of the DTI projects represented activities of bigger programs such as </w:t>
      </w:r>
      <w:proofErr w:type="spellStart"/>
      <w:r w:rsidR="00546FC0" w:rsidRPr="00FF6DF5">
        <w:rPr>
          <w:rFonts w:ascii="Times" w:hAnsi="Times"/>
        </w:rPr>
        <w:t>Negosyo</w:t>
      </w:r>
      <w:proofErr w:type="spellEnd"/>
      <w:r w:rsidR="00546FC0" w:rsidRPr="00FF6DF5">
        <w:rPr>
          <w:rFonts w:ascii="Times" w:hAnsi="Times"/>
        </w:rPr>
        <w:t xml:space="preserve"> Center and SMERA and the team decided to consolidate. </w:t>
      </w:r>
      <w:r w:rsidR="00546FC0">
        <w:rPr>
          <w:rFonts w:ascii="Times" w:hAnsi="Times"/>
        </w:rPr>
        <w:t xml:space="preserve">Second, </w:t>
      </w:r>
      <w:r w:rsidR="00546FC0" w:rsidRPr="00FF6DF5">
        <w:rPr>
          <w:rFonts w:ascii="Times" w:hAnsi="Times"/>
        </w:rPr>
        <w:t>the team excluded initiatives that have recently ceased to operate. The decision to not include programs that are not active obeyed to the difficulties in gathering data from program managers</w:t>
      </w:r>
      <w:r w:rsidR="00546FC0">
        <w:rPr>
          <w:rFonts w:ascii="Times" w:hAnsi="Times"/>
        </w:rPr>
        <w:t>. Third, t</w:t>
      </w:r>
      <w:r w:rsidR="00546FC0" w:rsidRPr="00FF6DF5">
        <w:rPr>
          <w:rFonts w:ascii="Times" w:hAnsi="Times"/>
        </w:rPr>
        <w:t xml:space="preserve">he team could not have </w:t>
      </w:r>
      <w:r w:rsidR="00546FC0">
        <w:rPr>
          <w:rFonts w:ascii="Times" w:hAnsi="Times"/>
        </w:rPr>
        <w:t xml:space="preserve">full access </w:t>
      </w:r>
      <w:r w:rsidR="00546FC0" w:rsidRPr="00FF6DF5">
        <w:rPr>
          <w:rFonts w:ascii="Times" w:hAnsi="Times"/>
        </w:rPr>
        <w:t>for budgets and expenditures</w:t>
      </w:r>
      <w:r w:rsidR="00546FC0">
        <w:rPr>
          <w:rFonts w:ascii="Times" w:hAnsi="Times"/>
        </w:rPr>
        <w:t xml:space="preserve"> over time</w:t>
      </w:r>
      <w:r w:rsidR="00546FC0" w:rsidRPr="00FF6DF5">
        <w:rPr>
          <w:rFonts w:ascii="Times" w:hAnsi="Times"/>
        </w:rPr>
        <w:t xml:space="preserve">. </w:t>
      </w:r>
      <w:r w:rsidR="00546FC0">
        <w:rPr>
          <w:rFonts w:ascii="Times" w:hAnsi="Times"/>
        </w:rPr>
        <w:t>We received several e</w:t>
      </w:r>
      <w:r w:rsidR="00546FC0" w:rsidRPr="00FF6DF5">
        <w:rPr>
          <w:rFonts w:ascii="Times" w:hAnsi="Times"/>
        </w:rPr>
        <w:t xml:space="preserve">xplanations </w:t>
      </w:r>
      <w:r w:rsidR="00546FC0">
        <w:rPr>
          <w:rFonts w:ascii="Times" w:hAnsi="Times"/>
        </w:rPr>
        <w:t xml:space="preserve">from our focal points in each </w:t>
      </w:r>
      <w:proofErr w:type="spellStart"/>
      <w:r w:rsidR="00546FC0">
        <w:rPr>
          <w:rFonts w:ascii="Times" w:hAnsi="Times"/>
        </w:rPr>
        <w:t>DoST</w:t>
      </w:r>
      <w:proofErr w:type="spellEnd"/>
      <w:r w:rsidR="00546FC0">
        <w:rPr>
          <w:rFonts w:ascii="Times" w:hAnsi="Times"/>
        </w:rPr>
        <w:t xml:space="preserve"> and DTI for not being able to provide this information, including </w:t>
      </w:r>
      <w:r w:rsidR="00546FC0" w:rsidRPr="00FF6DF5">
        <w:rPr>
          <w:rFonts w:ascii="Times" w:hAnsi="Times"/>
        </w:rPr>
        <w:t>limitations on how agencies allocate funding, and the lack of detailed accounting systems that would allow for accurately relating funding with activities. Agencies seem to hold discretion to release funds from the overall budget of the department to the program on a demand basis.</w:t>
      </w:r>
    </w:p>
    <w:p w14:paraId="355655D2" w14:textId="77777777" w:rsidR="00951922" w:rsidRPr="00FF6DF5" w:rsidRDefault="00951922" w:rsidP="00951922">
      <w:pPr>
        <w:pStyle w:val="ListParagraph"/>
        <w:ind w:left="360"/>
        <w:jc w:val="both"/>
        <w:rPr>
          <w:rFonts w:ascii="Times" w:hAnsi="Times"/>
        </w:rPr>
      </w:pPr>
    </w:p>
    <w:p w14:paraId="71CC07C4" w14:textId="53069D44" w:rsidR="00546FC0" w:rsidRPr="00404FD4" w:rsidRDefault="00546FC0" w:rsidP="00404FD4">
      <w:pPr>
        <w:pStyle w:val="ListParagraph"/>
        <w:numPr>
          <w:ilvl w:val="0"/>
          <w:numId w:val="48"/>
        </w:numPr>
        <w:jc w:val="both"/>
        <w:rPr>
          <w:rFonts w:ascii="Times" w:hAnsi="Times"/>
        </w:rPr>
      </w:pPr>
      <w:r w:rsidRPr="00467830">
        <w:rPr>
          <w:rFonts w:ascii="Times" w:hAnsi="Times"/>
          <w:b/>
        </w:rPr>
        <w:t>Data limitations led to conduct</w:t>
      </w:r>
      <w:r w:rsidR="00404FD4" w:rsidRPr="00467830">
        <w:rPr>
          <w:rFonts w:ascii="Times" w:hAnsi="Times"/>
          <w:b/>
        </w:rPr>
        <w:t>ing</w:t>
      </w:r>
      <w:r w:rsidRPr="00467830">
        <w:rPr>
          <w:rFonts w:ascii="Times" w:hAnsi="Times"/>
          <w:b/>
        </w:rPr>
        <w:t xml:space="preserve"> analysis using a cross section for 2017 budget for the available programs. This is the year where most of the data was consistently available</w:t>
      </w:r>
      <w:r w:rsidRPr="00FF0F41">
        <w:rPr>
          <w:rFonts w:ascii="Times" w:hAnsi="Times"/>
        </w:rPr>
        <w:t>. We concluded that the gaps in financial data relate to lack of traceability of funding and lack of collaboration (i.e. unresponsive program managers).  Thus, the following section</w:t>
      </w:r>
      <w:r w:rsidR="000029B8">
        <w:rPr>
          <w:rFonts w:ascii="Times" w:hAnsi="Times"/>
        </w:rPr>
        <w:t>s</w:t>
      </w:r>
      <w:r w:rsidRPr="00FF0F41">
        <w:rPr>
          <w:rFonts w:ascii="Times" w:hAnsi="Times"/>
        </w:rPr>
        <w:t xml:space="preserve"> describe the </w:t>
      </w:r>
      <w:r w:rsidR="00FF0F41" w:rsidRPr="00FF0F41">
        <w:rPr>
          <w:rFonts w:ascii="Times" w:hAnsi="Times"/>
        </w:rPr>
        <w:t xml:space="preserve">portfolio analysis </w:t>
      </w:r>
      <w:r w:rsidR="00404FD4">
        <w:rPr>
          <w:rFonts w:ascii="Times" w:hAnsi="Times"/>
        </w:rPr>
        <w:t>related to</w:t>
      </w:r>
      <w:r w:rsidR="00FF0F41" w:rsidRPr="00FF0F41">
        <w:rPr>
          <w:rFonts w:ascii="Times" w:hAnsi="Times"/>
        </w:rPr>
        <w:t xml:space="preserve"> the 70 programs with financial data available for a cross section of 2017. </w:t>
      </w:r>
      <w:r w:rsidR="00404FD4">
        <w:rPr>
          <w:rFonts w:ascii="Times" w:hAnsi="Times"/>
        </w:rPr>
        <w:t xml:space="preserve">The findings are organized </w:t>
      </w:r>
      <w:r w:rsidRPr="00404FD4">
        <w:rPr>
          <w:rFonts w:ascii="Times" w:hAnsi="Times"/>
        </w:rPr>
        <w:t>along the following 3 sections:</w:t>
      </w:r>
    </w:p>
    <w:p w14:paraId="3B52E310" w14:textId="77777777" w:rsidR="00546FC0" w:rsidRPr="000F0997" w:rsidRDefault="00546FC0" w:rsidP="00546FC0">
      <w:pPr>
        <w:numPr>
          <w:ilvl w:val="0"/>
          <w:numId w:val="45"/>
        </w:numPr>
        <w:spacing w:line="240" w:lineRule="auto"/>
        <w:jc w:val="both"/>
        <w:rPr>
          <w:rFonts w:ascii="Times" w:hAnsi="Times"/>
        </w:rPr>
      </w:pPr>
      <w:r w:rsidRPr="000F0997">
        <w:rPr>
          <w:rFonts w:ascii="Times" w:hAnsi="Times"/>
        </w:rPr>
        <w:t>Descriptive profile and concentration of the policy mix</w:t>
      </w:r>
    </w:p>
    <w:p w14:paraId="75DDB633" w14:textId="77777777" w:rsidR="00546FC0" w:rsidRPr="000F0997" w:rsidRDefault="00546FC0" w:rsidP="00546FC0">
      <w:pPr>
        <w:numPr>
          <w:ilvl w:val="0"/>
          <w:numId w:val="45"/>
        </w:numPr>
        <w:spacing w:line="240" w:lineRule="auto"/>
        <w:jc w:val="both"/>
        <w:rPr>
          <w:rFonts w:ascii="Times" w:hAnsi="Times"/>
        </w:rPr>
      </w:pPr>
      <w:r w:rsidRPr="000F0997">
        <w:rPr>
          <w:rFonts w:ascii="Times" w:hAnsi="Times"/>
        </w:rPr>
        <w:t>Scale and redundancies</w:t>
      </w:r>
    </w:p>
    <w:p w14:paraId="55A3B71D" w14:textId="77777777" w:rsidR="00546FC0" w:rsidRDefault="00546FC0" w:rsidP="00546FC0">
      <w:pPr>
        <w:numPr>
          <w:ilvl w:val="0"/>
          <w:numId w:val="45"/>
        </w:numPr>
        <w:spacing w:line="240" w:lineRule="auto"/>
        <w:jc w:val="both"/>
        <w:rPr>
          <w:rFonts w:ascii="Times" w:hAnsi="Times"/>
        </w:rPr>
      </w:pPr>
      <w:r w:rsidRPr="000F0997">
        <w:rPr>
          <w:rFonts w:ascii="Times" w:hAnsi="Times"/>
        </w:rPr>
        <w:t>Coherence of the policy mix</w:t>
      </w:r>
    </w:p>
    <w:p w14:paraId="2FF9B7ED" w14:textId="77777777" w:rsidR="00237213" w:rsidRPr="00237213" w:rsidRDefault="00237213" w:rsidP="00237213">
      <w:pPr>
        <w:pStyle w:val="Heading2"/>
      </w:pPr>
      <w:bookmarkStart w:id="77" w:name="_Toc10740052"/>
      <w:bookmarkStart w:id="78" w:name="_Toc12503527"/>
      <w:r w:rsidRPr="00237213">
        <w:t>Descriptive profile and concentration of the policy mix</w:t>
      </w:r>
      <w:bookmarkEnd w:id="77"/>
      <w:bookmarkEnd w:id="78"/>
    </w:p>
    <w:p w14:paraId="3674E6A0" w14:textId="3DFDEE20" w:rsidR="00237213" w:rsidRDefault="00237213" w:rsidP="00497FBF">
      <w:pPr>
        <w:pStyle w:val="ListParagraph"/>
        <w:numPr>
          <w:ilvl w:val="0"/>
          <w:numId w:val="48"/>
        </w:numPr>
        <w:jc w:val="both"/>
        <w:rPr>
          <w:rFonts w:ascii="Times" w:hAnsi="Times"/>
        </w:rPr>
      </w:pPr>
      <w:r w:rsidRPr="00467830">
        <w:rPr>
          <w:rFonts w:ascii="Times" w:hAnsi="Times"/>
          <w:b/>
        </w:rPr>
        <w:t xml:space="preserve">Several agencies </w:t>
      </w:r>
      <w:r w:rsidR="006C1F89" w:rsidRPr="00467830">
        <w:rPr>
          <w:rFonts w:ascii="Times" w:hAnsi="Times"/>
          <w:b/>
        </w:rPr>
        <w:t xml:space="preserve">are engaged in delivering the SME supporting programs </w:t>
      </w:r>
      <w:r w:rsidR="006C1F89" w:rsidRPr="006C1F89">
        <w:rPr>
          <w:rFonts w:ascii="Times" w:hAnsi="Times"/>
        </w:rPr>
        <w:t>(Figure 3</w:t>
      </w:r>
      <w:r w:rsidR="00EB4FC4">
        <w:rPr>
          <w:rFonts w:ascii="Times" w:hAnsi="Times"/>
        </w:rPr>
        <w:t>3</w:t>
      </w:r>
      <w:r w:rsidR="006C1F89" w:rsidRPr="006C1F89">
        <w:rPr>
          <w:rFonts w:ascii="Times" w:hAnsi="Times"/>
        </w:rPr>
        <w:t xml:space="preserve">). However, breaking the pattern of expenditures in 2017, revealed that the office of the secretary </w:t>
      </w:r>
      <w:r w:rsidR="0070195D">
        <w:rPr>
          <w:rFonts w:ascii="Times" w:hAnsi="Times"/>
        </w:rPr>
        <w:t xml:space="preserve">for Science and Technology </w:t>
      </w:r>
      <w:r w:rsidR="006C1F89" w:rsidRPr="006C1F89">
        <w:rPr>
          <w:rFonts w:ascii="Times" w:hAnsi="Times"/>
        </w:rPr>
        <w:t>with 21% of expenditures, SB  Corp, 17.2%, the Science and Education Institute with 16.1%, and Philippines Science Highschool with 15%, accounted for 68.8% of the total value of resource allocation in 2017 (SB Corp manages the programs for access to finance but we only included the expenditure data for comparison purposes, excluding the capital allocation for lending). These 4 agencies manage substantially more resources than all the rest, through 9 programs. It is worth noting, the</w:t>
      </w:r>
      <w:r w:rsidR="0070195D">
        <w:rPr>
          <w:rFonts w:ascii="Times" w:hAnsi="Times"/>
        </w:rPr>
        <w:t xml:space="preserve"> Regional Operations Group</w:t>
      </w:r>
      <w:r w:rsidR="006C1F89" w:rsidRPr="006C1F89">
        <w:rPr>
          <w:rFonts w:ascii="Times" w:hAnsi="Times"/>
        </w:rPr>
        <w:t xml:space="preserve"> </w:t>
      </w:r>
      <w:r w:rsidR="0070195D">
        <w:rPr>
          <w:rFonts w:ascii="Times" w:hAnsi="Times"/>
        </w:rPr>
        <w:t>(</w:t>
      </w:r>
      <w:r w:rsidR="006C1F89" w:rsidRPr="006C1F89">
        <w:rPr>
          <w:rFonts w:ascii="Times" w:hAnsi="Times"/>
        </w:rPr>
        <w:t>ROG</w:t>
      </w:r>
      <w:r w:rsidR="0070195D">
        <w:rPr>
          <w:rFonts w:ascii="Times" w:hAnsi="Times"/>
        </w:rPr>
        <w:t>)</w:t>
      </w:r>
      <w:r w:rsidR="006C1F89" w:rsidRPr="006C1F89">
        <w:rPr>
          <w:rFonts w:ascii="Times" w:hAnsi="Times"/>
        </w:rPr>
        <w:t xml:space="preserve"> managed 6 SME programs in 2017, which included prominent instruments such </w:t>
      </w:r>
      <w:proofErr w:type="spellStart"/>
      <w:r w:rsidR="006C1F89" w:rsidRPr="006C1F89">
        <w:rPr>
          <w:rFonts w:ascii="Times" w:hAnsi="Times"/>
        </w:rPr>
        <w:t>Negosyo</w:t>
      </w:r>
      <w:proofErr w:type="spellEnd"/>
      <w:r w:rsidR="006C1F89" w:rsidRPr="006C1F89">
        <w:rPr>
          <w:rFonts w:ascii="Times" w:hAnsi="Times"/>
        </w:rPr>
        <w:t xml:space="preserve"> Centers, </w:t>
      </w:r>
      <w:proofErr w:type="spellStart"/>
      <w:r w:rsidR="006C1F89" w:rsidRPr="006C1F89">
        <w:rPr>
          <w:rFonts w:ascii="Times" w:hAnsi="Times"/>
        </w:rPr>
        <w:t>Kapatid</w:t>
      </w:r>
      <w:proofErr w:type="spellEnd"/>
      <w:r w:rsidR="006C1F89" w:rsidRPr="006C1F89">
        <w:rPr>
          <w:rFonts w:ascii="Times" w:hAnsi="Times"/>
        </w:rPr>
        <w:t xml:space="preserve"> Mentor Me and OTOP. The </w:t>
      </w:r>
      <w:proofErr w:type="spellStart"/>
      <w:r w:rsidR="006C1F89" w:rsidRPr="006C1F89">
        <w:rPr>
          <w:rFonts w:ascii="Times" w:hAnsi="Times"/>
        </w:rPr>
        <w:t>DoST</w:t>
      </w:r>
      <w:proofErr w:type="spellEnd"/>
      <w:r w:rsidR="006C1F89" w:rsidRPr="006C1F89">
        <w:rPr>
          <w:rFonts w:ascii="Times" w:hAnsi="Times"/>
        </w:rPr>
        <w:t xml:space="preserve"> executive committee by contrast raised to prominence by its role in managing the largest program under DOST: SET-UP.  It is worth mentioning that the practical responsibility for implementation of SME policy programs rests with the regional and provincial departments of these agencies, particularly in the case of DTI.</w:t>
      </w:r>
    </w:p>
    <w:p w14:paraId="1B41196E" w14:textId="77777777" w:rsidR="00CE1982" w:rsidRDefault="00CE1982" w:rsidP="00515E2E">
      <w:pPr>
        <w:spacing w:after="240" w:line="240" w:lineRule="auto"/>
        <w:rPr>
          <w:rFonts w:ascii="Times" w:hAnsi="Times"/>
          <w:b/>
        </w:rPr>
      </w:pPr>
      <w:r>
        <w:rPr>
          <w:rFonts w:ascii="Times" w:hAnsi="Times"/>
          <w:b/>
        </w:rPr>
        <w:tab/>
      </w:r>
    </w:p>
    <w:p w14:paraId="69B8A686" w14:textId="77777777" w:rsidR="00CE1982" w:rsidRDefault="00CE1982" w:rsidP="00515E2E">
      <w:pPr>
        <w:spacing w:after="240" w:line="240" w:lineRule="auto"/>
        <w:rPr>
          <w:rFonts w:ascii="Times" w:hAnsi="Times"/>
          <w:b/>
        </w:rPr>
      </w:pPr>
    </w:p>
    <w:p w14:paraId="0D23903E" w14:textId="77777777" w:rsidR="00CE1982" w:rsidRDefault="00CE1982" w:rsidP="00515E2E">
      <w:pPr>
        <w:spacing w:after="240" w:line="240" w:lineRule="auto"/>
        <w:rPr>
          <w:rFonts w:ascii="Times" w:hAnsi="Times"/>
          <w:b/>
        </w:rPr>
      </w:pPr>
    </w:p>
    <w:p w14:paraId="3A0B0FE0" w14:textId="77777777" w:rsidR="00CE1982" w:rsidRDefault="00CE1982" w:rsidP="00515E2E">
      <w:pPr>
        <w:spacing w:after="240" w:line="240" w:lineRule="auto"/>
        <w:rPr>
          <w:rFonts w:ascii="Times" w:hAnsi="Times"/>
          <w:b/>
        </w:rPr>
      </w:pPr>
    </w:p>
    <w:p w14:paraId="4DDD66E9" w14:textId="77777777" w:rsidR="00CE1982" w:rsidRDefault="00CE1982" w:rsidP="00515E2E">
      <w:pPr>
        <w:spacing w:after="240" w:line="240" w:lineRule="auto"/>
        <w:rPr>
          <w:rFonts w:ascii="Times" w:hAnsi="Times"/>
          <w:b/>
        </w:rPr>
      </w:pPr>
    </w:p>
    <w:p w14:paraId="423941CA" w14:textId="77777777" w:rsidR="00CE1982" w:rsidRDefault="00CE1982" w:rsidP="00515E2E">
      <w:pPr>
        <w:spacing w:after="240" w:line="240" w:lineRule="auto"/>
        <w:rPr>
          <w:rFonts w:ascii="Times" w:hAnsi="Times"/>
          <w:b/>
        </w:rPr>
      </w:pPr>
    </w:p>
    <w:p w14:paraId="2441DD42" w14:textId="77777777" w:rsidR="00CE1982" w:rsidRDefault="00CE1982" w:rsidP="00515E2E">
      <w:pPr>
        <w:spacing w:after="240" w:line="240" w:lineRule="auto"/>
        <w:rPr>
          <w:rFonts w:ascii="Times" w:hAnsi="Times"/>
          <w:b/>
        </w:rPr>
      </w:pPr>
    </w:p>
    <w:p w14:paraId="65BA4C8B" w14:textId="77777777" w:rsidR="00CE1982" w:rsidRDefault="00CE1982" w:rsidP="00515E2E">
      <w:pPr>
        <w:spacing w:after="240" w:line="240" w:lineRule="auto"/>
        <w:rPr>
          <w:rFonts w:ascii="Times" w:hAnsi="Times"/>
          <w:b/>
        </w:rPr>
      </w:pPr>
    </w:p>
    <w:p w14:paraId="23563A32" w14:textId="42B19D38" w:rsidR="00974B6A" w:rsidRPr="00FF6DF5" w:rsidRDefault="00974B6A" w:rsidP="0055784E">
      <w:pPr>
        <w:spacing w:after="240" w:line="240" w:lineRule="auto"/>
        <w:rPr>
          <w:rFonts w:ascii="Times" w:hAnsi="Times"/>
        </w:rPr>
      </w:pPr>
      <w:r w:rsidRPr="00FF6DF5">
        <w:rPr>
          <w:rFonts w:ascii="Times" w:hAnsi="Times"/>
          <w:b/>
        </w:rPr>
        <w:t xml:space="preserve">Figure </w:t>
      </w:r>
      <w:r w:rsidR="002C3405">
        <w:rPr>
          <w:rFonts w:ascii="Times" w:hAnsi="Times"/>
          <w:b/>
        </w:rPr>
        <w:t>3</w:t>
      </w:r>
      <w:r w:rsidR="00EB4FC4">
        <w:rPr>
          <w:rFonts w:ascii="Times" w:hAnsi="Times"/>
          <w:b/>
        </w:rPr>
        <w:t>3</w:t>
      </w:r>
      <w:r w:rsidRPr="00FF6DF5">
        <w:rPr>
          <w:rFonts w:ascii="Times" w:hAnsi="Times"/>
          <w:b/>
        </w:rPr>
        <w:t>: Value of annual spending by implementing agencies in 2017</w:t>
      </w:r>
      <w:r w:rsidR="0055784E" w:rsidRPr="002B13E1">
        <w:rPr>
          <w:noProof/>
          <w:highlight w:val="yellow"/>
        </w:rPr>
        <w:drawing>
          <wp:inline distT="0" distB="0" distL="0" distR="0" wp14:anchorId="5E57D6BE" wp14:editId="6AD60D7D">
            <wp:extent cx="5753196" cy="2961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9457" t="14792" r="6481" b="8397"/>
                    <a:stretch/>
                  </pic:blipFill>
                  <pic:spPr bwMode="auto">
                    <a:xfrm>
                      <a:off x="0" y="0"/>
                      <a:ext cx="5759925" cy="2965104"/>
                    </a:xfrm>
                    <a:prstGeom prst="rect">
                      <a:avLst/>
                    </a:prstGeom>
                    <a:noFill/>
                    <a:ln>
                      <a:noFill/>
                    </a:ln>
                    <a:extLst>
                      <a:ext uri="{53640926-AAD7-44D8-BBD7-CCE9431645EC}">
                        <a14:shadowObscured xmlns:a14="http://schemas.microsoft.com/office/drawing/2010/main"/>
                      </a:ext>
                    </a:extLst>
                  </pic:spPr>
                </pic:pic>
              </a:graphicData>
            </a:graphic>
          </wp:inline>
        </w:drawing>
      </w:r>
    </w:p>
    <w:p w14:paraId="3E03479D" w14:textId="77777777" w:rsidR="00974B6A" w:rsidRPr="00FF6DF5" w:rsidRDefault="00974B6A" w:rsidP="00974B6A">
      <w:pPr>
        <w:spacing w:after="240" w:line="240" w:lineRule="auto"/>
        <w:jc w:val="both"/>
        <w:rPr>
          <w:rFonts w:ascii="Times" w:hAnsi="Times"/>
          <w:sz w:val="18"/>
          <w:szCs w:val="18"/>
        </w:rPr>
      </w:pPr>
      <w:r w:rsidRPr="00FF6DF5">
        <w:rPr>
          <w:rFonts w:ascii="Times" w:hAnsi="Times"/>
          <w:sz w:val="18"/>
          <w:szCs w:val="18"/>
        </w:rPr>
        <w:t xml:space="preserve">Source: Authors calculations based on various DTI and </w:t>
      </w:r>
      <w:proofErr w:type="spellStart"/>
      <w:r w:rsidRPr="00FF6DF5">
        <w:rPr>
          <w:rFonts w:ascii="Times" w:hAnsi="Times"/>
          <w:sz w:val="18"/>
          <w:szCs w:val="18"/>
        </w:rPr>
        <w:t>DoST</w:t>
      </w:r>
      <w:proofErr w:type="spellEnd"/>
      <w:r w:rsidRPr="00FF6DF5">
        <w:rPr>
          <w:rFonts w:ascii="Times" w:hAnsi="Times"/>
          <w:sz w:val="18"/>
          <w:szCs w:val="18"/>
        </w:rPr>
        <w:t xml:space="preserve"> sources, interviews with representatives of program management units, and implementing agencies.</w:t>
      </w:r>
    </w:p>
    <w:p w14:paraId="1EDF1566" w14:textId="6934833C" w:rsidR="00974B6A" w:rsidRDefault="00974B6A" w:rsidP="00E62CBF">
      <w:pPr>
        <w:pStyle w:val="ListParagraph"/>
        <w:numPr>
          <w:ilvl w:val="0"/>
          <w:numId w:val="48"/>
        </w:numPr>
        <w:jc w:val="both"/>
        <w:rPr>
          <w:rFonts w:ascii="Times" w:hAnsi="Times"/>
        </w:rPr>
      </w:pPr>
      <w:r w:rsidRPr="00467830">
        <w:rPr>
          <w:rFonts w:ascii="Times" w:hAnsi="Times"/>
          <w:b/>
        </w:rPr>
        <w:t>We analyzed a group of innovation and SME programs that represented a total value of expenditure of PHP 20,4 billion in 2017</w:t>
      </w:r>
      <w:r w:rsidRPr="002C3405">
        <w:rPr>
          <w:rFonts w:ascii="Times" w:hAnsi="Times"/>
        </w:rPr>
        <w:t xml:space="preserve">. </w:t>
      </w:r>
      <w:r w:rsidR="00E62CBF" w:rsidRPr="00E62CBF">
        <w:rPr>
          <w:rFonts w:ascii="Times" w:hAnsi="Times"/>
        </w:rPr>
        <w:t>The selected programs included 47 programs from Department of Science and technology (DOST) and 23 programs from the Department of Trade and Industry (DTI). The DTI programs include the 3 access to finance programs managed by SB Corp.</w:t>
      </w:r>
    </w:p>
    <w:p w14:paraId="6F44A8D8" w14:textId="38517F49" w:rsidR="00974B6A" w:rsidRDefault="00974B6A" w:rsidP="00E75A2C">
      <w:pPr>
        <w:spacing w:after="240" w:line="240" w:lineRule="auto"/>
        <w:rPr>
          <w:rFonts w:ascii="Times" w:hAnsi="Times"/>
          <w:b/>
        </w:rPr>
      </w:pPr>
      <w:r w:rsidRPr="00FF6DF5">
        <w:rPr>
          <w:rFonts w:ascii="Times" w:hAnsi="Times"/>
          <w:b/>
        </w:rPr>
        <w:t xml:space="preserve">Figure </w:t>
      </w:r>
      <w:r>
        <w:rPr>
          <w:rFonts w:ascii="Times" w:hAnsi="Times"/>
          <w:b/>
        </w:rPr>
        <w:t>3</w:t>
      </w:r>
      <w:r w:rsidR="00EB4FC4">
        <w:rPr>
          <w:rFonts w:ascii="Times" w:hAnsi="Times"/>
          <w:b/>
        </w:rPr>
        <w:t>4</w:t>
      </w:r>
      <w:r w:rsidRPr="00FF6DF5">
        <w:rPr>
          <w:rFonts w:ascii="Times" w:hAnsi="Times"/>
          <w:b/>
        </w:rPr>
        <w:t xml:space="preserve">: </w:t>
      </w:r>
      <w:r w:rsidR="00E75A2C">
        <w:rPr>
          <w:rFonts w:ascii="Times" w:hAnsi="Times"/>
          <w:b/>
        </w:rPr>
        <w:t xml:space="preserve">General </w:t>
      </w:r>
      <w:r w:rsidR="004B109C">
        <w:rPr>
          <w:rFonts w:ascii="Times" w:hAnsi="Times"/>
          <w:b/>
        </w:rPr>
        <w:t xml:space="preserve">agency affiliation and </w:t>
      </w:r>
      <w:r w:rsidRPr="00FF6DF5">
        <w:rPr>
          <w:rFonts w:ascii="Times" w:hAnsi="Times"/>
          <w:b/>
        </w:rPr>
        <w:t xml:space="preserve">characteristics </w:t>
      </w:r>
      <w:r w:rsidR="004B109C">
        <w:rPr>
          <w:rFonts w:ascii="Times" w:hAnsi="Times"/>
          <w:b/>
        </w:rPr>
        <w:t xml:space="preserve">for firm innovation and SME development </w:t>
      </w:r>
      <w:r w:rsidRPr="00FF6DF5">
        <w:rPr>
          <w:rFonts w:ascii="Times" w:hAnsi="Times"/>
          <w:b/>
        </w:rPr>
        <w:t>programs in 2017</w:t>
      </w:r>
    </w:p>
    <w:p w14:paraId="380E488D" w14:textId="6A6808A3" w:rsidR="00974B6A" w:rsidRDefault="00684194" w:rsidP="00974B6A">
      <w:pPr>
        <w:spacing w:after="240" w:line="240" w:lineRule="auto"/>
        <w:jc w:val="center"/>
        <w:rPr>
          <w:rFonts w:ascii="Times" w:hAnsi="Times"/>
          <w:sz w:val="18"/>
          <w:szCs w:val="18"/>
        </w:rPr>
      </w:pPr>
      <w:r w:rsidRPr="00691F8E">
        <w:rPr>
          <w:noProof/>
          <w:highlight w:val="yellow"/>
        </w:rPr>
        <w:drawing>
          <wp:inline distT="0" distB="0" distL="0" distR="0" wp14:anchorId="34204802" wp14:editId="557732B1">
            <wp:extent cx="5942965" cy="24384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4792" b="12380"/>
                    <a:stretch/>
                  </pic:blipFill>
                  <pic:spPr bwMode="auto">
                    <a:xfrm>
                      <a:off x="0" y="0"/>
                      <a:ext cx="5943600" cy="2438661"/>
                    </a:xfrm>
                    <a:prstGeom prst="rect">
                      <a:avLst/>
                    </a:prstGeom>
                    <a:noFill/>
                    <a:ln>
                      <a:noFill/>
                    </a:ln>
                    <a:extLst>
                      <a:ext uri="{53640926-AAD7-44D8-BBD7-CCE9431645EC}">
                        <a14:shadowObscured xmlns:a14="http://schemas.microsoft.com/office/drawing/2010/main"/>
                      </a:ext>
                    </a:extLst>
                  </pic:spPr>
                </pic:pic>
              </a:graphicData>
            </a:graphic>
          </wp:inline>
        </w:drawing>
      </w:r>
    </w:p>
    <w:p w14:paraId="17021A39" w14:textId="77777777" w:rsidR="00974B6A" w:rsidRPr="00FF6DF5" w:rsidRDefault="00974B6A" w:rsidP="00974B6A">
      <w:pPr>
        <w:spacing w:after="240" w:line="240" w:lineRule="auto"/>
        <w:rPr>
          <w:rFonts w:ascii="Times" w:hAnsi="Times"/>
        </w:rPr>
      </w:pPr>
      <w:r w:rsidRPr="00FF6DF5">
        <w:rPr>
          <w:rFonts w:ascii="Times" w:hAnsi="Times"/>
          <w:sz w:val="18"/>
          <w:szCs w:val="18"/>
        </w:rPr>
        <w:t xml:space="preserve">Source: Authors calculations based on various DTI and </w:t>
      </w:r>
      <w:proofErr w:type="spellStart"/>
      <w:r w:rsidRPr="00FF6DF5">
        <w:rPr>
          <w:rFonts w:ascii="Times" w:hAnsi="Times"/>
          <w:sz w:val="18"/>
          <w:szCs w:val="18"/>
        </w:rPr>
        <w:t>DoST</w:t>
      </w:r>
      <w:proofErr w:type="spellEnd"/>
      <w:r w:rsidRPr="00FF6DF5">
        <w:rPr>
          <w:rFonts w:ascii="Times" w:hAnsi="Times"/>
          <w:sz w:val="18"/>
          <w:szCs w:val="18"/>
        </w:rPr>
        <w:t xml:space="preserve"> sources, interviews with representatives of program management units, and implementing agencies.</w:t>
      </w:r>
    </w:p>
    <w:p w14:paraId="46B4BDBF" w14:textId="4CA7C73C" w:rsidR="00974B6A" w:rsidRDefault="00974B6A" w:rsidP="004C49D8">
      <w:pPr>
        <w:pStyle w:val="ListParagraph"/>
        <w:numPr>
          <w:ilvl w:val="0"/>
          <w:numId w:val="48"/>
        </w:numPr>
        <w:jc w:val="both"/>
        <w:rPr>
          <w:rFonts w:ascii="Times" w:hAnsi="Times"/>
        </w:rPr>
      </w:pPr>
      <w:r w:rsidRPr="00467830">
        <w:rPr>
          <w:rFonts w:ascii="Times" w:hAnsi="Times"/>
          <w:b/>
        </w:rPr>
        <w:t xml:space="preserve">The </w:t>
      </w:r>
      <w:proofErr w:type="spellStart"/>
      <w:r w:rsidR="00A10290" w:rsidRPr="00467830">
        <w:rPr>
          <w:rFonts w:ascii="Times" w:hAnsi="Times"/>
          <w:b/>
        </w:rPr>
        <w:t>DoST</w:t>
      </w:r>
      <w:proofErr w:type="spellEnd"/>
      <w:r w:rsidR="00A10290" w:rsidRPr="00467830">
        <w:rPr>
          <w:rFonts w:ascii="Times" w:hAnsi="Times"/>
          <w:b/>
        </w:rPr>
        <w:t xml:space="preserve"> programs were on average of higher value</w:t>
      </w:r>
      <w:r w:rsidR="00A10290" w:rsidRPr="00A10290">
        <w:rPr>
          <w:rFonts w:ascii="Times" w:hAnsi="Times"/>
        </w:rPr>
        <w:t xml:space="preserve"> (341.5 million vs 300.6 million), making 67.2% of the programs but accounting for 75% of the value of expenditure to support firm-level innovation and SMEs.  The presence of outliers reveals that the median value of </w:t>
      </w:r>
      <w:proofErr w:type="spellStart"/>
      <w:r w:rsidR="00A10290" w:rsidRPr="00A10290">
        <w:rPr>
          <w:rFonts w:ascii="Times" w:hAnsi="Times"/>
        </w:rPr>
        <w:t>DoST</w:t>
      </w:r>
      <w:proofErr w:type="spellEnd"/>
      <w:r w:rsidR="00A10290" w:rsidRPr="00A10290">
        <w:rPr>
          <w:rFonts w:ascii="Times" w:hAnsi="Times"/>
        </w:rPr>
        <w:t xml:space="preserve"> programs is lower than that of DTI programs, with 38.4 and 41.4 million of resources managed, respectively in 2017 (see figure 3</w:t>
      </w:r>
      <w:r w:rsidR="001833C1">
        <w:rPr>
          <w:rFonts w:ascii="Times" w:hAnsi="Times"/>
        </w:rPr>
        <w:t>5</w:t>
      </w:r>
      <w:r w:rsidR="00A10290" w:rsidRPr="00A10290">
        <w:rPr>
          <w:rFonts w:ascii="Times" w:hAnsi="Times"/>
        </w:rPr>
        <w:t>).</w:t>
      </w:r>
    </w:p>
    <w:p w14:paraId="1EE01557" w14:textId="4AB391CB" w:rsidR="00974B6A" w:rsidRDefault="00974B6A" w:rsidP="00974B6A">
      <w:pPr>
        <w:spacing w:after="240" w:line="240" w:lineRule="auto"/>
        <w:rPr>
          <w:rFonts w:ascii="Times" w:hAnsi="Times"/>
          <w:b/>
        </w:rPr>
      </w:pPr>
      <w:r w:rsidRPr="00FF6DF5">
        <w:rPr>
          <w:rFonts w:ascii="Times" w:hAnsi="Times"/>
          <w:b/>
        </w:rPr>
        <w:t xml:space="preserve">Figure </w:t>
      </w:r>
      <w:r w:rsidR="002C3405">
        <w:rPr>
          <w:rFonts w:ascii="Times" w:hAnsi="Times"/>
          <w:b/>
        </w:rPr>
        <w:t>3</w:t>
      </w:r>
      <w:r w:rsidR="001833C1">
        <w:rPr>
          <w:rFonts w:ascii="Times" w:hAnsi="Times"/>
          <w:b/>
        </w:rPr>
        <w:t>5</w:t>
      </w:r>
      <w:r w:rsidRPr="00FF6DF5">
        <w:rPr>
          <w:rFonts w:ascii="Times" w:hAnsi="Times"/>
          <w:b/>
        </w:rPr>
        <w:t xml:space="preserve">: </w:t>
      </w:r>
      <w:r w:rsidR="004B109C">
        <w:rPr>
          <w:rFonts w:ascii="Times" w:hAnsi="Times"/>
          <w:b/>
        </w:rPr>
        <w:t xml:space="preserve">Description of the composition of resources for firm innovation and SME development </w:t>
      </w:r>
      <w:r w:rsidRPr="00FF6DF5">
        <w:rPr>
          <w:rFonts w:ascii="Times" w:hAnsi="Times"/>
          <w:b/>
        </w:rPr>
        <w:t>programs in 2017</w:t>
      </w:r>
    </w:p>
    <w:p w14:paraId="68EFBED6" w14:textId="007A9091" w:rsidR="00A10290" w:rsidRDefault="00AE6B7A" w:rsidP="00974B6A">
      <w:pPr>
        <w:spacing w:after="240" w:line="240" w:lineRule="auto"/>
        <w:rPr>
          <w:rFonts w:ascii="Times" w:hAnsi="Times"/>
          <w:b/>
        </w:rPr>
      </w:pPr>
      <w:r>
        <w:rPr>
          <w:noProof/>
        </w:rPr>
        <w:drawing>
          <wp:inline distT="0" distB="0" distL="0" distR="0" wp14:anchorId="70804925" wp14:editId="319F5CC9">
            <wp:extent cx="6348095" cy="2986268"/>
            <wp:effectExtent l="0" t="0" r="0" b="5080"/>
            <wp:docPr id="22" name="Picture 22" descr="cid:image002.png@01D51688.E3E3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2.png@01D51688.E3E3860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6379553" cy="3001066"/>
                    </a:xfrm>
                    <a:prstGeom prst="rect">
                      <a:avLst/>
                    </a:prstGeom>
                    <a:noFill/>
                    <a:ln>
                      <a:noFill/>
                    </a:ln>
                  </pic:spPr>
                </pic:pic>
              </a:graphicData>
            </a:graphic>
          </wp:inline>
        </w:drawing>
      </w:r>
    </w:p>
    <w:p w14:paraId="159F72FD" w14:textId="77777777" w:rsidR="00974B6A" w:rsidRDefault="00974B6A" w:rsidP="00974B6A">
      <w:pPr>
        <w:spacing w:after="240" w:line="240" w:lineRule="auto"/>
        <w:rPr>
          <w:rFonts w:ascii="Times" w:hAnsi="Times"/>
        </w:rPr>
      </w:pPr>
      <w:r w:rsidRPr="00FF6DF5">
        <w:rPr>
          <w:rFonts w:ascii="Times" w:hAnsi="Times"/>
          <w:sz w:val="18"/>
          <w:szCs w:val="18"/>
        </w:rPr>
        <w:t xml:space="preserve">Source: Authors calculations based on various DTI and </w:t>
      </w:r>
      <w:proofErr w:type="spellStart"/>
      <w:r w:rsidRPr="00FF6DF5">
        <w:rPr>
          <w:rFonts w:ascii="Times" w:hAnsi="Times"/>
          <w:sz w:val="18"/>
          <w:szCs w:val="18"/>
        </w:rPr>
        <w:t>DoST</w:t>
      </w:r>
      <w:proofErr w:type="spellEnd"/>
      <w:r w:rsidRPr="00FF6DF5">
        <w:rPr>
          <w:rFonts w:ascii="Times" w:hAnsi="Times"/>
          <w:sz w:val="18"/>
          <w:szCs w:val="18"/>
        </w:rPr>
        <w:t xml:space="preserve"> sources, interviews with representatives of program management units, and implementing agencies.</w:t>
      </w:r>
    </w:p>
    <w:p w14:paraId="04393464" w14:textId="77777777" w:rsidR="00055497" w:rsidRDefault="00055497" w:rsidP="00A10290">
      <w:pPr>
        <w:pStyle w:val="ListParagraph"/>
        <w:ind w:left="360"/>
        <w:jc w:val="both"/>
        <w:rPr>
          <w:rFonts w:ascii="Times" w:hAnsi="Times"/>
        </w:rPr>
      </w:pPr>
    </w:p>
    <w:p w14:paraId="7FDC3E45" w14:textId="35324C66" w:rsidR="00F60EF9" w:rsidRDefault="00F60EF9" w:rsidP="00F60EF9">
      <w:pPr>
        <w:pStyle w:val="ListParagraph"/>
        <w:numPr>
          <w:ilvl w:val="0"/>
          <w:numId w:val="48"/>
        </w:numPr>
        <w:jc w:val="both"/>
        <w:rPr>
          <w:rFonts w:ascii="Times" w:hAnsi="Times"/>
        </w:rPr>
      </w:pPr>
      <w:r w:rsidRPr="00467830">
        <w:rPr>
          <w:rFonts w:ascii="Times" w:hAnsi="Times"/>
          <w:b/>
        </w:rPr>
        <w:t xml:space="preserve">The range of financial resources managed by these programs </w:t>
      </w:r>
      <w:r w:rsidR="003F7298" w:rsidRPr="00467830">
        <w:rPr>
          <w:rFonts w:ascii="Times" w:hAnsi="Times"/>
          <w:b/>
        </w:rPr>
        <w:t>was significant</w:t>
      </w:r>
      <w:r w:rsidR="003F7298">
        <w:rPr>
          <w:rFonts w:ascii="Times" w:hAnsi="Times"/>
        </w:rPr>
        <w:t xml:space="preserve">. The range </w:t>
      </w:r>
      <w:r w:rsidRPr="00F60EF9">
        <w:rPr>
          <w:rFonts w:ascii="Times" w:hAnsi="Times"/>
        </w:rPr>
        <w:t>extended from PHP 397 thousand (DOST Academe Technology-Based Enterprise) to PHP 3.6 Billion (S&amp;T Scholarship program), with an average of PHP 335.4 million and a median value of PHP 40 million. The largest program in the selected group are S&amp;T Scholarship program, with an annual expenditure in 2017 of PHP 3.6 billion. The portfolio included 3 access to finance programs, where credit was extended to enterprises to induce their upgrading and innovation, representing 17% of the resources of the policy portfolio in 2017 and 3 programs offering tax incentives, accounting for 8% of the budget (Figure 33).</w:t>
      </w:r>
    </w:p>
    <w:p w14:paraId="1B27FB17" w14:textId="77777777" w:rsidR="00E47592" w:rsidRPr="00F60EF9" w:rsidRDefault="00E47592" w:rsidP="00E47592">
      <w:pPr>
        <w:pStyle w:val="ListParagraph"/>
        <w:ind w:left="360"/>
        <w:jc w:val="both"/>
        <w:rPr>
          <w:rFonts w:ascii="Times" w:hAnsi="Times"/>
        </w:rPr>
      </w:pPr>
    </w:p>
    <w:p w14:paraId="3F4DE98F" w14:textId="55F1A454" w:rsidR="00F60EF9" w:rsidRDefault="00F60EF9" w:rsidP="00F60EF9">
      <w:pPr>
        <w:pStyle w:val="ListParagraph"/>
        <w:numPr>
          <w:ilvl w:val="0"/>
          <w:numId w:val="48"/>
        </w:numPr>
        <w:jc w:val="both"/>
        <w:rPr>
          <w:rFonts w:ascii="Times" w:hAnsi="Times"/>
        </w:rPr>
      </w:pPr>
      <w:r w:rsidRPr="00467830">
        <w:rPr>
          <w:rFonts w:ascii="Times" w:hAnsi="Times"/>
          <w:b/>
        </w:rPr>
        <w:t>It is worth mentioning that comparing programs’ financing does not provide a full sense to the reader with regard of support made available to firms</w:t>
      </w:r>
      <w:r w:rsidRPr="00F60EF9">
        <w:rPr>
          <w:rFonts w:ascii="Times" w:hAnsi="Times"/>
        </w:rPr>
        <w:t>. The 3 programs that provide lending to improve access to financing for SMEs (retail lending, wholesale lending and P3) extend capital to SMEs (meant to induce innovation activities and upgrading). Figure 34 presents the 70 programs, including the capital funds which are available for lending purposes. Programs that extend credit present large resources under their management but belong to a separate category from those programs that provide direct support to beneficiary firms, typically without an expectation to be repaid. The analysis in the next sections compares values of programs by expenditure, excluding the capital allocation for lending purposes.</w:t>
      </w:r>
    </w:p>
    <w:p w14:paraId="72B3D01B" w14:textId="77777777" w:rsidR="00E47592" w:rsidRPr="00F60EF9" w:rsidRDefault="00E47592" w:rsidP="00E47592">
      <w:pPr>
        <w:pStyle w:val="ListParagraph"/>
        <w:ind w:left="360"/>
        <w:jc w:val="both"/>
        <w:rPr>
          <w:rFonts w:ascii="Times" w:hAnsi="Times"/>
        </w:rPr>
      </w:pPr>
    </w:p>
    <w:p w14:paraId="166ACCED" w14:textId="5F183238" w:rsidR="00CE3EB0" w:rsidRDefault="00F60EF9" w:rsidP="00F60EF9">
      <w:pPr>
        <w:pStyle w:val="ListParagraph"/>
        <w:numPr>
          <w:ilvl w:val="0"/>
          <w:numId w:val="48"/>
        </w:numPr>
        <w:jc w:val="both"/>
        <w:rPr>
          <w:rFonts w:ascii="Times" w:hAnsi="Times"/>
        </w:rPr>
      </w:pPr>
      <w:r w:rsidRPr="00F60EF9">
        <w:rPr>
          <w:rFonts w:ascii="Times" w:hAnsi="Times"/>
        </w:rPr>
        <w:t>The concentration of the portfolio on the largest 6 programs was relatively large, as they represented 66.5% of the value of the entire firm level innovation portfolio in 2017 (Figure 34</w:t>
      </w:r>
      <w:r w:rsidR="001833C1">
        <w:rPr>
          <w:rFonts w:ascii="Times" w:hAnsi="Times"/>
        </w:rPr>
        <w:t>6</w:t>
      </w:r>
      <w:r w:rsidRPr="00F60EF9">
        <w:rPr>
          <w:rFonts w:ascii="Times" w:hAnsi="Times"/>
        </w:rPr>
        <w:t>.</w:t>
      </w:r>
    </w:p>
    <w:p w14:paraId="64B548CA" w14:textId="379BCDC4" w:rsidR="00974B6A" w:rsidRDefault="00974B6A" w:rsidP="00974B6A">
      <w:pPr>
        <w:spacing w:after="240" w:line="240" w:lineRule="auto"/>
        <w:rPr>
          <w:rFonts w:ascii="Times" w:hAnsi="Times"/>
          <w:b/>
        </w:rPr>
      </w:pPr>
      <w:r w:rsidRPr="00FF6DF5">
        <w:rPr>
          <w:rFonts w:ascii="Times" w:hAnsi="Times"/>
          <w:b/>
        </w:rPr>
        <w:t xml:space="preserve">Figure </w:t>
      </w:r>
      <w:r w:rsidR="002C3405">
        <w:rPr>
          <w:rFonts w:ascii="Times" w:hAnsi="Times"/>
          <w:b/>
        </w:rPr>
        <w:t>3</w:t>
      </w:r>
      <w:r w:rsidR="001833C1">
        <w:rPr>
          <w:rFonts w:ascii="Times" w:hAnsi="Times"/>
          <w:b/>
        </w:rPr>
        <w:t>6</w:t>
      </w:r>
      <w:r w:rsidRPr="00FF6DF5">
        <w:rPr>
          <w:rFonts w:ascii="Times" w:hAnsi="Times"/>
          <w:b/>
        </w:rPr>
        <w:t xml:space="preserve">: </w:t>
      </w:r>
      <w:r w:rsidR="00B136B4">
        <w:rPr>
          <w:rFonts w:ascii="Times" w:hAnsi="Times"/>
          <w:b/>
        </w:rPr>
        <w:t xml:space="preserve">Distribution of resources </w:t>
      </w:r>
      <w:r w:rsidRPr="00FF6DF5">
        <w:rPr>
          <w:rFonts w:ascii="Times" w:hAnsi="Times"/>
          <w:b/>
        </w:rPr>
        <w:t xml:space="preserve">for </w:t>
      </w:r>
      <w:r w:rsidR="00B136B4">
        <w:rPr>
          <w:rFonts w:ascii="Times" w:hAnsi="Times"/>
          <w:b/>
        </w:rPr>
        <w:t xml:space="preserve">selected programs </w:t>
      </w:r>
      <w:r w:rsidR="00125805">
        <w:rPr>
          <w:rFonts w:ascii="Times" w:hAnsi="Times"/>
          <w:b/>
        </w:rPr>
        <w:t xml:space="preserve">that promote </w:t>
      </w:r>
      <w:r w:rsidR="00B136B4">
        <w:rPr>
          <w:rFonts w:ascii="Times" w:hAnsi="Times"/>
          <w:b/>
        </w:rPr>
        <w:t xml:space="preserve">firm innovation and </w:t>
      </w:r>
      <w:r>
        <w:rPr>
          <w:rFonts w:ascii="Times" w:hAnsi="Times"/>
          <w:b/>
        </w:rPr>
        <w:t xml:space="preserve">SME </w:t>
      </w:r>
      <w:r w:rsidR="00B136B4">
        <w:rPr>
          <w:rFonts w:ascii="Times" w:hAnsi="Times"/>
          <w:b/>
        </w:rPr>
        <w:t xml:space="preserve">development </w:t>
      </w:r>
      <w:r w:rsidRPr="00FF6DF5">
        <w:rPr>
          <w:rFonts w:ascii="Times" w:hAnsi="Times"/>
          <w:b/>
        </w:rPr>
        <w:t>in 2017</w:t>
      </w:r>
    </w:p>
    <w:p w14:paraId="2A7111C2" w14:textId="7300E22B" w:rsidR="00E47592" w:rsidRPr="00FF6DF5" w:rsidRDefault="005D3A98" w:rsidP="00974B6A">
      <w:pPr>
        <w:spacing w:after="240" w:line="240" w:lineRule="auto"/>
        <w:rPr>
          <w:rFonts w:ascii="Times" w:hAnsi="Times"/>
          <w:b/>
        </w:rPr>
      </w:pPr>
      <w:r w:rsidRPr="00A138B0">
        <w:rPr>
          <w:noProof/>
        </w:rPr>
        <w:drawing>
          <wp:inline distT="0" distB="0" distL="0" distR="0" wp14:anchorId="03F1817D" wp14:editId="6301413F">
            <wp:extent cx="5887915" cy="2800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007" t="13655" r="3996" b="8681"/>
                    <a:stretch/>
                  </pic:blipFill>
                  <pic:spPr bwMode="auto">
                    <a:xfrm>
                      <a:off x="0" y="0"/>
                      <a:ext cx="5888740" cy="2800742"/>
                    </a:xfrm>
                    <a:prstGeom prst="rect">
                      <a:avLst/>
                    </a:prstGeom>
                    <a:noFill/>
                    <a:ln>
                      <a:noFill/>
                    </a:ln>
                    <a:extLst>
                      <a:ext uri="{53640926-AAD7-44D8-BBD7-CCE9431645EC}">
                        <a14:shadowObscured xmlns:a14="http://schemas.microsoft.com/office/drawing/2010/main"/>
                      </a:ext>
                    </a:extLst>
                  </pic:spPr>
                </pic:pic>
              </a:graphicData>
            </a:graphic>
          </wp:inline>
        </w:drawing>
      </w:r>
    </w:p>
    <w:p w14:paraId="19B66558" w14:textId="77777777" w:rsidR="00974B6A" w:rsidRPr="00FF6DF5" w:rsidRDefault="00974B6A" w:rsidP="00974B6A">
      <w:pPr>
        <w:spacing w:after="240" w:line="240" w:lineRule="auto"/>
        <w:jc w:val="both"/>
        <w:rPr>
          <w:rFonts w:ascii="Times" w:hAnsi="Times"/>
        </w:rPr>
      </w:pPr>
      <w:r w:rsidRPr="00FF6DF5">
        <w:rPr>
          <w:rFonts w:ascii="Times" w:hAnsi="Times"/>
          <w:sz w:val="18"/>
          <w:szCs w:val="18"/>
        </w:rPr>
        <w:t xml:space="preserve">Source: Authors calculations based on various DTI and </w:t>
      </w:r>
      <w:proofErr w:type="spellStart"/>
      <w:r w:rsidRPr="00FF6DF5">
        <w:rPr>
          <w:rFonts w:ascii="Times" w:hAnsi="Times"/>
          <w:sz w:val="18"/>
          <w:szCs w:val="18"/>
        </w:rPr>
        <w:t>DoST</w:t>
      </w:r>
      <w:proofErr w:type="spellEnd"/>
      <w:r w:rsidRPr="00FF6DF5">
        <w:rPr>
          <w:rFonts w:ascii="Times" w:hAnsi="Times"/>
          <w:sz w:val="18"/>
          <w:szCs w:val="18"/>
        </w:rPr>
        <w:t xml:space="preserve"> sources, interviews with representatives of program management units, and implementing agencies.</w:t>
      </w:r>
    </w:p>
    <w:p w14:paraId="055AB365" w14:textId="6F0F09A4" w:rsidR="00974B6A" w:rsidRDefault="00974B6A" w:rsidP="00E47592">
      <w:pPr>
        <w:pStyle w:val="ListParagraph"/>
        <w:numPr>
          <w:ilvl w:val="0"/>
          <w:numId w:val="48"/>
        </w:numPr>
        <w:jc w:val="both"/>
        <w:rPr>
          <w:rFonts w:ascii="Times" w:hAnsi="Times"/>
        </w:rPr>
      </w:pPr>
      <w:r w:rsidRPr="00467830">
        <w:rPr>
          <w:rFonts w:ascii="Times" w:hAnsi="Times"/>
          <w:b/>
        </w:rPr>
        <w:t xml:space="preserve">The </w:t>
      </w:r>
      <w:r w:rsidR="002A6AA7" w:rsidRPr="00467830">
        <w:rPr>
          <w:rFonts w:ascii="Times" w:hAnsi="Times"/>
          <w:b/>
        </w:rPr>
        <w:t>largest share of funds in the portfolio of innovation and SME programs focused on generating jobs and skills (39.3%) and productivity growth (22.6%)</w:t>
      </w:r>
      <w:r w:rsidR="002A6AA7" w:rsidRPr="002A6AA7">
        <w:rPr>
          <w:rFonts w:ascii="Times" w:hAnsi="Times"/>
        </w:rPr>
        <w:t xml:space="preserve">, followed </w:t>
      </w:r>
      <w:r w:rsidR="00A656BB">
        <w:rPr>
          <w:rFonts w:ascii="Times" w:hAnsi="Times"/>
        </w:rPr>
        <w:t xml:space="preserve">by </w:t>
      </w:r>
      <w:r w:rsidR="002A6AA7" w:rsidRPr="002A6AA7">
        <w:rPr>
          <w:rFonts w:ascii="Times" w:hAnsi="Times"/>
        </w:rPr>
        <w:t>societal outcomes (17.6%). Knowledge generation, diversification and environmental outcomes ranked last with 16%, 4.1% and 0.5% respectively (Figure 3</w:t>
      </w:r>
      <w:r w:rsidR="001833C1">
        <w:rPr>
          <w:rFonts w:ascii="Times" w:hAnsi="Times"/>
        </w:rPr>
        <w:t>7</w:t>
      </w:r>
      <w:r w:rsidR="002A6AA7" w:rsidRPr="002A6AA7">
        <w:rPr>
          <w:rFonts w:ascii="Times" w:hAnsi="Times"/>
        </w:rPr>
        <w:t xml:space="preserve">). </w:t>
      </w:r>
      <w:proofErr w:type="spellStart"/>
      <w:r w:rsidR="002A6AA7" w:rsidRPr="002A6AA7">
        <w:rPr>
          <w:rFonts w:ascii="Times" w:hAnsi="Times"/>
        </w:rPr>
        <w:t>DoST</w:t>
      </w:r>
      <w:proofErr w:type="spellEnd"/>
      <w:r w:rsidR="002A6AA7" w:rsidRPr="002A6AA7">
        <w:rPr>
          <w:rFonts w:ascii="Times" w:hAnsi="Times"/>
        </w:rPr>
        <w:t xml:space="preserve"> and DTI presented similar patterns, but DTI focused proportionally more on economic diversification, and </w:t>
      </w:r>
      <w:proofErr w:type="spellStart"/>
      <w:r w:rsidR="002A6AA7" w:rsidRPr="002A6AA7">
        <w:rPr>
          <w:rFonts w:ascii="Times" w:hAnsi="Times"/>
        </w:rPr>
        <w:t>DoST</w:t>
      </w:r>
      <w:proofErr w:type="spellEnd"/>
      <w:r w:rsidR="002A6AA7" w:rsidRPr="002A6AA7">
        <w:rPr>
          <w:rFonts w:ascii="Times" w:hAnsi="Times"/>
        </w:rPr>
        <w:t xml:space="preserve"> in generating skills.</w:t>
      </w:r>
    </w:p>
    <w:p w14:paraId="4C633B9C" w14:textId="77777777" w:rsidR="00AE2517" w:rsidRDefault="00AE2517" w:rsidP="00974B6A">
      <w:pPr>
        <w:spacing w:after="240" w:line="240" w:lineRule="auto"/>
        <w:rPr>
          <w:rFonts w:ascii="Times" w:hAnsi="Times"/>
          <w:b/>
        </w:rPr>
      </w:pPr>
    </w:p>
    <w:p w14:paraId="1CA252A1" w14:textId="77777777" w:rsidR="00AE2517" w:rsidRDefault="00AE2517" w:rsidP="00974B6A">
      <w:pPr>
        <w:spacing w:after="240" w:line="240" w:lineRule="auto"/>
        <w:rPr>
          <w:rFonts w:ascii="Times" w:hAnsi="Times"/>
          <w:b/>
        </w:rPr>
      </w:pPr>
    </w:p>
    <w:p w14:paraId="73110E29" w14:textId="77777777" w:rsidR="00AE2517" w:rsidRDefault="00AE2517" w:rsidP="00974B6A">
      <w:pPr>
        <w:spacing w:after="240" w:line="240" w:lineRule="auto"/>
        <w:rPr>
          <w:rFonts w:ascii="Times" w:hAnsi="Times"/>
          <w:b/>
        </w:rPr>
      </w:pPr>
    </w:p>
    <w:p w14:paraId="29C72535" w14:textId="77777777" w:rsidR="00AE2517" w:rsidRDefault="00AE2517" w:rsidP="00974B6A">
      <w:pPr>
        <w:spacing w:after="240" w:line="240" w:lineRule="auto"/>
        <w:rPr>
          <w:rFonts w:ascii="Times" w:hAnsi="Times"/>
          <w:b/>
        </w:rPr>
      </w:pPr>
    </w:p>
    <w:p w14:paraId="7508C66D" w14:textId="77777777" w:rsidR="00AE2517" w:rsidRDefault="00AE2517" w:rsidP="00974B6A">
      <w:pPr>
        <w:spacing w:after="240" w:line="240" w:lineRule="auto"/>
        <w:rPr>
          <w:rFonts w:ascii="Times" w:hAnsi="Times"/>
          <w:b/>
        </w:rPr>
      </w:pPr>
    </w:p>
    <w:p w14:paraId="63894F00" w14:textId="77777777" w:rsidR="00AE2517" w:rsidRDefault="00AE2517" w:rsidP="00974B6A">
      <w:pPr>
        <w:spacing w:after="240" w:line="240" w:lineRule="auto"/>
        <w:rPr>
          <w:rFonts w:ascii="Times" w:hAnsi="Times"/>
          <w:b/>
        </w:rPr>
      </w:pPr>
    </w:p>
    <w:p w14:paraId="4F551896" w14:textId="77777777" w:rsidR="00AE2517" w:rsidRDefault="00AE2517" w:rsidP="00974B6A">
      <w:pPr>
        <w:spacing w:after="240" w:line="240" w:lineRule="auto"/>
        <w:rPr>
          <w:rFonts w:ascii="Times" w:hAnsi="Times"/>
          <w:b/>
        </w:rPr>
      </w:pPr>
    </w:p>
    <w:p w14:paraId="3A1CE87B" w14:textId="77777777" w:rsidR="00AE2517" w:rsidRDefault="00AE2517" w:rsidP="00974B6A">
      <w:pPr>
        <w:spacing w:after="240" w:line="240" w:lineRule="auto"/>
        <w:rPr>
          <w:rFonts w:ascii="Times" w:hAnsi="Times"/>
          <w:b/>
        </w:rPr>
      </w:pPr>
    </w:p>
    <w:p w14:paraId="4C281F21" w14:textId="77777777" w:rsidR="00AE2517" w:rsidRDefault="00AE2517" w:rsidP="00974B6A">
      <w:pPr>
        <w:spacing w:after="240" w:line="240" w:lineRule="auto"/>
        <w:rPr>
          <w:rFonts w:ascii="Times" w:hAnsi="Times"/>
          <w:b/>
        </w:rPr>
      </w:pPr>
    </w:p>
    <w:p w14:paraId="03A0D5AE" w14:textId="722CF399" w:rsidR="00974B6A" w:rsidRDefault="00974B6A" w:rsidP="00974B6A">
      <w:pPr>
        <w:spacing w:after="240" w:line="240" w:lineRule="auto"/>
        <w:rPr>
          <w:rFonts w:ascii="Times" w:hAnsi="Times"/>
          <w:b/>
        </w:rPr>
      </w:pPr>
      <w:r w:rsidRPr="00770818">
        <w:rPr>
          <w:rFonts w:ascii="Times" w:hAnsi="Times"/>
          <w:b/>
        </w:rPr>
        <w:t xml:space="preserve">Figure </w:t>
      </w:r>
      <w:r w:rsidR="002C3405">
        <w:rPr>
          <w:rFonts w:ascii="Times" w:hAnsi="Times"/>
          <w:b/>
        </w:rPr>
        <w:t>3</w:t>
      </w:r>
      <w:r w:rsidR="001833C1">
        <w:rPr>
          <w:rFonts w:ascii="Times" w:hAnsi="Times"/>
          <w:b/>
        </w:rPr>
        <w:t>7</w:t>
      </w:r>
      <w:r w:rsidRPr="00770818">
        <w:rPr>
          <w:rFonts w:ascii="Times" w:hAnsi="Times"/>
          <w:b/>
        </w:rPr>
        <w:t xml:space="preserve">: Distribution </w:t>
      </w:r>
      <w:r w:rsidR="00125805">
        <w:rPr>
          <w:rFonts w:ascii="Times" w:hAnsi="Times"/>
          <w:b/>
        </w:rPr>
        <w:t xml:space="preserve">of resources allocated </w:t>
      </w:r>
      <w:r w:rsidR="00E279CE">
        <w:rPr>
          <w:rFonts w:ascii="Times" w:hAnsi="Times"/>
          <w:b/>
        </w:rPr>
        <w:t xml:space="preserve">to </w:t>
      </w:r>
      <w:r w:rsidR="00125805">
        <w:rPr>
          <w:rFonts w:ascii="Times" w:hAnsi="Times"/>
          <w:b/>
        </w:rPr>
        <w:t xml:space="preserve">firm innovation and SME development programs by outcomes in 2017 </w:t>
      </w:r>
    </w:p>
    <w:p w14:paraId="4C32193A" w14:textId="1B43663C" w:rsidR="00974B6A" w:rsidRPr="00CA4790" w:rsidRDefault="00B32AF4" w:rsidP="00974B6A">
      <w:pPr>
        <w:spacing w:after="240" w:line="240" w:lineRule="auto"/>
        <w:rPr>
          <w:rFonts w:ascii="Times" w:hAnsi="Times"/>
          <w:b/>
        </w:rPr>
      </w:pPr>
      <w:r w:rsidRPr="007D4651">
        <w:rPr>
          <w:noProof/>
          <w:highlight w:val="yellow"/>
        </w:rPr>
        <w:drawing>
          <wp:inline distT="0" distB="0" distL="0" distR="0" wp14:anchorId="71CDBD46" wp14:editId="32CC7FB8">
            <wp:extent cx="5887720" cy="267716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7052" t="14223" r="5598" b="9534"/>
                    <a:stretch/>
                  </pic:blipFill>
                  <pic:spPr bwMode="auto">
                    <a:xfrm>
                      <a:off x="0" y="0"/>
                      <a:ext cx="5894966" cy="2680455"/>
                    </a:xfrm>
                    <a:prstGeom prst="rect">
                      <a:avLst/>
                    </a:prstGeom>
                    <a:noFill/>
                    <a:ln>
                      <a:noFill/>
                    </a:ln>
                    <a:extLst>
                      <a:ext uri="{53640926-AAD7-44D8-BBD7-CCE9431645EC}">
                        <a14:shadowObscured xmlns:a14="http://schemas.microsoft.com/office/drawing/2010/main"/>
                      </a:ext>
                    </a:extLst>
                  </pic:spPr>
                </pic:pic>
              </a:graphicData>
            </a:graphic>
          </wp:inline>
        </w:drawing>
      </w:r>
      <w:r w:rsidR="00974B6A" w:rsidRPr="00CA4790">
        <w:rPr>
          <w:rFonts w:ascii="Times" w:hAnsi="Times"/>
          <w:sz w:val="16"/>
          <w:szCs w:val="16"/>
        </w:rPr>
        <w:t xml:space="preserve">Source: Authors calculations based on various DTI and </w:t>
      </w:r>
      <w:proofErr w:type="spellStart"/>
      <w:r w:rsidR="00974B6A" w:rsidRPr="00CA4790">
        <w:rPr>
          <w:rFonts w:ascii="Times" w:hAnsi="Times"/>
          <w:sz w:val="16"/>
          <w:szCs w:val="16"/>
        </w:rPr>
        <w:t>DoST</w:t>
      </w:r>
      <w:proofErr w:type="spellEnd"/>
      <w:r w:rsidR="00974B6A" w:rsidRPr="00CA4790">
        <w:rPr>
          <w:rFonts w:ascii="Times" w:hAnsi="Times"/>
          <w:sz w:val="16"/>
          <w:szCs w:val="16"/>
        </w:rPr>
        <w:t xml:space="preserve"> sources, interviews with representatives of program management units, and implementing agencies.</w:t>
      </w:r>
    </w:p>
    <w:p w14:paraId="38FE9592" w14:textId="0EB1A6DC" w:rsidR="00974B6A" w:rsidRDefault="00974B6A" w:rsidP="00AF0101">
      <w:pPr>
        <w:pStyle w:val="ListParagraph"/>
        <w:numPr>
          <w:ilvl w:val="0"/>
          <w:numId w:val="48"/>
        </w:numPr>
        <w:jc w:val="both"/>
        <w:rPr>
          <w:rFonts w:ascii="Times" w:hAnsi="Times"/>
        </w:rPr>
      </w:pPr>
      <w:proofErr w:type="spellStart"/>
      <w:r w:rsidRPr="00467830">
        <w:rPr>
          <w:rFonts w:ascii="Times" w:hAnsi="Times"/>
          <w:b/>
        </w:rPr>
        <w:t>DoST</w:t>
      </w:r>
      <w:proofErr w:type="spellEnd"/>
      <w:r w:rsidRPr="00467830">
        <w:rPr>
          <w:rFonts w:ascii="Times" w:hAnsi="Times"/>
          <w:b/>
        </w:rPr>
        <w:t xml:space="preserve"> spending remained highly concentrated on development of skills, building human capital and research, while DTI showed more balanced spending across building firm capability, providing credit and enabling market expansion</w:t>
      </w:r>
      <w:r>
        <w:rPr>
          <w:rFonts w:ascii="Times" w:hAnsi="Times"/>
        </w:rPr>
        <w:t>. T</w:t>
      </w:r>
      <w:r w:rsidRPr="00FF6DF5">
        <w:rPr>
          <w:rFonts w:ascii="Times" w:hAnsi="Times"/>
        </w:rPr>
        <w:t xml:space="preserve">he </w:t>
      </w:r>
      <w:r>
        <w:rPr>
          <w:rFonts w:ascii="Times" w:hAnsi="Times"/>
        </w:rPr>
        <w:t xml:space="preserve">analysis of financial priority by goals, shows a more detailed </w:t>
      </w:r>
      <w:r w:rsidRPr="00FF6DF5">
        <w:rPr>
          <w:rFonts w:ascii="Times" w:hAnsi="Times"/>
        </w:rPr>
        <w:t>pattern of financial resource allocation in the portfolio</w:t>
      </w:r>
      <w:r w:rsidR="009350AB">
        <w:rPr>
          <w:rFonts w:ascii="Times" w:hAnsi="Times"/>
        </w:rPr>
        <w:t xml:space="preserve"> (Figure 3</w:t>
      </w:r>
      <w:r w:rsidR="001833C1">
        <w:rPr>
          <w:rFonts w:ascii="Times" w:hAnsi="Times"/>
        </w:rPr>
        <w:t>8</w:t>
      </w:r>
      <w:r w:rsidR="009350AB">
        <w:rPr>
          <w:rFonts w:ascii="Times" w:hAnsi="Times"/>
        </w:rPr>
        <w:t>)</w:t>
      </w:r>
      <w:r>
        <w:rPr>
          <w:rFonts w:ascii="Times" w:hAnsi="Times"/>
        </w:rPr>
        <w:t xml:space="preserve">. </w:t>
      </w:r>
      <w:r w:rsidRPr="00FF6DF5">
        <w:rPr>
          <w:rFonts w:ascii="Times" w:hAnsi="Times"/>
        </w:rPr>
        <w:t xml:space="preserve"> </w:t>
      </w:r>
    </w:p>
    <w:p w14:paraId="19BCD12A" w14:textId="4BABC069" w:rsidR="00974B6A" w:rsidRDefault="00974B6A" w:rsidP="00974B6A">
      <w:pPr>
        <w:spacing w:after="240" w:line="240" w:lineRule="auto"/>
        <w:rPr>
          <w:rFonts w:ascii="Times" w:hAnsi="Times"/>
          <w:b/>
        </w:rPr>
      </w:pPr>
      <w:r w:rsidRPr="00770818">
        <w:rPr>
          <w:rFonts w:ascii="Times" w:hAnsi="Times"/>
          <w:b/>
        </w:rPr>
        <w:t xml:space="preserve">Figure </w:t>
      </w:r>
      <w:r w:rsidR="002C3405">
        <w:rPr>
          <w:rFonts w:ascii="Times" w:hAnsi="Times"/>
          <w:b/>
        </w:rPr>
        <w:t>3</w:t>
      </w:r>
      <w:r w:rsidR="001833C1">
        <w:rPr>
          <w:rFonts w:ascii="Times" w:hAnsi="Times"/>
          <w:b/>
        </w:rPr>
        <w:t>8</w:t>
      </w:r>
      <w:r w:rsidRPr="00770818">
        <w:rPr>
          <w:rFonts w:ascii="Times" w:hAnsi="Times"/>
          <w:b/>
        </w:rPr>
        <w:t xml:space="preserve">: </w:t>
      </w:r>
      <w:r w:rsidR="00F96205" w:rsidRPr="00770818">
        <w:rPr>
          <w:rFonts w:ascii="Times" w:hAnsi="Times"/>
          <w:b/>
        </w:rPr>
        <w:t xml:space="preserve">Distribution </w:t>
      </w:r>
      <w:r w:rsidR="00F96205">
        <w:rPr>
          <w:rFonts w:ascii="Times" w:hAnsi="Times"/>
          <w:b/>
        </w:rPr>
        <w:t xml:space="preserve">of resources allocated </w:t>
      </w:r>
      <w:r w:rsidR="00E279CE">
        <w:rPr>
          <w:rFonts w:ascii="Times" w:hAnsi="Times"/>
          <w:b/>
        </w:rPr>
        <w:t xml:space="preserve">to </w:t>
      </w:r>
      <w:r w:rsidR="00F96205">
        <w:rPr>
          <w:rFonts w:ascii="Times" w:hAnsi="Times"/>
          <w:b/>
        </w:rPr>
        <w:t xml:space="preserve">firm innovation and SME development programs by objectives in 2017 </w:t>
      </w:r>
    </w:p>
    <w:p w14:paraId="5E33731B" w14:textId="7D90A444" w:rsidR="00230A74" w:rsidRPr="00FF6DF5" w:rsidRDefault="00D631ED" w:rsidP="00974B6A">
      <w:pPr>
        <w:spacing w:after="240" w:line="240" w:lineRule="auto"/>
        <w:rPr>
          <w:rFonts w:ascii="Times" w:hAnsi="Times"/>
        </w:rPr>
      </w:pPr>
      <w:r w:rsidRPr="007D4651">
        <w:rPr>
          <w:noProof/>
          <w:highlight w:val="yellow"/>
        </w:rPr>
        <w:drawing>
          <wp:inline distT="0" distB="0" distL="0" distR="0" wp14:anchorId="30FAC4AF" wp14:editId="1F582A58">
            <wp:extent cx="5933440" cy="286688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129" t="14893" r="5760" b="8680"/>
                    <a:stretch/>
                  </pic:blipFill>
                  <pic:spPr bwMode="auto">
                    <a:xfrm>
                      <a:off x="0" y="0"/>
                      <a:ext cx="5937570" cy="2868880"/>
                    </a:xfrm>
                    <a:prstGeom prst="rect">
                      <a:avLst/>
                    </a:prstGeom>
                    <a:noFill/>
                    <a:ln>
                      <a:noFill/>
                    </a:ln>
                    <a:extLst>
                      <a:ext uri="{53640926-AAD7-44D8-BBD7-CCE9431645EC}">
                        <a14:shadowObscured xmlns:a14="http://schemas.microsoft.com/office/drawing/2010/main"/>
                      </a:ext>
                    </a:extLst>
                  </pic:spPr>
                </pic:pic>
              </a:graphicData>
            </a:graphic>
          </wp:inline>
        </w:drawing>
      </w:r>
    </w:p>
    <w:p w14:paraId="7BB10AE7" w14:textId="77777777" w:rsidR="00974B6A" w:rsidRPr="00FF6DF5" w:rsidRDefault="00974B6A" w:rsidP="00974B6A">
      <w:pPr>
        <w:spacing w:after="240" w:line="240" w:lineRule="auto"/>
        <w:jc w:val="both"/>
        <w:rPr>
          <w:rFonts w:ascii="Times" w:hAnsi="Times"/>
        </w:rPr>
      </w:pPr>
      <w:r w:rsidRPr="00FF6DF5">
        <w:rPr>
          <w:rFonts w:ascii="Times" w:hAnsi="Times"/>
          <w:sz w:val="18"/>
          <w:szCs w:val="18"/>
        </w:rPr>
        <w:t xml:space="preserve">Source: Authors calculations based on various DTI and </w:t>
      </w:r>
      <w:proofErr w:type="spellStart"/>
      <w:r w:rsidRPr="00FF6DF5">
        <w:rPr>
          <w:rFonts w:ascii="Times" w:hAnsi="Times"/>
          <w:sz w:val="18"/>
          <w:szCs w:val="18"/>
        </w:rPr>
        <w:t>DoST</w:t>
      </w:r>
      <w:proofErr w:type="spellEnd"/>
      <w:r w:rsidRPr="00FF6DF5">
        <w:rPr>
          <w:rFonts w:ascii="Times" w:hAnsi="Times"/>
          <w:sz w:val="18"/>
          <w:szCs w:val="18"/>
        </w:rPr>
        <w:t xml:space="preserve"> sources, interviews with representatives of program management units, and implementing agencies.</w:t>
      </w:r>
    </w:p>
    <w:p w14:paraId="51FC272B" w14:textId="75E8C299" w:rsidR="00974B6A" w:rsidRDefault="00974B6A" w:rsidP="00230A74">
      <w:pPr>
        <w:pStyle w:val="ListParagraph"/>
        <w:numPr>
          <w:ilvl w:val="0"/>
          <w:numId w:val="48"/>
        </w:numPr>
        <w:jc w:val="both"/>
        <w:rPr>
          <w:rFonts w:ascii="Times" w:hAnsi="Times"/>
        </w:rPr>
      </w:pPr>
      <w:r w:rsidRPr="00467830">
        <w:rPr>
          <w:rFonts w:ascii="Times" w:hAnsi="Times"/>
          <w:b/>
        </w:rPr>
        <w:t xml:space="preserve">It </w:t>
      </w:r>
      <w:r w:rsidR="007F1C0F" w:rsidRPr="00467830">
        <w:rPr>
          <w:rFonts w:ascii="Times" w:hAnsi="Times"/>
          <w:b/>
        </w:rPr>
        <w:t xml:space="preserve">is worth noting that the allocation of funding for skills was driven by </w:t>
      </w:r>
      <w:proofErr w:type="spellStart"/>
      <w:r w:rsidR="007F1C0F" w:rsidRPr="00467830">
        <w:rPr>
          <w:rFonts w:ascii="Times" w:hAnsi="Times"/>
          <w:b/>
        </w:rPr>
        <w:t>DoST</w:t>
      </w:r>
      <w:proofErr w:type="spellEnd"/>
      <w:r w:rsidR="007F1C0F" w:rsidRPr="00467830">
        <w:rPr>
          <w:rFonts w:ascii="Times" w:hAnsi="Times"/>
          <w:b/>
        </w:rPr>
        <w:t>, and by its Science and Technology Scholarship programs</w:t>
      </w:r>
      <w:r w:rsidR="007F1C0F" w:rsidRPr="007F1C0F">
        <w:rPr>
          <w:rFonts w:ascii="Times" w:hAnsi="Times"/>
        </w:rPr>
        <w:t xml:space="preserve">. </w:t>
      </w:r>
      <w:proofErr w:type="spellStart"/>
      <w:r w:rsidR="007F1C0F" w:rsidRPr="007F1C0F">
        <w:rPr>
          <w:rFonts w:ascii="Times" w:hAnsi="Times"/>
        </w:rPr>
        <w:t>DoST</w:t>
      </w:r>
      <w:proofErr w:type="spellEnd"/>
      <w:r w:rsidR="007F1C0F" w:rsidRPr="007F1C0F">
        <w:rPr>
          <w:rFonts w:ascii="Times" w:hAnsi="Times"/>
        </w:rPr>
        <w:t xml:space="preserve"> showed a high concentration of funding on the skills formation goal. When looking at DTI, the goals sought were more evenly distributed among 5 different categories, which included managerial practices, entrepreneurship, access to finance, formation of skills and export promotion (Figure 36). It is worth noting, innovation and R&amp;D based innovation received relatively little funding, totaling about 4.8% of the value of the portfolio.</w:t>
      </w:r>
    </w:p>
    <w:p w14:paraId="16D0FB85" w14:textId="77777777" w:rsidR="007F1C0F" w:rsidRDefault="007F1C0F" w:rsidP="00D631ED">
      <w:pPr>
        <w:pStyle w:val="ListParagraph"/>
        <w:ind w:left="360"/>
        <w:jc w:val="both"/>
        <w:rPr>
          <w:rFonts w:ascii="Times" w:hAnsi="Times"/>
        </w:rPr>
      </w:pPr>
    </w:p>
    <w:p w14:paraId="11BEDB8F" w14:textId="403C89D1" w:rsidR="00CA4790" w:rsidRPr="00AE2517" w:rsidRDefault="00974B6A" w:rsidP="00CA4790">
      <w:pPr>
        <w:pStyle w:val="ListParagraph"/>
        <w:numPr>
          <w:ilvl w:val="0"/>
          <w:numId w:val="48"/>
        </w:numPr>
        <w:jc w:val="both"/>
        <w:rPr>
          <w:rFonts w:ascii="Times" w:hAnsi="Times"/>
        </w:rPr>
      </w:pPr>
      <w:r w:rsidRPr="00FF6DF5">
        <w:rPr>
          <w:rFonts w:ascii="Times" w:hAnsi="Times"/>
        </w:rPr>
        <w:t xml:space="preserve">Zooming into the use of </w:t>
      </w:r>
      <w:r>
        <w:rPr>
          <w:rFonts w:ascii="Times" w:hAnsi="Times"/>
        </w:rPr>
        <w:t>supporting mechanisms</w:t>
      </w:r>
      <w:r w:rsidRPr="00FF6DF5">
        <w:rPr>
          <w:rFonts w:ascii="Times" w:hAnsi="Times"/>
        </w:rPr>
        <w:t xml:space="preserve">, the patterns of funding suggests that </w:t>
      </w:r>
      <w:r>
        <w:rPr>
          <w:rFonts w:ascii="Times" w:hAnsi="Times"/>
        </w:rPr>
        <w:t xml:space="preserve">firm innovation and </w:t>
      </w:r>
      <w:r w:rsidRPr="00FF6DF5">
        <w:rPr>
          <w:rFonts w:ascii="Times" w:hAnsi="Times"/>
        </w:rPr>
        <w:t xml:space="preserve">SME programs relied mostly on </w:t>
      </w:r>
      <w:r>
        <w:rPr>
          <w:rFonts w:ascii="Times" w:hAnsi="Times"/>
        </w:rPr>
        <w:t xml:space="preserve">scholarships, followed by provision of loans and credit </w:t>
      </w:r>
      <w:r w:rsidRPr="00FF6DF5">
        <w:rPr>
          <w:rFonts w:ascii="Times" w:hAnsi="Times"/>
        </w:rPr>
        <w:t xml:space="preserve">(Figure </w:t>
      </w:r>
      <w:r w:rsidR="00CE231F">
        <w:rPr>
          <w:rFonts w:ascii="Times" w:hAnsi="Times"/>
        </w:rPr>
        <w:t>3</w:t>
      </w:r>
      <w:r w:rsidR="007E54A3">
        <w:rPr>
          <w:rFonts w:ascii="Times" w:hAnsi="Times"/>
        </w:rPr>
        <w:t>9</w:t>
      </w:r>
      <w:r w:rsidRPr="00FF6DF5">
        <w:rPr>
          <w:rFonts w:ascii="Times" w:hAnsi="Times"/>
        </w:rPr>
        <w:t xml:space="preserve">). The pattern of instruments differs across agencies, with DOST relying more on </w:t>
      </w:r>
      <w:r>
        <w:rPr>
          <w:rFonts w:ascii="Times" w:hAnsi="Times"/>
        </w:rPr>
        <w:t>scholarship grants, and the DTI relying more on credit for SME and innovation</w:t>
      </w:r>
      <w:r w:rsidRPr="00FF6DF5">
        <w:rPr>
          <w:rFonts w:ascii="Times" w:hAnsi="Times"/>
        </w:rPr>
        <w:t>.</w:t>
      </w:r>
    </w:p>
    <w:p w14:paraId="62083477" w14:textId="7CF3D6B0" w:rsidR="00974B6A" w:rsidRDefault="00974B6A" w:rsidP="002C3405">
      <w:pPr>
        <w:rPr>
          <w:rFonts w:ascii="Times" w:hAnsi="Times"/>
          <w:b/>
        </w:rPr>
      </w:pPr>
      <w:r w:rsidRPr="00FF6DF5">
        <w:rPr>
          <w:rFonts w:ascii="Times" w:hAnsi="Times"/>
          <w:b/>
        </w:rPr>
        <w:t xml:space="preserve">Figure </w:t>
      </w:r>
      <w:r w:rsidR="002C3405">
        <w:rPr>
          <w:rFonts w:ascii="Times" w:hAnsi="Times"/>
          <w:b/>
        </w:rPr>
        <w:t>3</w:t>
      </w:r>
      <w:r w:rsidR="007E54A3">
        <w:rPr>
          <w:rFonts w:ascii="Times" w:hAnsi="Times"/>
          <w:b/>
        </w:rPr>
        <w:t>9</w:t>
      </w:r>
      <w:r w:rsidRPr="00FF6DF5">
        <w:rPr>
          <w:rFonts w:ascii="Times" w:hAnsi="Times"/>
          <w:b/>
        </w:rPr>
        <w:t xml:space="preserve">: </w:t>
      </w:r>
      <w:r w:rsidR="00F96205" w:rsidRPr="00770818">
        <w:rPr>
          <w:rFonts w:ascii="Times" w:hAnsi="Times"/>
          <w:b/>
        </w:rPr>
        <w:t xml:space="preserve">Distribution </w:t>
      </w:r>
      <w:r w:rsidR="00F96205">
        <w:rPr>
          <w:rFonts w:ascii="Times" w:hAnsi="Times"/>
          <w:b/>
        </w:rPr>
        <w:t xml:space="preserve">of resources allocated </w:t>
      </w:r>
      <w:r w:rsidR="00E279CE">
        <w:rPr>
          <w:rFonts w:ascii="Times" w:hAnsi="Times"/>
          <w:b/>
        </w:rPr>
        <w:t xml:space="preserve">to </w:t>
      </w:r>
      <w:r w:rsidR="00F96205">
        <w:rPr>
          <w:rFonts w:ascii="Times" w:hAnsi="Times"/>
          <w:b/>
        </w:rPr>
        <w:t>firm</w:t>
      </w:r>
      <w:r w:rsidR="00E279CE">
        <w:rPr>
          <w:rFonts w:ascii="Times" w:hAnsi="Times"/>
          <w:b/>
        </w:rPr>
        <w:t>-</w:t>
      </w:r>
      <w:r w:rsidR="00F96205">
        <w:rPr>
          <w:rFonts w:ascii="Times" w:hAnsi="Times"/>
          <w:b/>
        </w:rPr>
        <w:t>innovation and SME development programs by supporting mechanisms in 2017</w:t>
      </w:r>
    </w:p>
    <w:p w14:paraId="79F8E1FB" w14:textId="7CC17158" w:rsidR="00E91668" w:rsidRDefault="00E91668" w:rsidP="002C3405">
      <w:pPr>
        <w:rPr>
          <w:rFonts w:ascii="Times" w:hAnsi="Times"/>
          <w:b/>
        </w:rPr>
      </w:pPr>
      <w:r w:rsidRPr="00E91668">
        <w:rPr>
          <w:noProof/>
        </w:rPr>
        <w:drawing>
          <wp:inline distT="0" distB="0" distL="0" distR="0" wp14:anchorId="2C6D7FF1" wp14:editId="58FF01E1">
            <wp:extent cx="6065663" cy="33783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14603" b="15700"/>
                    <a:stretch/>
                  </pic:blipFill>
                  <pic:spPr bwMode="auto">
                    <a:xfrm>
                      <a:off x="0" y="0"/>
                      <a:ext cx="6081688" cy="3387320"/>
                    </a:xfrm>
                    <a:prstGeom prst="rect">
                      <a:avLst/>
                    </a:prstGeom>
                    <a:noFill/>
                    <a:ln>
                      <a:noFill/>
                    </a:ln>
                    <a:extLst>
                      <a:ext uri="{53640926-AAD7-44D8-BBD7-CCE9431645EC}">
                        <a14:shadowObscured xmlns:a14="http://schemas.microsoft.com/office/drawing/2010/main"/>
                      </a:ext>
                    </a:extLst>
                  </pic:spPr>
                </pic:pic>
              </a:graphicData>
            </a:graphic>
          </wp:inline>
        </w:drawing>
      </w:r>
    </w:p>
    <w:p w14:paraId="574B9C77" w14:textId="470C30CF" w:rsidR="00974B6A" w:rsidRDefault="00974B6A" w:rsidP="002613DA">
      <w:pPr>
        <w:spacing w:after="240" w:line="240" w:lineRule="auto"/>
        <w:rPr>
          <w:rFonts w:ascii="Times" w:hAnsi="Times"/>
          <w:sz w:val="18"/>
          <w:szCs w:val="18"/>
        </w:rPr>
      </w:pPr>
      <w:r w:rsidRPr="00FF6DF5">
        <w:rPr>
          <w:rFonts w:ascii="Times" w:hAnsi="Times"/>
          <w:sz w:val="18"/>
          <w:szCs w:val="18"/>
        </w:rPr>
        <w:t xml:space="preserve">Source: Authors calculations based on various DTI and </w:t>
      </w:r>
      <w:proofErr w:type="spellStart"/>
      <w:r w:rsidRPr="00FF6DF5">
        <w:rPr>
          <w:rFonts w:ascii="Times" w:hAnsi="Times"/>
          <w:sz w:val="18"/>
          <w:szCs w:val="18"/>
        </w:rPr>
        <w:t>DoST</w:t>
      </w:r>
      <w:proofErr w:type="spellEnd"/>
      <w:r w:rsidRPr="00FF6DF5">
        <w:rPr>
          <w:rFonts w:ascii="Times" w:hAnsi="Times"/>
          <w:sz w:val="18"/>
          <w:szCs w:val="18"/>
        </w:rPr>
        <w:t xml:space="preserve"> sources, interviews with representatives of program management </w:t>
      </w:r>
      <w:r w:rsidRPr="009A7CA7">
        <w:rPr>
          <w:rFonts w:ascii="Times" w:hAnsi="Times"/>
          <w:sz w:val="18"/>
          <w:szCs w:val="18"/>
        </w:rPr>
        <w:t>units, and implementing agencies.</w:t>
      </w:r>
    </w:p>
    <w:p w14:paraId="39B943E0" w14:textId="77777777" w:rsidR="00CA4790" w:rsidRPr="009A7CA7" w:rsidRDefault="00CA4790" w:rsidP="00974B6A">
      <w:pPr>
        <w:spacing w:after="240" w:line="240" w:lineRule="auto"/>
        <w:jc w:val="both"/>
        <w:rPr>
          <w:rFonts w:ascii="Times" w:hAnsi="Times"/>
          <w:sz w:val="18"/>
          <w:szCs w:val="18"/>
        </w:rPr>
      </w:pPr>
    </w:p>
    <w:p w14:paraId="0ABE778C" w14:textId="0FDCBB55" w:rsidR="00974B6A" w:rsidRPr="00F82B2B" w:rsidRDefault="00974B6A" w:rsidP="00772B62">
      <w:pPr>
        <w:pStyle w:val="ListParagraph"/>
        <w:numPr>
          <w:ilvl w:val="0"/>
          <w:numId w:val="48"/>
        </w:numPr>
        <w:jc w:val="both"/>
        <w:rPr>
          <w:rFonts w:ascii="Times" w:hAnsi="Times"/>
        </w:rPr>
      </w:pPr>
      <w:r w:rsidRPr="002613DA">
        <w:rPr>
          <w:rFonts w:ascii="Times" w:hAnsi="Times"/>
          <w:b/>
        </w:rPr>
        <w:t xml:space="preserve">The </w:t>
      </w:r>
      <w:r w:rsidR="00422650" w:rsidRPr="002613DA">
        <w:rPr>
          <w:rFonts w:ascii="Times" w:hAnsi="Times"/>
          <w:b/>
        </w:rPr>
        <w:t xml:space="preserve">prioritization of beneficiaries indicates that the STI programs focused on the participation of universities, which represented 27.7% of the value of the programs in 2017 (Figure </w:t>
      </w:r>
      <w:r w:rsidR="007E54A3">
        <w:rPr>
          <w:rFonts w:ascii="Times" w:hAnsi="Times"/>
          <w:b/>
        </w:rPr>
        <w:t>40</w:t>
      </w:r>
      <w:r w:rsidR="00422650" w:rsidRPr="002613DA">
        <w:rPr>
          <w:rFonts w:ascii="Times" w:hAnsi="Times"/>
          <w:b/>
        </w:rPr>
        <w:t>)</w:t>
      </w:r>
      <w:r w:rsidR="00422650" w:rsidRPr="00422650">
        <w:rPr>
          <w:rFonts w:ascii="Times" w:hAnsi="Times"/>
        </w:rPr>
        <w:t xml:space="preserve">. Other beneficiaries included women entrepreneurs (21.9%), formal firms (17.5%) and individuals (16.5%). </w:t>
      </w:r>
      <w:proofErr w:type="spellStart"/>
      <w:r w:rsidR="00422650" w:rsidRPr="00422650">
        <w:rPr>
          <w:rFonts w:ascii="Times" w:hAnsi="Times"/>
        </w:rPr>
        <w:t>DoST</w:t>
      </w:r>
      <w:proofErr w:type="spellEnd"/>
      <w:r w:rsidR="00422650" w:rsidRPr="00422650">
        <w:rPr>
          <w:rFonts w:ascii="Times" w:hAnsi="Times"/>
        </w:rPr>
        <w:t xml:space="preserve"> focused in attracting universities, women entrepreneurs, and individuals. DTI by contrast showed a relatively more balanced set of beneficiaries, extending the target of programs from formal firms (26.3%) to include individuals (24.1%), and cooperatives (7.1%).</w:t>
      </w:r>
    </w:p>
    <w:p w14:paraId="77CB4553" w14:textId="77777777" w:rsidR="00F62E84" w:rsidRDefault="00F62E84" w:rsidP="002C3405">
      <w:pPr>
        <w:spacing w:after="240" w:line="240" w:lineRule="auto"/>
        <w:rPr>
          <w:rFonts w:ascii="Times" w:hAnsi="Times"/>
          <w:b/>
        </w:rPr>
      </w:pPr>
    </w:p>
    <w:p w14:paraId="4B798675" w14:textId="3F896AC2" w:rsidR="00974B6A" w:rsidRPr="00F62E84" w:rsidRDefault="00974B6A" w:rsidP="002C3405">
      <w:pPr>
        <w:spacing w:after="240" w:line="240" w:lineRule="auto"/>
        <w:rPr>
          <w:rFonts w:ascii="Times" w:hAnsi="Times"/>
          <w:b/>
          <w:sz w:val="20"/>
          <w:szCs w:val="20"/>
        </w:rPr>
      </w:pPr>
      <w:r w:rsidRPr="00F62E84">
        <w:rPr>
          <w:rFonts w:ascii="Times" w:hAnsi="Times"/>
          <w:b/>
          <w:sz w:val="20"/>
          <w:szCs w:val="20"/>
        </w:rPr>
        <w:t xml:space="preserve">Figure </w:t>
      </w:r>
      <w:r w:rsidR="007E54A3">
        <w:rPr>
          <w:rFonts w:ascii="Times" w:hAnsi="Times"/>
          <w:b/>
          <w:sz w:val="20"/>
          <w:szCs w:val="20"/>
        </w:rPr>
        <w:t>40</w:t>
      </w:r>
      <w:r w:rsidRPr="00F62E84">
        <w:rPr>
          <w:rFonts w:ascii="Times" w:hAnsi="Times"/>
          <w:b/>
          <w:sz w:val="20"/>
          <w:szCs w:val="20"/>
        </w:rPr>
        <w:t xml:space="preserve">: </w:t>
      </w:r>
      <w:r w:rsidR="00F96205" w:rsidRPr="00F62E84">
        <w:rPr>
          <w:rFonts w:ascii="Times" w:hAnsi="Times"/>
          <w:b/>
          <w:sz w:val="20"/>
          <w:szCs w:val="20"/>
        </w:rPr>
        <w:t xml:space="preserve">Distribution of resources allocated </w:t>
      </w:r>
      <w:r w:rsidR="00E279CE" w:rsidRPr="00F62E84">
        <w:rPr>
          <w:rFonts w:ascii="Times" w:hAnsi="Times"/>
          <w:b/>
          <w:sz w:val="20"/>
          <w:szCs w:val="20"/>
        </w:rPr>
        <w:t xml:space="preserve">to </w:t>
      </w:r>
      <w:r w:rsidR="00F96205" w:rsidRPr="00F62E84">
        <w:rPr>
          <w:rFonts w:ascii="Times" w:hAnsi="Times"/>
          <w:b/>
          <w:sz w:val="20"/>
          <w:szCs w:val="20"/>
        </w:rPr>
        <w:t xml:space="preserve">firm innovation and SME development programs by beneficiaries in 2017 </w:t>
      </w:r>
    </w:p>
    <w:p w14:paraId="342DA401" w14:textId="55F99733" w:rsidR="00C66802" w:rsidRDefault="00C66802" w:rsidP="002C3405">
      <w:pPr>
        <w:spacing w:after="240" w:line="240" w:lineRule="auto"/>
        <w:rPr>
          <w:rFonts w:ascii="Times" w:hAnsi="Times"/>
          <w:b/>
        </w:rPr>
      </w:pPr>
      <w:r w:rsidRPr="00BD4C7A">
        <w:rPr>
          <w:rFonts w:ascii="Times" w:hAnsi="Times"/>
          <w:noProof/>
          <w:highlight w:val="yellow"/>
        </w:rPr>
        <w:drawing>
          <wp:inline distT="0" distB="0" distL="0" distR="0" wp14:anchorId="632A5B63" wp14:editId="4D82EF9E">
            <wp:extent cx="5727163" cy="2444750"/>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14246" r="13943" b="10540"/>
                    <a:stretch/>
                  </pic:blipFill>
                  <pic:spPr bwMode="auto">
                    <a:xfrm>
                      <a:off x="0" y="0"/>
                      <a:ext cx="5795594" cy="2473961"/>
                    </a:xfrm>
                    <a:prstGeom prst="rect">
                      <a:avLst/>
                    </a:prstGeom>
                    <a:ln>
                      <a:noFill/>
                    </a:ln>
                    <a:extLst>
                      <a:ext uri="{53640926-AAD7-44D8-BBD7-CCE9431645EC}">
                        <a14:shadowObscured xmlns:a14="http://schemas.microsoft.com/office/drawing/2010/main"/>
                      </a:ext>
                    </a:extLst>
                  </pic:spPr>
                </pic:pic>
              </a:graphicData>
            </a:graphic>
          </wp:inline>
        </w:drawing>
      </w:r>
    </w:p>
    <w:p w14:paraId="24ACE815" w14:textId="76A1FB72" w:rsidR="00CA4790" w:rsidRDefault="00974B6A" w:rsidP="00974B6A">
      <w:pPr>
        <w:spacing w:after="240" w:line="240" w:lineRule="auto"/>
        <w:rPr>
          <w:rFonts w:ascii="Times" w:hAnsi="Times"/>
          <w:sz w:val="18"/>
          <w:szCs w:val="18"/>
        </w:rPr>
      </w:pPr>
      <w:r w:rsidRPr="00FF6DF5">
        <w:rPr>
          <w:rFonts w:ascii="Times" w:hAnsi="Times"/>
          <w:sz w:val="18"/>
          <w:szCs w:val="18"/>
        </w:rPr>
        <w:t xml:space="preserve">Source: Authors calculations based on various DTI and </w:t>
      </w:r>
      <w:proofErr w:type="spellStart"/>
      <w:r w:rsidRPr="00FF6DF5">
        <w:rPr>
          <w:rFonts w:ascii="Times" w:hAnsi="Times"/>
          <w:sz w:val="18"/>
          <w:szCs w:val="18"/>
        </w:rPr>
        <w:t>DoST</w:t>
      </w:r>
      <w:proofErr w:type="spellEnd"/>
      <w:r w:rsidRPr="00FF6DF5">
        <w:rPr>
          <w:rFonts w:ascii="Times" w:hAnsi="Times"/>
          <w:sz w:val="18"/>
          <w:szCs w:val="18"/>
        </w:rPr>
        <w:t xml:space="preserve"> sources, interviews with representatives of program management units, and implementing agencies.</w:t>
      </w:r>
    </w:p>
    <w:p w14:paraId="6E60969C" w14:textId="5134883C" w:rsidR="00974B6A" w:rsidRDefault="00974B6A" w:rsidP="00422650">
      <w:pPr>
        <w:pStyle w:val="ListParagraph"/>
        <w:numPr>
          <w:ilvl w:val="0"/>
          <w:numId w:val="48"/>
        </w:numPr>
        <w:jc w:val="both"/>
        <w:rPr>
          <w:rFonts w:ascii="Times" w:hAnsi="Times"/>
        </w:rPr>
      </w:pPr>
      <w:r w:rsidRPr="002613DA">
        <w:rPr>
          <w:rFonts w:ascii="Times" w:hAnsi="Times"/>
          <w:b/>
        </w:rPr>
        <w:t xml:space="preserve">A </w:t>
      </w:r>
      <w:r w:rsidR="00CD4C81" w:rsidRPr="002613DA">
        <w:rPr>
          <w:rFonts w:ascii="Times" w:hAnsi="Times"/>
          <w:b/>
        </w:rPr>
        <w:t xml:space="preserve">detailed analysis of programs that supported firms (Figure </w:t>
      </w:r>
      <w:r w:rsidR="002F2280">
        <w:rPr>
          <w:rFonts w:ascii="Times" w:hAnsi="Times"/>
          <w:b/>
        </w:rPr>
        <w:t>41</w:t>
      </w:r>
      <w:r w:rsidR="00CD4C81" w:rsidRPr="002613DA">
        <w:rPr>
          <w:rFonts w:ascii="Times" w:hAnsi="Times"/>
          <w:b/>
        </w:rPr>
        <w:t>) reveals that almost 71% of the programs supported young firms, particularly in their startup stage (40%)</w:t>
      </w:r>
      <w:r w:rsidR="00CD4C81" w:rsidRPr="00CD4C81">
        <w:rPr>
          <w:rFonts w:ascii="Times" w:hAnsi="Times"/>
        </w:rPr>
        <w:t xml:space="preserve">. The DTI presented relatively higher proportion of funding support for companies in their idea and concept stage, 5% of the value for DTI programs, and startups, 56% of DTI programs. A closer look to beneficiary firms by size reveals that the highest portion of targeted firms belonged to the micro (34%) and small (24%) segments of SMEs. Medium firms were targeted by programs representing 22% of the value of the portfolio. Larger firms represented 20% of the value of the portfolio. It is worth noting, </w:t>
      </w:r>
      <w:proofErr w:type="spellStart"/>
      <w:r w:rsidR="00CD4C81" w:rsidRPr="00CD4C81">
        <w:rPr>
          <w:rFonts w:ascii="Times" w:hAnsi="Times"/>
        </w:rPr>
        <w:t>DoST</w:t>
      </w:r>
      <w:proofErr w:type="spellEnd"/>
      <w:r w:rsidR="00CD4C81" w:rsidRPr="00CD4C81">
        <w:rPr>
          <w:rFonts w:ascii="Times" w:hAnsi="Times"/>
        </w:rPr>
        <w:t xml:space="preserve"> presents a higher share of programs that target large sized firms while the DTI show a higher proportion for targeting micro firms (Figure </w:t>
      </w:r>
      <w:r w:rsidR="002F2280">
        <w:rPr>
          <w:rFonts w:ascii="Times" w:hAnsi="Times"/>
        </w:rPr>
        <w:t>41</w:t>
      </w:r>
      <w:r w:rsidR="00CD4C81" w:rsidRPr="00CD4C81">
        <w:rPr>
          <w:rFonts w:ascii="Times" w:hAnsi="Times"/>
        </w:rPr>
        <w:t>)</w:t>
      </w:r>
      <w:r w:rsidR="00CD4C81">
        <w:rPr>
          <w:rFonts w:ascii="Times" w:hAnsi="Times"/>
        </w:rPr>
        <w:t>.</w:t>
      </w:r>
    </w:p>
    <w:p w14:paraId="3D7CCD11" w14:textId="35A77F3A" w:rsidR="00407BAE" w:rsidRDefault="00974B6A" w:rsidP="00F96205">
      <w:pPr>
        <w:spacing w:after="240" w:line="240" w:lineRule="auto"/>
        <w:rPr>
          <w:rFonts w:ascii="Times" w:hAnsi="Times"/>
          <w:b/>
        </w:rPr>
      </w:pPr>
      <w:r w:rsidRPr="00F62E84">
        <w:rPr>
          <w:rFonts w:ascii="Times" w:hAnsi="Times"/>
          <w:b/>
          <w:sz w:val="20"/>
          <w:szCs w:val="20"/>
        </w:rPr>
        <w:t xml:space="preserve">Figure </w:t>
      </w:r>
      <w:r w:rsidR="007E54A3">
        <w:rPr>
          <w:rFonts w:ascii="Times" w:hAnsi="Times"/>
          <w:b/>
          <w:sz w:val="20"/>
          <w:szCs w:val="20"/>
        </w:rPr>
        <w:t>4</w:t>
      </w:r>
      <w:r w:rsidR="002F2280">
        <w:rPr>
          <w:rFonts w:ascii="Times" w:hAnsi="Times"/>
          <w:b/>
          <w:sz w:val="20"/>
          <w:szCs w:val="20"/>
        </w:rPr>
        <w:t>2</w:t>
      </w:r>
      <w:r w:rsidRPr="00F62E84">
        <w:rPr>
          <w:rFonts w:ascii="Times" w:hAnsi="Times"/>
          <w:b/>
          <w:sz w:val="20"/>
          <w:szCs w:val="20"/>
        </w:rPr>
        <w:t xml:space="preserve">: </w:t>
      </w:r>
      <w:r w:rsidR="00F96205" w:rsidRPr="00F62E84">
        <w:rPr>
          <w:rFonts w:ascii="Times" w:hAnsi="Times"/>
          <w:b/>
          <w:sz w:val="20"/>
          <w:szCs w:val="20"/>
        </w:rPr>
        <w:t xml:space="preserve">Distribution of resources allocated </w:t>
      </w:r>
      <w:r w:rsidR="00E279CE" w:rsidRPr="00F62E84">
        <w:rPr>
          <w:rFonts w:ascii="Times" w:hAnsi="Times"/>
          <w:b/>
          <w:sz w:val="20"/>
          <w:szCs w:val="20"/>
        </w:rPr>
        <w:t xml:space="preserve">to </w:t>
      </w:r>
      <w:r w:rsidR="00F96205" w:rsidRPr="00F62E84">
        <w:rPr>
          <w:rFonts w:ascii="Times" w:hAnsi="Times"/>
          <w:b/>
          <w:sz w:val="20"/>
          <w:szCs w:val="20"/>
        </w:rPr>
        <w:t>firm innovation and SME development programs by firm segments in 2017</w:t>
      </w:r>
      <w:r w:rsidR="00F96205">
        <w:rPr>
          <w:rFonts w:ascii="Times" w:hAnsi="Times"/>
          <w:b/>
        </w:rPr>
        <w:t xml:space="preserve"> </w:t>
      </w:r>
      <w:r w:rsidR="008B52D0" w:rsidRPr="00BD4C7A">
        <w:rPr>
          <w:noProof/>
          <w:highlight w:val="yellow"/>
        </w:rPr>
        <w:drawing>
          <wp:inline distT="0" distB="0" distL="0" distR="0" wp14:anchorId="1E7C232C" wp14:editId="406FE2A3">
            <wp:extent cx="5760085" cy="2787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565" t="13085" r="4636" b="10104"/>
                    <a:stretch/>
                  </pic:blipFill>
                  <pic:spPr bwMode="auto">
                    <a:xfrm>
                      <a:off x="0" y="0"/>
                      <a:ext cx="5762222" cy="2788684"/>
                    </a:xfrm>
                    <a:prstGeom prst="rect">
                      <a:avLst/>
                    </a:prstGeom>
                    <a:noFill/>
                    <a:ln>
                      <a:noFill/>
                    </a:ln>
                    <a:extLst>
                      <a:ext uri="{53640926-AAD7-44D8-BBD7-CCE9431645EC}">
                        <a14:shadowObscured xmlns:a14="http://schemas.microsoft.com/office/drawing/2010/main"/>
                      </a:ext>
                    </a:extLst>
                  </pic:spPr>
                </pic:pic>
              </a:graphicData>
            </a:graphic>
          </wp:inline>
        </w:drawing>
      </w:r>
    </w:p>
    <w:p w14:paraId="4FF2A267" w14:textId="77777777" w:rsidR="00974B6A" w:rsidRPr="00FF6DF5" w:rsidRDefault="00974B6A" w:rsidP="00974B6A">
      <w:pPr>
        <w:spacing w:after="240" w:line="240" w:lineRule="auto"/>
        <w:rPr>
          <w:rFonts w:ascii="Times" w:hAnsi="Times"/>
        </w:rPr>
      </w:pPr>
      <w:r w:rsidRPr="00FF6DF5">
        <w:rPr>
          <w:rFonts w:ascii="Times" w:hAnsi="Times"/>
          <w:sz w:val="18"/>
          <w:szCs w:val="18"/>
        </w:rPr>
        <w:t xml:space="preserve">Source: Authors calculations based on various DTI and </w:t>
      </w:r>
      <w:proofErr w:type="spellStart"/>
      <w:r w:rsidRPr="00FF6DF5">
        <w:rPr>
          <w:rFonts w:ascii="Times" w:hAnsi="Times"/>
          <w:sz w:val="18"/>
          <w:szCs w:val="18"/>
        </w:rPr>
        <w:t>DoST</w:t>
      </w:r>
      <w:proofErr w:type="spellEnd"/>
      <w:r w:rsidRPr="00FF6DF5">
        <w:rPr>
          <w:rFonts w:ascii="Times" w:hAnsi="Times"/>
          <w:sz w:val="18"/>
          <w:szCs w:val="18"/>
        </w:rPr>
        <w:t xml:space="preserve"> sources, interviews with representatives of program management units, and implementing agencies.</w:t>
      </w:r>
    </w:p>
    <w:p w14:paraId="2A4D29B4" w14:textId="77777777" w:rsidR="00974B6A" w:rsidRPr="000617C1" w:rsidRDefault="00974B6A" w:rsidP="000617C1">
      <w:pPr>
        <w:pStyle w:val="Heading2"/>
      </w:pPr>
      <w:bookmarkStart w:id="79" w:name="_Toc10740053"/>
      <w:bookmarkStart w:id="80" w:name="_Toc12503528"/>
      <w:r w:rsidRPr="000617C1">
        <w:t>Scale and redundancies</w:t>
      </w:r>
      <w:bookmarkEnd w:id="79"/>
      <w:bookmarkEnd w:id="80"/>
    </w:p>
    <w:p w14:paraId="6D45A186" w14:textId="63CDE586" w:rsidR="00974B6A" w:rsidRDefault="00974B6A" w:rsidP="008B52D0">
      <w:pPr>
        <w:pStyle w:val="ListParagraph"/>
        <w:numPr>
          <w:ilvl w:val="0"/>
          <w:numId w:val="48"/>
        </w:numPr>
        <w:jc w:val="both"/>
        <w:rPr>
          <w:rFonts w:ascii="Times" w:hAnsi="Times"/>
        </w:rPr>
      </w:pPr>
      <w:r w:rsidRPr="001E0C12">
        <w:rPr>
          <w:rFonts w:ascii="Times" w:hAnsi="Times"/>
          <w:b/>
        </w:rPr>
        <w:t>Duplicity in the scope of instruments, arises as a typical issue in the innovation policy portfolio when its growth has been organic</w:t>
      </w:r>
      <w:r w:rsidRPr="00912FDB">
        <w:rPr>
          <w:rFonts w:ascii="Times" w:hAnsi="Times"/>
        </w:rPr>
        <w:t>. This can lead to potential redundancy of programs and opens opportunity for instrument ration</w:t>
      </w:r>
      <w:r>
        <w:rPr>
          <w:rFonts w:ascii="Times" w:hAnsi="Times"/>
        </w:rPr>
        <w:t>ing</w:t>
      </w:r>
      <w:r w:rsidRPr="00912FDB">
        <w:rPr>
          <w:rFonts w:ascii="Times" w:hAnsi="Times"/>
        </w:rPr>
        <w:t xml:space="preserve">. </w:t>
      </w:r>
      <w:r>
        <w:rPr>
          <w:rFonts w:ascii="Times" w:hAnsi="Times"/>
        </w:rPr>
        <w:t xml:space="preserve"> </w:t>
      </w:r>
      <w:r w:rsidRPr="00912FDB">
        <w:rPr>
          <w:rFonts w:ascii="Times" w:hAnsi="Times"/>
        </w:rPr>
        <w:t xml:space="preserve">Conducting a revision of the portfolio to identify opportunities for eliminating redundancy can therefore lead to reallocation of resources, either by elimination or merging of programs, as well as to sharpen the focus of existing programs. </w:t>
      </w:r>
    </w:p>
    <w:p w14:paraId="6CEB2DAE" w14:textId="77777777" w:rsidR="00353877" w:rsidRDefault="00353877" w:rsidP="00353877">
      <w:pPr>
        <w:pStyle w:val="ListParagraph"/>
        <w:ind w:left="360"/>
        <w:jc w:val="both"/>
        <w:rPr>
          <w:rFonts w:ascii="Times" w:hAnsi="Times"/>
        </w:rPr>
      </w:pPr>
    </w:p>
    <w:p w14:paraId="2352884B" w14:textId="15FF3216" w:rsidR="00974B6A" w:rsidRDefault="00974B6A" w:rsidP="008B52D0">
      <w:pPr>
        <w:pStyle w:val="ListParagraph"/>
        <w:numPr>
          <w:ilvl w:val="0"/>
          <w:numId w:val="48"/>
        </w:numPr>
        <w:jc w:val="both"/>
        <w:rPr>
          <w:rFonts w:ascii="Times" w:hAnsi="Times"/>
        </w:rPr>
      </w:pPr>
      <w:r w:rsidRPr="001E0C12">
        <w:rPr>
          <w:rFonts w:ascii="Times" w:hAnsi="Times"/>
          <w:b/>
        </w:rPr>
        <w:t xml:space="preserve">First, we looked at the issue of scale. We identified 9 programs from </w:t>
      </w:r>
      <w:proofErr w:type="spellStart"/>
      <w:r w:rsidRPr="001E0C12">
        <w:rPr>
          <w:rFonts w:ascii="Times" w:hAnsi="Times"/>
          <w:b/>
        </w:rPr>
        <w:t>DoST</w:t>
      </w:r>
      <w:proofErr w:type="spellEnd"/>
      <w:r w:rsidRPr="001E0C12">
        <w:rPr>
          <w:rFonts w:ascii="Times" w:hAnsi="Times"/>
          <w:b/>
        </w:rPr>
        <w:t xml:space="preserve"> and DTI that held a budget of PHP 4,000 thousand or below (~ less than USD 100,000 per year) and earmarked them for further scrutiny</w:t>
      </w:r>
      <w:r w:rsidRPr="00A109E9">
        <w:rPr>
          <w:rFonts w:ascii="Times" w:hAnsi="Times"/>
        </w:rPr>
        <w:t>.</w:t>
      </w:r>
      <w:r>
        <w:rPr>
          <w:rFonts w:ascii="Times" w:hAnsi="Times"/>
        </w:rPr>
        <w:t xml:space="preserve"> </w:t>
      </w:r>
      <w:r w:rsidRPr="00A109E9">
        <w:rPr>
          <w:rFonts w:ascii="Times" w:hAnsi="Times"/>
        </w:rPr>
        <w:t xml:space="preserve">At face value, these programs presented very low scale, raising the issue </w:t>
      </w:r>
      <w:r>
        <w:rPr>
          <w:rFonts w:ascii="Times" w:hAnsi="Times"/>
        </w:rPr>
        <w:t xml:space="preserve">as whether they present a </w:t>
      </w:r>
      <w:r w:rsidRPr="00A109E9">
        <w:rPr>
          <w:rFonts w:ascii="Times" w:hAnsi="Times"/>
        </w:rPr>
        <w:t>minimum scale and viability</w:t>
      </w:r>
      <w:r>
        <w:rPr>
          <w:rFonts w:ascii="Times" w:hAnsi="Times"/>
        </w:rPr>
        <w:t xml:space="preserve"> for operation</w:t>
      </w:r>
      <w:r w:rsidRPr="00A109E9">
        <w:rPr>
          <w:rFonts w:ascii="Times" w:hAnsi="Times"/>
        </w:rPr>
        <w:t xml:space="preserve">. Considering the minimum level required for administration and supervision, </w:t>
      </w:r>
      <w:proofErr w:type="spellStart"/>
      <w:r w:rsidRPr="00A109E9">
        <w:rPr>
          <w:rFonts w:ascii="Times" w:hAnsi="Times"/>
        </w:rPr>
        <w:t>DoST</w:t>
      </w:r>
      <w:proofErr w:type="spellEnd"/>
      <w:r w:rsidRPr="00A109E9">
        <w:rPr>
          <w:rFonts w:ascii="Times" w:hAnsi="Times"/>
        </w:rPr>
        <w:t xml:space="preserve"> and DTI should validate that the allocation of resources </w:t>
      </w:r>
      <w:r>
        <w:rPr>
          <w:rFonts w:ascii="Times" w:hAnsi="Times"/>
        </w:rPr>
        <w:t xml:space="preserve">for these programs </w:t>
      </w:r>
      <w:r w:rsidRPr="00A109E9">
        <w:rPr>
          <w:rFonts w:ascii="Times" w:hAnsi="Times"/>
        </w:rPr>
        <w:t>can achieve significant impact and whether the ratio of administration and reporting justifies such a low annual expenditure.</w:t>
      </w:r>
      <w:r>
        <w:rPr>
          <w:rFonts w:ascii="Times" w:hAnsi="Times"/>
        </w:rPr>
        <w:t xml:space="preserve"> Figure </w:t>
      </w:r>
      <w:r w:rsidR="00153BDC">
        <w:rPr>
          <w:rFonts w:ascii="Times" w:hAnsi="Times"/>
        </w:rPr>
        <w:t>4</w:t>
      </w:r>
      <w:r w:rsidR="00086A55">
        <w:rPr>
          <w:rFonts w:ascii="Times" w:hAnsi="Times"/>
        </w:rPr>
        <w:t>3</w:t>
      </w:r>
      <w:r>
        <w:rPr>
          <w:rFonts w:ascii="Times" w:hAnsi="Times"/>
        </w:rPr>
        <w:t xml:space="preserve"> shows the identified programs with very low scale, that should be subject to further evaluation.</w:t>
      </w:r>
    </w:p>
    <w:p w14:paraId="30436D67" w14:textId="4CA8F6E7" w:rsidR="00974B6A" w:rsidRDefault="00974B6A" w:rsidP="00974B6A">
      <w:pPr>
        <w:spacing w:after="240" w:line="240" w:lineRule="auto"/>
        <w:rPr>
          <w:rFonts w:ascii="Times" w:hAnsi="Times"/>
          <w:b/>
        </w:rPr>
      </w:pPr>
      <w:r w:rsidRPr="00FF6DF5">
        <w:rPr>
          <w:rFonts w:ascii="Times" w:hAnsi="Times"/>
          <w:b/>
        </w:rPr>
        <w:t xml:space="preserve">Figure </w:t>
      </w:r>
      <w:r w:rsidR="002C3405">
        <w:rPr>
          <w:rFonts w:ascii="Times" w:hAnsi="Times"/>
          <w:b/>
        </w:rPr>
        <w:t>4</w:t>
      </w:r>
      <w:r w:rsidR="00086A55">
        <w:rPr>
          <w:rFonts w:ascii="Times" w:hAnsi="Times"/>
          <w:b/>
        </w:rPr>
        <w:t>3</w:t>
      </w:r>
      <w:r w:rsidRPr="00FF6DF5">
        <w:rPr>
          <w:rFonts w:ascii="Times" w:hAnsi="Times"/>
          <w:b/>
        </w:rPr>
        <w:t xml:space="preserve">: </w:t>
      </w:r>
      <w:r>
        <w:rPr>
          <w:rFonts w:ascii="Times" w:hAnsi="Times"/>
          <w:b/>
        </w:rPr>
        <w:t xml:space="preserve">Potential programs </w:t>
      </w:r>
      <w:r w:rsidR="00E279CE">
        <w:rPr>
          <w:rFonts w:ascii="Times" w:hAnsi="Times"/>
          <w:b/>
        </w:rPr>
        <w:t xml:space="preserve">that present </w:t>
      </w:r>
      <w:r>
        <w:rPr>
          <w:rFonts w:ascii="Times" w:hAnsi="Times"/>
          <w:b/>
        </w:rPr>
        <w:t xml:space="preserve">scale issues </w:t>
      </w:r>
      <w:r w:rsidRPr="00FF6DF5">
        <w:rPr>
          <w:rFonts w:ascii="Times" w:hAnsi="Times"/>
          <w:b/>
        </w:rPr>
        <w:t>in 2017</w:t>
      </w:r>
    </w:p>
    <w:p w14:paraId="19C84A18" w14:textId="33CF2F18" w:rsidR="00DE5B70" w:rsidRDefault="00DE5B70" w:rsidP="00974B6A">
      <w:pPr>
        <w:spacing w:after="240" w:line="240" w:lineRule="auto"/>
        <w:rPr>
          <w:rFonts w:ascii="Times" w:hAnsi="Times"/>
        </w:rPr>
      </w:pPr>
      <w:r w:rsidRPr="00DB40F5">
        <w:rPr>
          <w:noProof/>
          <w:highlight w:val="yellow"/>
        </w:rPr>
        <w:drawing>
          <wp:inline distT="0" distB="0" distL="0" distR="0" wp14:anchorId="2E4E8449" wp14:editId="2D8A2CFC">
            <wp:extent cx="5943600" cy="28269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659" t="13863" r="5390" b="9439"/>
                    <a:stretch/>
                  </pic:blipFill>
                  <pic:spPr bwMode="auto">
                    <a:xfrm>
                      <a:off x="0" y="0"/>
                      <a:ext cx="5943600" cy="2826996"/>
                    </a:xfrm>
                    <a:prstGeom prst="rect">
                      <a:avLst/>
                    </a:prstGeom>
                    <a:noFill/>
                    <a:ln>
                      <a:noFill/>
                    </a:ln>
                    <a:extLst>
                      <a:ext uri="{53640926-AAD7-44D8-BBD7-CCE9431645EC}">
                        <a14:shadowObscured xmlns:a14="http://schemas.microsoft.com/office/drawing/2010/main"/>
                      </a:ext>
                    </a:extLst>
                  </pic:spPr>
                </pic:pic>
              </a:graphicData>
            </a:graphic>
          </wp:inline>
        </w:drawing>
      </w:r>
    </w:p>
    <w:p w14:paraId="25C8DF30" w14:textId="77777777" w:rsidR="00974B6A" w:rsidRPr="00912FDB" w:rsidRDefault="00974B6A" w:rsidP="00974B6A">
      <w:pPr>
        <w:spacing w:after="240" w:line="240" w:lineRule="auto"/>
        <w:jc w:val="both"/>
        <w:rPr>
          <w:rFonts w:ascii="Times" w:hAnsi="Times"/>
        </w:rPr>
      </w:pPr>
      <w:r w:rsidRPr="00FF6DF5">
        <w:rPr>
          <w:rFonts w:ascii="Times" w:hAnsi="Times"/>
          <w:sz w:val="18"/>
          <w:szCs w:val="18"/>
        </w:rPr>
        <w:t xml:space="preserve">Source: Authors calculations based on various DTI and </w:t>
      </w:r>
      <w:proofErr w:type="spellStart"/>
      <w:r w:rsidRPr="00FF6DF5">
        <w:rPr>
          <w:rFonts w:ascii="Times" w:hAnsi="Times"/>
          <w:sz w:val="18"/>
          <w:szCs w:val="18"/>
        </w:rPr>
        <w:t>DoST</w:t>
      </w:r>
      <w:proofErr w:type="spellEnd"/>
      <w:r w:rsidRPr="00FF6DF5">
        <w:rPr>
          <w:rFonts w:ascii="Times" w:hAnsi="Times"/>
          <w:sz w:val="18"/>
          <w:szCs w:val="18"/>
        </w:rPr>
        <w:t xml:space="preserve"> sources, interviews with representatives of program management units, and implementing agencies.</w:t>
      </w:r>
    </w:p>
    <w:p w14:paraId="2626F4F4" w14:textId="7FDCD82C" w:rsidR="00974B6A" w:rsidRDefault="00974B6A" w:rsidP="008B52D0">
      <w:pPr>
        <w:pStyle w:val="ListParagraph"/>
        <w:numPr>
          <w:ilvl w:val="0"/>
          <w:numId w:val="48"/>
        </w:numPr>
        <w:jc w:val="both"/>
        <w:rPr>
          <w:rFonts w:ascii="Times" w:hAnsi="Times"/>
        </w:rPr>
      </w:pPr>
      <w:r>
        <w:rPr>
          <w:rFonts w:ascii="Times" w:hAnsi="Times"/>
        </w:rPr>
        <w:t>To investigate potential redundancies, w</w:t>
      </w:r>
      <w:r w:rsidRPr="00912FDB">
        <w:rPr>
          <w:rFonts w:ascii="Times" w:hAnsi="Times"/>
        </w:rPr>
        <w:t>e conducted a cluster analysis to identify underlying structures in the sample of instruments</w:t>
      </w:r>
      <w:r w:rsidR="002E3F54">
        <w:rPr>
          <w:rFonts w:ascii="Times" w:hAnsi="Times"/>
        </w:rPr>
        <w:t xml:space="preserve"> (see annex 7 for details)</w:t>
      </w:r>
      <w:r w:rsidRPr="00912FDB">
        <w:rPr>
          <w:rFonts w:ascii="Times" w:hAnsi="Times"/>
        </w:rPr>
        <w:t>. We selected outcomes, objectives, target beneficiaries and supporting mechanisms as the variables for running the clustering, considering their prominent role in defining the scope of the instrument, and their relationship with the market failure, the levers of intervention and the chosen solutions to address the problem.</w:t>
      </w:r>
    </w:p>
    <w:p w14:paraId="35A89C53" w14:textId="77777777" w:rsidR="00F62E84" w:rsidRDefault="00F62E84" w:rsidP="00974B6A">
      <w:pPr>
        <w:spacing w:after="240" w:line="240" w:lineRule="auto"/>
        <w:rPr>
          <w:rFonts w:ascii="Times" w:hAnsi="Times"/>
          <w:b/>
        </w:rPr>
      </w:pPr>
    </w:p>
    <w:p w14:paraId="55DB1673" w14:textId="152AB020" w:rsidR="00974B6A" w:rsidRDefault="00974B6A" w:rsidP="002216BF">
      <w:pPr>
        <w:pStyle w:val="ListParagraph"/>
        <w:numPr>
          <w:ilvl w:val="0"/>
          <w:numId w:val="48"/>
        </w:numPr>
        <w:jc w:val="both"/>
        <w:rPr>
          <w:rFonts w:ascii="Times" w:hAnsi="Times"/>
        </w:rPr>
      </w:pPr>
      <w:r w:rsidRPr="001E0C12">
        <w:rPr>
          <w:rFonts w:ascii="Times" w:hAnsi="Times"/>
          <w:b/>
        </w:rPr>
        <w:t>We formed clusters from objects, starting with an individual cluster</w:t>
      </w:r>
      <w:r w:rsidR="00CE6018" w:rsidRPr="001E0C12">
        <w:rPr>
          <w:rFonts w:ascii="Times" w:hAnsi="Times"/>
          <w:b/>
        </w:rPr>
        <w:t xml:space="preserve"> (</w:t>
      </w:r>
      <w:r w:rsidR="00DD098C">
        <w:rPr>
          <w:rFonts w:ascii="Times" w:hAnsi="Times"/>
          <w:b/>
        </w:rPr>
        <w:t xml:space="preserve">Annex </w:t>
      </w:r>
      <w:r w:rsidR="00BC1BED">
        <w:rPr>
          <w:rFonts w:ascii="Times" w:hAnsi="Times"/>
          <w:b/>
        </w:rPr>
        <w:t>7</w:t>
      </w:r>
      <w:r w:rsidR="00CE6018" w:rsidRPr="001E0C12">
        <w:rPr>
          <w:rFonts w:ascii="Times" w:hAnsi="Times"/>
          <w:b/>
        </w:rPr>
        <w:t>)</w:t>
      </w:r>
      <w:r w:rsidRPr="001E0C12">
        <w:rPr>
          <w:rFonts w:ascii="Times" w:hAnsi="Times"/>
          <w:b/>
        </w:rPr>
        <w:t>. We then merged clusters sequentially, according to their similarity</w:t>
      </w:r>
      <w:r w:rsidRPr="0000491D">
        <w:rPr>
          <w:rFonts w:ascii="Times" w:hAnsi="Times"/>
        </w:rPr>
        <w:t>. The algorithm creates various measures to express (dis)similarity between pairs of objects, using the segmentation variable.</w:t>
      </w:r>
      <w:r>
        <w:rPr>
          <w:rFonts w:ascii="Times" w:hAnsi="Times"/>
        </w:rPr>
        <w:t xml:space="preserve"> </w:t>
      </w:r>
      <w:r w:rsidRPr="0000491D">
        <w:rPr>
          <w:rFonts w:ascii="Times" w:hAnsi="Times"/>
        </w:rPr>
        <w:t>Cluster analysis of the instruments divided the sample into six main groups, in terms of similarities of general objectives in economic outcomes, specific objectives, beneficiaries, and supporting mechanisms.</w:t>
      </w:r>
      <w:r>
        <w:rPr>
          <w:rFonts w:ascii="Times" w:hAnsi="Times"/>
        </w:rPr>
        <w:t xml:space="preserve"> </w:t>
      </w:r>
      <w:r w:rsidRPr="0000491D">
        <w:rPr>
          <w:rFonts w:ascii="Times" w:hAnsi="Times"/>
        </w:rPr>
        <w:t>We used this segmentation to look closer at cases that presented overlapping scope, which suggests additional examination can be applied to explore potential integration or consolidation of programs</w:t>
      </w:r>
      <w:r>
        <w:rPr>
          <w:rFonts w:ascii="Times" w:hAnsi="Times"/>
        </w:rPr>
        <w:t xml:space="preserve"> (</w:t>
      </w:r>
      <w:r w:rsidR="00BC1BED">
        <w:rPr>
          <w:rFonts w:ascii="Times" w:hAnsi="Times"/>
        </w:rPr>
        <w:t>Table 2</w:t>
      </w:r>
      <w:r>
        <w:rPr>
          <w:rFonts w:ascii="Times" w:hAnsi="Times"/>
        </w:rPr>
        <w:t>)</w:t>
      </w:r>
      <w:r w:rsidRPr="0000491D">
        <w:rPr>
          <w:rFonts w:ascii="Times" w:hAnsi="Times"/>
        </w:rPr>
        <w:t>.</w:t>
      </w:r>
    </w:p>
    <w:p w14:paraId="023DFA5D" w14:textId="4B137C93" w:rsidR="00974B6A" w:rsidRDefault="00512D36" w:rsidP="00153BDC">
      <w:pPr>
        <w:spacing w:after="240" w:line="240" w:lineRule="auto"/>
        <w:rPr>
          <w:rFonts w:ascii="Times" w:hAnsi="Times"/>
        </w:rPr>
      </w:pPr>
      <w:r>
        <w:rPr>
          <w:rFonts w:ascii="Times" w:hAnsi="Times"/>
          <w:b/>
        </w:rPr>
        <w:t xml:space="preserve">Table </w:t>
      </w:r>
      <w:r w:rsidR="00BF6049">
        <w:rPr>
          <w:rFonts w:ascii="Times" w:hAnsi="Times"/>
          <w:b/>
        </w:rPr>
        <w:t>2</w:t>
      </w:r>
      <w:r w:rsidR="00974B6A" w:rsidRPr="00FF6DF5">
        <w:rPr>
          <w:rFonts w:ascii="Times" w:hAnsi="Times"/>
          <w:b/>
        </w:rPr>
        <w:t xml:space="preserve">: </w:t>
      </w:r>
      <w:r w:rsidR="00974B6A">
        <w:rPr>
          <w:rFonts w:ascii="Times" w:hAnsi="Times"/>
          <w:b/>
        </w:rPr>
        <w:t xml:space="preserve">Cases for instrument integration or consolidation </w:t>
      </w:r>
      <w:r w:rsidR="00974B6A" w:rsidRPr="00FF6DF5">
        <w:rPr>
          <w:rFonts w:ascii="Times" w:hAnsi="Times"/>
          <w:b/>
        </w:rPr>
        <w:t>in 2017</w:t>
      </w:r>
      <w:r w:rsidR="00974B6A" w:rsidRPr="008951AC">
        <w:rPr>
          <w:noProof/>
        </w:rPr>
        <w:drawing>
          <wp:inline distT="0" distB="0" distL="0" distR="0" wp14:anchorId="120D2405" wp14:editId="1D2BA125">
            <wp:extent cx="5916930" cy="2714968"/>
            <wp:effectExtent l="0" t="0" r="762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4808" t="14128" r="4958" b="12379"/>
                    <a:stretch/>
                  </pic:blipFill>
                  <pic:spPr bwMode="auto">
                    <a:xfrm>
                      <a:off x="0" y="0"/>
                      <a:ext cx="5922989" cy="2717748"/>
                    </a:xfrm>
                    <a:prstGeom prst="rect">
                      <a:avLst/>
                    </a:prstGeom>
                    <a:noFill/>
                    <a:ln>
                      <a:noFill/>
                    </a:ln>
                    <a:extLst>
                      <a:ext uri="{53640926-AAD7-44D8-BBD7-CCE9431645EC}">
                        <a14:shadowObscured xmlns:a14="http://schemas.microsoft.com/office/drawing/2010/main"/>
                      </a:ext>
                    </a:extLst>
                  </pic:spPr>
                </pic:pic>
              </a:graphicData>
            </a:graphic>
          </wp:inline>
        </w:drawing>
      </w:r>
    </w:p>
    <w:p w14:paraId="1EBA68FA" w14:textId="77777777" w:rsidR="00974B6A" w:rsidRPr="00FF6DF5" w:rsidRDefault="00974B6A" w:rsidP="00974B6A">
      <w:pPr>
        <w:spacing w:after="240" w:line="240" w:lineRule="auto"/>
        <w:jc w:val="both"/>
        <w:rPr>
          <w:rFonts w:ascii="Times" w:hAnsi="Times"/>
        </w:rPr>
      </w:pPr>
      <w:r w:rsidRPr="00FF6DF5">
        <w:rPr>
          <w:rFonts w:ascii="Times" w:hAnsi="Times"/>
          <w:sz w:val="18"/>
          <w:szCs w:val="18"/>
        </w:rPr>
        <w:t xml:space="preserve">Source: Authors calculations based on various DTI and </w:t>
      </w:r>
      <w:proofErr w:type="spellStart"/>
      <w:r w:rsidRPr="00FF6DF5">
        <w:rPr>
          <w:rFonts w:ascii="Times" w:hAnsi="Times"/>
          <w:sz w:val="18"/>
          <w:szCs w:val="18"/>
        </w:rPr>
        <w:t>DoST</w:t>
      </w:r>
      <w:proofErr w:type="spellEnd"/>
      <w:r w:rsidRPr="00FF6DF5">
        <w:rPr>
          <w:rFonts w:ascii="Times" w:hAnsi="Times"/>
          <w:sz w:val="18"/>
          <w:szCs w:val="18"/>
        </w:rPr>
        <w:t xml:space="preserve"> sources, interviews with representatives of program management units, and implementing agencies.</w:t>
      </w:r>
    </w:p>
    <w:p w14:paraId="4C35F4F4" w14:textId="24D21998" w:rsidR="00974B6A" w:rsidRPr="00857766" w:rsidRDefault="00974B6A" w:rsidP="00857766">
      <w:pPr>
        <w:pStyle w:val="ListParagraph"/>
        <w:numPr>
          <w:ilvl w:val="0"/>
          <w:numId w:val="48"/>
        </w:numPr>
        <w:jc w:val="both"/>
        <w:rPr>
          <w:rFonts w:ascii="Times" w:hAnsi="Times"/>
        </w:rPr>
      </w:pPr>
      <w:r w:rsidRPr="001E0C12">
        <w:rPr>
          <w:rFonts w:ascii="Times" w:hAnsi="Times"/>
          <w:b/>
        </w:rPr>
        <w:t xml:space="preserve">According to </w:t>
      </w:r>
      <w:r w:rsidR="00CD60D1" w:rsidRPr="001E0C12">
        <w:rPr>
          <w:rFonts w:ascii="Times" w:hAnsi="Times"/>
          <w:b/>
        </w:rPr>
        <w:t>the</w:t>
      </w:r>
      <w:r w:rsidRPr="001E0C12">
        <w:rPr>
          <w:rFonts w:ascii="Times" w:hAnsi="Times"/>
          <w:b/>
        </w:rPr>
        <w:t xml:space="preserve"> analysis, the closer look at similarity of scope across instruments yielded 9 cases, of which 3 seem to show not applicable consolidation as differences not captured in the policy mapping may justify separate interventions</w:t>
      </w:r>
      <w:r w:rsidR="00CD60D1">
        <w:rPr>
          <w:rFonts w:ascii="Times" w:hAnsi="Times"/>
        </w:rPr>
        <w:t>.</w:t>
      </w:r>
      <w:r w:rsidRPr="00D65FE7">
        <w:rPr>
          <w:rFonts w:ascii="Times" w:hAnsi="Times"/>
        </w:rPr>
        <w:t xml:space="preserve"> The case of exporting vs non</w:t>
      </w:r>
      <w:r>
        <w:rPr>
          <w:rFonts w:ascii="Times" w:hAnsi="Times"/>
        </w:rPr>
        <w:t>-</w:t>
      </w:r>
      <w:r w:rsidRPr="00D65FE7">
        <w:rPr>
          <w:rFonts w:ascii="Times" w:hAnsi="Times"/>
        </w:rPr>
        <w:t>exporting firms, and the vertical specialization of programs in different industries (textile and metals).</w:t>
      </w:r>
      <w:r w:rsidR="00CD60D1" w:rsidRPr="00D65FE7">
        <w:rPr>
          <w:rFonts w:ascii="Times" w:hAnsi="Times"/>
        </w:rPr>
        <w:t xml:space="preserve"> </w:t>
      </w:r>
      <w:r w:rsidR="00CD60D1">
        <w:rPr>
          <w:rFonts w:ascii="Times" w:hAnsi="Times"/>
        </w:rPr>
        <w:t xml:space="preserve"> </w:t>
      </w:r>
      <w:r w:rsidRPr="00CD60D1">
        <w:rPr>
          <w:rFonts w:ascii="Times" w:hAnsi="Times"/>
        </w:rPr>
        <w:t xml:space="preserve">Five cases present possible cases for integration as the scope of the program does not fully overlap (i.e. one parameter or more differ across programs). </w:t>
      </w:r>
      <w:r w:rsidR="00CD60D1">
        <w:rPr>
          <w:rFonts w:ascii="Times" w:hAnsi="Times"/>
        </w:rPr>
        <w:t>These are nonetheless</w:t>
      </w:r>
      <w:r w:rsidRPr="00CD60D1">
        <w:rPr>
          <w:rFonts w:ascii="Times" w:hAnsi="Times"/>
        </w:rPr>
        <w:t xml:space="preserve"> present</w:t>
      </w:r>
      <w:r w:rsidR="00CD60D1">
        <w:rPr>
          <w:rFonts w:ascii="Times" w:hAnsi="Times"/>
        </w:rPr>
        <w:t>ed</w:t>
      </w:r>
      <w:r w:rsidRPr="00CD60D1">
        <w:rPr>
          <w:rFonts w:ascii="Times" w:hAnsi="Times"/>
        </w:rPr>
        <w:t xml:space="preserve"> as further scrutiny may conclude that close coordination or partial integration of these programs is warranted.</w:t>
      </w:r>
      <w:r w:rsidR="00857766">
        <w:rPr>
          <w:rFonts w:ascii="Times" w:hAnsi="Times"/>
        </w:rPr>
        <w:t xml:space="preserve"> </w:t>
      </w:r>
      <w:r w:rsidRPr="00857766">
        <w:rPr>
          <w:rFonts w:ascii="Times" w:hAnsi="Times"/>
        </w:rPr>
        <w:t xml:space="preserve">Three cases presented a strong case for consolidation and </w:t>
      </w:r>
      <w:r w:rsidR="00857766">
        <w:rPr>
          <w:rFonts w:ascii="Times" w:hAnsi="Times"/>
        </w:rPr>
        <w:t>it is</w:t>
      </w:r>
      <w:r w:rsidRPr="00857766">
        <w:rPr>
          <w:rFonts w:ascii="Times" w:hAnsi="Times"/>
        </w:rPr>
        <w:t xml:space="preserve"> recommend</w:t>
      </w:r>
      <w:r w:rsidR="00857766">
        <w:rPr>
          <w:rFonts w:ascii="Times" w:hAnsi="Times"/>
        </w:rPr>
        <w:t>ed</w:t>
      </w:r>
      <w:r w:rsidRPr="00857766">
        <w:rPr>
          <w:rFonts w:ascii="Times" w:hAnsi="Times"/>
        </w:rPr>
        <w:t xml:space="preserve"> these are further analyzed. In these cases, the degree of overlapping in the scope of the programs is substantial and they are delivered by different implementing agencies.</w:t>
      </w:r>
    </w:p>
    <w:p w14:paraId="4D030351" w14:textId="77777777" w:rsidR="00974B6A" w:rsidRPr="00730958" w:rsidRDefault="00974B6A" w:rsidP="00730958">
      <w:pPr>
        <w:pStyle w:val="Heading2"/>
      </w:pPr>
      <w:bookmarkStart w:id="81" w:name="_Toc10740054"/>
      <w:bookmarkStart w:id="82" w:name="_Toc12503529"/>
      <w:r w:rsidRPr="00730958">
        <w:t>Coherence of the policy mix</w:t>
      </w:r>
      <w:bookmarkEnd w:id="81"/>
      <w:bookmarkEnd w:id="82"/>
    </w:p>
    <w:p w14:paraId="07A309A1" w14:textId="24353414" w:rsidR="00974B6A" w:rsidRDefault="00974B6A" w:rsidP="00746E9B">
      <w:pPr>
        <w:pStyle w:val="ListParagraph"/>
        <w:numPr>
          <w:ilvl w:val="0"/>
          <w:numId w:val="48"/>
        </w:numPr>
        <w:jc w:val="both"/>
        <w:rPr>
          <w:rFonts w:ascii="Times" w:hAnsi="Times"/>
        </w:rPr>
      </w:pPr>
      <w:r w:rsidRPr="001E0C12">
        <w:rPr>
          <w:rFonts w:ascii="Times" w:hAnsi="Times"/>
          <w:b/>
        </w:rPr>
        <w:t>This section present</w:t>
      </w:r>
      <w:r w:rsidR="004B7130" w:rsidRPr="001E0C12">
        <w:rPr>
          <w:rFonts w:ascii="Times" w:hAnsi="Times"/>
          <w:b/>
        </w:rPr>
        <w:t>s</w:t>
      </w:r>
      <w:r w:rsidRPr="001E0C12">
        <w:rPr>
          <w:rFonts w:ascii="Times" w:hAnsi="Times"/>
          <w:b/>
        </w:rPr>
        <w:t xml:space="preserve"> the external coherence analysis</w:t>
      </w:r>
      <w:r>
        <w:rPr>
          <w:rFonts w:ascii="Times" w:hAnsi="Times"/>
        </w:rPr>
        <w:t>. The evaluation looks at the coherence b</w:t>
      </w:r>
      <w:r w:rsidRPr="001762E8">
        <w:rPr>
          <w:rFonts w:ascii="Times" w:hAnsi="Times"/>
        </w:rPr>
        <w:t>etween the country’s developmental priorities for innovation and the composition of the policy mix.</w:t>
      </w:r>
      <w:r>
        <w:rPr>
          <w:rFonts w:ascii="Times" w:hAnsi="Times"/>
        </w:rPr>
        <w:t xml:space="preserve"> In this analysis, we looked at the e</w:t>
      </w:r>
      <w:r w:rsidRPr="001762E8">
        <w:rPr>
          <w:rFonts w:ascii="Times" w:hAnsi="Times"/>
        </w:rPr>
        <w:t>quivalence between challenges and measures</w:t>
      </w:r>
      <w:r>
        <w:rPr>
          <w:rFonts w:ascii="Times" w:hAnsi="Times"/>
        </w:rPr>
        <w:t xml:space="preserve"> i.e. </w:t>
      </w:r>
      <w:r w:rsidRPr="001762E8">
        <w:rPr>
          <w:rFonts w:ascii="Times" w:hAnsi="Times"/>
        </w:rPr>
        <w:t>whether the instruments respond to the main challenges that constrain business innovation, in the presence of market failures, and in the context of the policy framework priorities</w:t>
      </w:r>
      <w:r>
        <w:rPr>
          <w:rFonts w:ascii="Times" w:hAnsi="Times"/>
        </w:rPr>
        <w:t>, and we tried to identify g</w:t>
      </w:r>
      <w:r w:rsidRPr="001762E8">
        <w:rPr>
          <w:rFonts w:ascii="Times" w:hAnsi="Times"/>
        </w:rPr>
        <w:t>ap</w:t>
      </w:r>
      <w:r>
        <w:rPr>
          <w:rFonts w:ascii="Times" w:hAnsi="Times"/>
        </w:rPr>
        <w:t>s</w:t>
      </w:r>
      <w:r w:rsidRPr="001762E8">
        <w:rPr>
          <w:rFonts w:ascii="Times" w:hAnsi="Times"/>
        </w:rPr>
        <w:t xml:space="preserve"> </w:t>
      </w:r>
      <w:r>
        <w:rPr>
          <w:rFonts w:ascii="Times" w:hAnsi="Times"/>
        </w:rPr>
        <w:t>–</w:t>
      </w:r>
      <w:r w:rsidRPr="001762E8">
        <w:rPr>
          <w:rFonts w:ascii="Times" w:hAnsi="Times"/>
        </w:rPr>
        <w:t xml:space="preserve"> </w:t>
      </w:r>
      <w:r>
        <w:rPr>
          <w:rFonts w:ascii="Times" w:hAnsi="Times"/>
        </w:rPr>
        <w:t xml:space="preserve">i.e. </w:t>
      </w:r>
      <w:r w:rsidRPr="001762E8">
        <w:rPr>
          <w:rFonts w:ascii="Times" w:hAnsi="Times"/>
        </w:rPr>
        <w:t>areas in demand (i.e. pressing developmental challenge) but not covered appropriately by the existing programs</w:t>
      </w:r>
      <w:r>
        <w:rPr>
          <w:rFonts w:ascii="Times" w:hAnsi="Times"/>
        </w:rPr>
        <w:t>. We also try to indicate which a</w:t>
      </w:r>
      <w:r w:rsidRPr="001762E8">
        <w:rPr>
          <w:rFonts w:ascii="Times" w:hAnsi="Times"/>
        </w:rPr>
        <w:t xml:space="preserve">lternative instruments </w:t>
      </w:r>
      <w:r>
        <w:rPr>
          <w:rFonts w:ascii="Times" w:hAnsi="Times"/>
        </w:rPr>
        <w:t xml:space="preserve">could have been used </w:t>
      </w:r>
      <w:r w:rsidRPr="001762E8">
        <w:rPr>
          <w:rFonts w:ascii="Times" w:hAnsi="Times"/>
        </w:rPr>
        <w:t>to meet the same goals</w:t>
      </w:r>
      <w:r>
        <w:rPr>
          <w:rFonts w:ascii="Times" w:hAnsi="Times"/>
        </w:rPr>
        <w:t xml:space="preserve">, when possible. </w:t>
      </w:r>
      <w:r w:rsidRPr="001762E8">
        <w:rPr>
          <w:rFonts w:ascii="Times" w:hAnsi="Times"/>
        </w:rPr>
        <w:t xml:space="preserve"> </w:t>
      </w:r>
    </w:p>
    <w:p w14:paraId="281BB5D7" w14:textId="77777777" w:rsidR="004B7130" w:rsidRDefault="004B7130" w:rsidP="004B7130">
      <w:pPr>
        <w:pStyle w:val="ListParagraph"/>
        <w:ind w:left="360"/>
        <w:jc w:val="both"/>
        <w:rPr>
          <w:rFonts w:ascii="Times" w:hAnsi="Times"/>
        </w:rPr>
      </w:pPr>
    </w:p>
    <w:p w14:paraId="14B518BE" w14:textId="7B41668C" w:rsidR="00974B6A" w:rsidRDefault="00974B6A" w:rsidP="00746E9B">
      <w:pPr>
        <w:pStyle w:val="ListParagraph"/>
        <w:numPr>
          <w:ilvl w:val="0"/>
          <w:numId w:val="48"/>
        </w:numPr>
        <w:jc w:val="both"/>
        <w:rPr>
          <w:rFonts w:ascii="Times" w:hAnsi="Times"/>
        </w:rPr>
      </w:pPr>
      <w:r w:rsidRPr="00E41FE5">
        <w:rPr>
          <w:rFonts w:ascii="Times" w:hAnsi="Times"/>
        </w:rPr>
        <w:t xml:space="preserve">We </w:t>
      </w:r>
      <w:r>
        <w:rPr>
          <w:rFonts w:ascii="Times" w:hAnsi="Times"/>
        </w:rPr>
        <w:t>conducted a comparison between the revealed priorities of the portfolio through resource allocation and the stated priorities in the national SME strategy (</w:t>
      </w:r>
      <w:r w:rsidR="0027258E">
        <w:rPr>
          <w:rFonts w:ascii="Times" w:hAnsi="Times"/>
        </w:rPr>
        <w:t xml:space="preserve">Table </w:t>
      </w:r>
      <w:r w:rsidR="00D81257">
        <w:rPr>
          <w:rFonts w:ascii="Times" w:hAnsi="Times"/>
        </w:rPr>
        <w:t>3</w:t>
      </w:r>
      <w:r>
        <w:rPr>
          <w:rFonts w:ascii="Times" w:hAnsi="Times"/>
        </w:rPr>
        <w:t>).</w:t>
      </w:r>
    </w:p>
    <w:p w14:paraId="0282EDCB" w14:textId="7AAA5018" w:rsidR="00974B6A" w:rsidRDefault="00512D36" w:rsidP="00974B6A">
      <w:pPr>
        <w:spacing w:after="240" w:line="240" w:lineRule="auto"/>
        <w:rPr>
          <w:rFonts w:ascii="Times" w:hAnsi="Times"/>
          <w:b/>
        </w:rPr>
      </w:pPr>
      <w:r>
        <w:rPr>
          <w:rFonts w:ascii="Times" w:hAnsi="Times"/>
          <w:b/>
        </w:rPr>
        <w:t xml:space="preserve">Table </w:t>
      </w:r>
      <w:r w:rsidR="00BF6049">
        <w:rPr>
          <w:rFonts w:ascii="Times" w:hAnsi="Times"/>
          <w:b/>
        </w:rPr>
        <w:t>3</w:t>
      </w:r>
      <w:r w:rsidR="00974B6A" w:rsidRPr="00760D0E">
        <w:rPr>
          <w:rFonts w:ascii="Times" w:hAnsi="Times"/>
          <w:b/>
        </w:rPr>
        <w:t xml:space="preserve">: </w:t>
      </w:r>
      <w:r w:rsidR="00E279CE">
        <w:rPr>
          <w:rFonts w:ascii="Times" w:hAnsi="Times"/>
          <w:b/>
        </w:rPr>
        <w:t>P</w:t>
      </w:r>
      <w:r w:rsidR="00974B6A" w:rsidRPr="00760D0E">
        <w:rPr>
          <w:rFonts w:ascii="Times" w:hAnsi="Times"/>
          <w:b/>
        </w:rPr>
        <w:t xml:space="preserve">riorities </w:t>
      </w:r>
      <w:r w:rsidR="00E279CE">
        <w:rPr>
          <w:rFonts w:ascii="Times" w:hAnsi="Times"/>
          <w:b/>
        </w:rPr>
        <w:t xml:space="preserve">reflected </w:t>
      </w:r>
      <w:r w:rsidR="00974B6A" w:rsidRPr="00760D0E">
        <w:rPr>
          <w:rFonts w:ascii="Times" w:hAnsi="Times"/>
          <w:b/>
        </w:rPr>
        <w:t xml:space="preserve">in the </w:t>
      </w:r>
      <w:r w:rsidR="00E279CE">
        <w:rPr>
          <w:rFonts w:ascii="Times" w:hAnsi="Times"/>
          <w:b/>
        </w:rPr>
        <w:t xml:space="preserve">policy </w:t>
      </w:r>
      <w:r w:rsidR="00974B6A" w:rsidRPr="00760D0E">
        <w:rPr>
          <w:rFonts w:ascii="Times" w:hAnsi="Times"/>
          <w:b/>
        </w:rPr>
        <w:t>portfolio compared to the national SME plan in 2017</w:t>
      </w:r>
      <w:r w:rsidR="00974B6A" w:rsidRPr="00DE00A1">
        <w:rPr>
          <w:noProof/>
        </w:rPr>
        <w:drawing>
          <wp:inline distT="0" distB="0" distL="0" distR="0" wp14:anchorId="2DD1CD4D" wp14:editId="64BDDA0A">
            <wp:extent cx="5727158" cy="2911244"/>
            <wp:effectExtent l="0" t="0" r="6985"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794" t="11043" r="1819" b="2102"/>
                    <a:stretch/>
                  </pic:blipFill>
                  <pic:spPr bwMode="auto">
                    <a:xfrm>
                      <a:off x="0" y="0"/>
                      <a:ext cx="5728872" cy="2912115"/>
                    </a:xfrm>
                    <a:prstGeom prst="rect">
                      <a:avLst/>
                    </a:prstGeom>
                    <a:noFill/>
                    <a:ln>
                      <a:noFill/>
                    </a:ln>
                    <a:extLst>
                      <a:ext uri="{53640926-AAD7-44D8-BBD7-CCE9431645EC}">
                        <a14:shadowObscured xmlns:a14="http://schemas.microsoft.com/office/drawing/2010/main"/>
                      </a:ext>
                    </a:extLst>
                  </pic:spPr>
                </pic:pic>
              </a:graphicData>
            </a:graphic>
          </wp:inline>
        </w:drawing>
      </w:r>
    </w:p>
    <w:p w14:paraId="73E94422" w14:textId="77777777" w:rsidR="00974B6A" w:rsidRDefault="00974B6A" w:rsidP="00974B6A">
      <w:pPr>
        <w:spacing w:after="240" w:line="240" w:lineRule="auto"/>
        <w:rPr>
          <w:rFonts w:ascii="Times" w:hAnsi="Times"/>
          <w:b/>
          <w:highlight w:val="cyan"/>
        </w:rPr>
      </w:pPr>
      <w:r w:rsidRPr="00FF6DF5">
        <w:rPr>
          <w:rFonts w:ascii="Times" w:hAnsi="Times"/>
          <w:sz w:val="18"/>
          <w:szCs w:val="18"/>
        </w:rPr>
        <w:t xml:space="preserve">Source: Authors calculations based on various DTI and </w:t>
      </w:r>
      <w:proofErr w:type="spellStart"/>
      <w:r w:rsidRPr="00FF6DF5">
        <w:rPr>
          <w:rFonts w:ascii="Times" w:hAnsi="Times"/>
          <w:sz w:val="18"/>
          <w:szCs w:val="18"/>
        </w:rPr>
        <w:t>DoST</w:t>
      </w:r>
      <w:proofErr w:type="spellEnd"/>
      <w:r w:rsidRPr="00FF6DF5">
        <w:rPr>
          <w:rFonts w:ascii="Times" w:hAnsi="Times"/>
          <w:sz w:val="18"/>
          <w:szCs w:val="18"/>
        </w:rPr>
        <w:t xml:space="preserve"> sources, interviews with representatives of program management units, and implementing agencies.</w:t>
      </w:r>
    </w:p>
    <w:p w14:paraId="2299B2F6" w14:textId="19B220EC" w:rsidR="00C47B42" w:rsidRPr="00C47B42" w:rsidRDefault="00C47B42" w:rsidP="00C47B42">
      <w:pPr>
        <w:pStyle w:val="ListParagraph"/>
        <w:numPr>
          <w:ilvl w:val="0"/>
          <w:numId w:val="48"/>
        </w:numPr>
        <w:jc w:val="both"/>
        <w:rPr>
          <w:rFonts w:ascii="Times" w:hAnsi="Times"/>
        </w:rPr>
      </w:pPr>
      <w:r w:rsidRPr="001E0C12">
        <w:rPr>
          <w:rFonts w:ascii="Times" w:hAnsi="Times"/>
          <w:b/>
        </w:rPr>
        <w:t>Through the external coherence analysis, we found that promoting innovation continues to be critical to revert recent declines in productivity growth</w:t>
      </w:r>
      <w:r w:rsidRPr="00C47B42">
        <w:rPr>
          <w:rFonts w:ascii="Times" w:hAnsi="Times"/>
        </w:rPr>
        <w:t xml:space="preserve">. There is relative consistency in the allocation of resources to STI, but there is inconsistency in the composition of expenditure, mainly on research excellence and technology transfer (25.8%) and reduced in business R&amp;D and non-R&amp;D innovation (~6.3%), revealing a supply side bias. </w:t>
      </w:r>
    </w:p>
    <w:p w14:paraId="2F01B9F8" w14:textId="77777777" w:rsidR="00C47B42" w:rsidRDefault="00C47B42" w:rsidP="00C47B42">
      <w:pPr>
        <w:pStyle w:val="ListParagraph"/>
        <w:ind w:left="360"/>
        <w:jc w:val="both"/>
        <w:rPr>
          <w:rFonts w:ascii="Times" w:hAnsi="Times"/>
        </w:rPr>
      </w:pPr>
    </w:p>
    <w:p w14:paraId="402F62F8" w14:textId="11AB2F05" w:rsidR="00287F3B" w:rsidRDefault="00C47B42" w:rsidP="00AF366A">
      <w:pPr>
        <w:pStyle w:val="ListParagraph"/>
        <w:numPr>
          <w:ilvl w:val="0"/>
          <w:numId w:val="48"/>
        </w:numPr>
        <w:jc w:val="both"/>
        <w:rPr>
          <w:rFonts w:ascii="Times" w:hAnsi="Times"/>
        </w:rPr>
      </w:pPr>
      <w:r w:rsidRPr="001E0C12">
        <w:rPr>
          <w:rFonts w:ascii="Times" w:hAnsi="Times"/>
          <w:b/>
        </w:rPr>
        <w:t>In addition, supporting the internationalization of firms’ sales remains a critical way to ensure competitive pressures drive productivity</w:t>
      </w:r>
      <w:r w:rsidRPr="00C47B42">
        <w:rPr>
          <w:rFonts w:ascii="Times" w:hAnsi="Times"/>
        </w:rPr>
        <w:t>. However, the portfolio falls short, with figures indicating that only 1.2% of the value of the portfolio had been allocated to export promotion programs, revealing an inconsistency in responding to unmet demand for policy support.</w:t>
      </w:r>
      <w:r w:rsidR="00AF366A">
        <w:rPr>
          <w:rFonts w:ascii="Times" w:hAnsi="Times"/>
        </w:rPr>
        <w:t xml:space="preserve"> </w:t>
      </w:r>
    </w:p>
    <w:p w14:paraId="74F4ACD7" w14:textId="77777777" w:rsidR="00287F3B" w:rsidRPr="00867003" w:rsidRDefault="00287F3B" w:rsidP="00867003">
      <w:pPr>
        <w:pStyle w:val="ListParagraph"/>
        <w:rPr>
          <w:rFonts w:ascii="Times" w:hAnsi="Times"/>
        </w:rPr>
      </w:pPr>
    </w:p>
    <w:p w14:paraId="607B2540" w14:textId="2A00E4B1" w:rsidR="00974B6A" w:rsidRDefault="00974B6A" w:rsidP="00AF366A">
      <w:pPr>
        <w:pStyle w:val="ListParagraph"/>
        <w:numPr>
          <w:ilvl w:val="0"/>
          <w:numId w:val="48"/>
        </w:numPr>
        <w:jc w:val="both"/>
        <w:rPr>
          <w:rFonts w:ascii="Times" w:hAnsi="Times"/>
        </w:rPr>
      </w:pPr>
      <w:r w:rsidRPr="001E0C12">
        <w:rPr>
          <w:rFonts w:ascii="Times" w:hAnsi="Times"/>
          <w:b/>
        </w:rPr>
        <w:t xml:space="preserve">Moreover, </w:t>
      </w:r>
      <w:r w:rsidR="00F72497" w:rsidRPr="001E0C12">
        <w:rPr>
          <w:rFonts w:ascii="Times" w:hAnsi="Times"/>
          <w:b/>
        </w:rPr>
        <w:t>programs that support new enterprise formation, particularly in the earliest stages in their life cycle are necessary to add dynamism and revert a trend of motionless entrepreneurial activity</w:t>
      </w:r>
      <w:r w:rsidR="00F72497" w:rsidRPr="00F72497">
        <w:rPr>
          <w:rFonts w:ascii="Times" w:hAnsi="Times"/>
        </w:rPr>
        <w:t>. There was a small budget devoted to promoting entrepreneurship (4.4%), but there is consistent resource allocation to support startup and scale up firms, among programs targeting firms. The underdeveloped state of the ecosystem implies that additional support, especially around equity instruments, is needed.</w:t>
      </w:r>
    </w:p>
    <w:p w14:paraId="0CF9889B" w14:textId="77777777" w:rsidR="00AF366A" w:rsidRPr="003C429E" w:rsidRDefault="00AF366A" w:rsidP="00AF366A">
      <w:pPr>
        <w:pStyle w:val="ListParagraph"/>
        <w:ind w:left="360"/>
        <w:jc w:val="both"/>
        <w:rPr>
          <w:rFonts w:ascii="Times" w:hAnsi="Times"/>
        </w:rPr>
      </w:pPr>
    </w:p>
    <w:p w14:paraId="6F50E456" w14:textId="4CBE8DAD" w:rsidR="00974B6A" w:rsidRDefault="00974B6A" w:rsidP="00AF366A">
      <w:pPr>
        <w:pStyle w:val="ListParagraph"/>
        <w:numPr>
          <w:ilvl w:val="0"/>
          <w:numId w:val="48"/>
        </w:numPr>
        <w:jc w:val="both"/>
        <w:rPr>
          <w:rFonts w:ascii="Times" w:hAnsi="Times"/>
        </w:rPr>
      </w:pPr>
      <w:r w:rsidRPr="001E0C12">
        <w:rPr>
          <w:rFonts w:ascii="Times" w:hAnsi="Times"/>
          <w:b/>
        </w:rPr>
        <w:t xml:space="preserve">SMEs </w:t>
      </w:r>
      <w:r w:rsidR="00867003" w:rsidRPr="001E0C12">
        <w:rPr>
          <w:rFonts w:ascii="Times" w:hAnsi="Times"/>
          <w:b/>
        </w:rPr>
        <w:t>have shown signs of constrained access to credit, with many of them relying on internal sources of funding for expansion, and the evidence suggest that only 30% of them were accessing lines of financing</w:t>
      </w:r>
      <w:r w:rsidR="00867003" w:rsidRPr="00867003">
        <w:rPr>
          <w:rFonts w:ascii="Times" w:hAnsi="Times"/>
        </w:rPr>
        <w:t>. Furthermore, about 6.1% of resources were allocated to increased access to finance, with low volume of programs overall. We concluded that there is an absence of credit guarantee programs, and early stage financing support.</w:t>
      </w:r>
    </w:p>
    <w:p w14:paraId="175DF328" w14:textId="31CAD829" w:rsidR="00B17AE7" w:rsidRPr="0038315C" w:rsidRDefault="00086A55" w:rsidP="00B17AE7">
      <w:pPr>
        <w:pStyle w:val="Heading2"/>
      </w:pPr>
      <w:bookmarkStart w:id="83" w:name="_Toc10740055"/>
      <w:bookmarkStart w:id="84" w:name="_Toc12503530"/>
      <w:r>
        <w:t>Summary c</w:t>
      </w:r>
      <w:r w:rsidR="00730958">
        <w:t>onclusion</w:t>
      </w:r>
      <w:bookmarkEnd w:id="83"/>
      <w:bookmarkEnd w:id="84"/>
    </w:p>
    <w:p w14:paraId="1CA890A3" w14:textId="5521FD7E" w:rsidR="00D3121A" w:rsidRDefault="00B17AE7" w:rsidP="00AF366A">
      <w:pPr>
        <w:pStyle w:val="ListParagraph"/>
        <w:numPr>
          <w:ilvl w:val="0"/>
          <w:numId w:val="48"/>
        </w:numPr>
        <w:jc w:val="both"/>
        <w:rPr>
          <w:rFonts w:ascii="Times" w:hAnsi="Times"/>
        </w:rPr>
      </w:pPr>
      <w:r w:rsidRPr="009D60D5">
        <w:rPr>
          <w:rFonts w:ascii="Times" w:hAnsi="Times"/>
          <w:b/>
        </w:rPr>
        <w:t xml:space="preserve">The SME support programs </w:t>
      </w:r>
      <w:r w:rsidR="00CB3C7E">
        <w:rPr>
          <w:rFonts w:ascii="Times" w:hAnsi="Times"/>
          <w:b/>
        </w:rPr>
        <w:t>are the</w:t>
      </w:r>
      <w:r w:rsidRPr="009D60D5">
        <w:rPr>
          <w:rFonts w:ascii="Times" w:hAnsi="Times"/>
          <w:b/>
        </w:rPr>
        <w:t xml:space="preserve"> vehicle to deliver on the aspirations </w:t>
      </w:r>
      <w:r w:rsidR="00624AD6" w:rsidRPr="009D60D5">
        <w:rPr>
          <w:rFonts w:ascii="Times" w:hAnsi="Times"/>
          <w:b/>
        </w:rPr>
        <w:t>articulated</w:t>
      </w:r>
      <w:r w:rsidRPr="009D60D5">
        <w:rPr>
          <w:rFonts w:ascii="Times" w:hAnsi="Times"/>
          <w:b/>
        </w:rPr>
        <w:t xml:space="preserve"> in the latest MSME Development </w:t>
      </w:r>
      <w:r w:rsidR="009D60D5">
        <w:rPr>
          <w:rFonts w:ascii="Times" w:hAnsi="Times"/>
          <w:b/>
        </w:rPr>
        <w:t>P</w:t>
      </w:r>
      <w:r w:rsidRPr="009D60D5">
        <w:rPr>
          <w:rFonts w:ascii="Times" w:hAnsi="Times"/>
          <w:b/>
        </w:rPr>
        <w:t>lan.</w:t>
      </w:r>
      <w:r w:rsidRPr="00FF6DF5">
        <w:rPr>
          <w:rFonts w:ascii="Times" w:hAnsi="Times"/>
        </w:rPr>
        <w:t xml:space="preserve"> </w:t>
      </w:r>
      <w:r w:rsidR="007D657F">
        <w:rPr>
          <w:rFonts w:ascii="Times" w:hAnsi="Times"/>
        </w:rPr>
        <w:t>The</w:t>
      </w:r>
      <w:r w:rsidR="00624AD6">
        <w:rPr>
          <w:rFonts w:ascii="Times" w:hAnsi="Times"/>
        </w:rPr>
        <w:t xml:space="preserve"> above analysis</w:t>
      </w:r>
      <w:r w:rsidR="007D657F">
        <w:rPr>
          <w:rFonts w:ascii="Times" w:hAnsi="Times"/>
        </w:rPr>
        <w:t xml:space="preserve"> provides some</w:t>
      </w:r>
      <w:r w:rsidRPr="00FF6DF5">
        <w:rPr>
          <w:rFonts w:ascii="Times" w:hAnsi="Times"/>
        </w:rPr>
        <w:t xml:space="preserve"> recommendations to improve the quality of </w:t>
      </w:r>
      <w:r w:rsidR="007D657F">
        <w:rPr>
          <w:rFonts w:ascii="Times" w:hAnsi="Times"/>
        </w:rPr>
        <w:t xml:space="preserve">the </w:t>
      </w:r>
      <w:r>
        <w:rPr>
          <w:rFonts w:ascii="Times" w:hAnsi="Times"/>
        </w:rPr>
        <w:t xml:space="preserve">innovation and </w:t>
      </w:r>
      <w:r w:rsidRPr="00FF6DF5">
        <w:rPr>
          <w:rFonts w:ascii="Times" w:hAnsi="Times"/>
        </w:rPr>
        <w:t>SME policy mix</w:t>
      </w:r>
      <w:r w:rsidR="007D657F">
        <w:rPr>
          <w:rFonts w:ascii="Times" w:hAnsi="Times"/>
        </w:rPr>
        <w:t xml:space="preserve"> and improve its efficiency and effectiveness. The analysis </w:t>
      </w:r>
      <w:proofErr w:type="gramStart"/>
      <w:r w:rsidR="007D657F">
        <w:rPr>
          <w:rFonts w:ascii="Times" w:hAnsi="Times"/>
        </w:rPr>
        <w:t>suggest</w:t>
      </w:r>
      <w:proofErr w:type="gramEnd"/>
      <w:r w:rsidR="007D657F">
        <w:rPr>
          <w:rFonts w:ascii="Times" w:hAnsi="Times"/>
        </w:rPr>
        <w:t xml:space="preserve"> that there is room for improvement and making the mix of policies more coherent with the objective of SME and productivity growth.  </w:t>
      </w:r>
    </w:p>
    <w:p w14:paraId="3B853B58" w14:textId="7A5ADF79" w:rsidR="00B17AE7" w:rsidRPr="00FF6DF5" w:rsidRDefault="00B17AE7" w:rsidP="00D3121A">
      <w:pPr>
        <w:pStyle w:val="ListParagraph"/>
        <w:ind w:left="360"/>
        <w:jc w:val="both"/>
        <w:rPr>
          <w:rFonts w:ascii="Times" w:hAnsi="Times"/>
        </w:rPr>
      </w:pPr>
    </w:p>
    <w:p w14:paraId="0142791D" w14:textId="79A66AB6" w:rsidR="00B17AE7" w:rsidRDefault="00B17AE7" w:rsidP="00D3121A">
      <w:pPr>
        <w:pStyle w:val="ListParagraph"/>
        <w:numPr>
          <w:ilvl w:val="0"/>
          <w:numId w:val="48"/>
        </w:numPr>
        <w:jc w:val="both"/>
        <w:rPr>
          <w:rFonts w:ascii="Times" w:hAnsi="Times"/>
        </w:rPr>
      </w:pPr>
      <w:r w:rsidRPr="009D60D5">
        <w:rPr>
          <w:rFonts w:ascii="Times" w:hAnsi="Times"/>
          <w:b/>
        </w:rPr>
        <w:t>The overall level of expenditure seems insufficient to meet the ambitious strategic goals</w:t>
      </w:r>
      <w:r w:rsidR="007D657F">
        <w:rPr>
          <w:rFonts w:ascii="Times" w:hAnsi="Times"/>
          <w:b/>
        </w:rPr>
        <w:t xml:space="preserve"> and impact</w:t>
      </w:r>
      <w:r w:rsidRPr="009D60D5">
        <w:rPr>
          <w:rFonts w:ascii="Times" w:hAnsi="Times"/>
          <w:b/>
        </w:rPr>
        <w:t xml:space="preserve">, but before increasing expenditure, </w:t>
      </w:r>
      <w:proofErr w:type="spellStart"/>
      <w:r w:rsidRPr="009D60D5">
        <w:rPr>
          <w:rFonts w:ascii="Times" w:hAnsi="Times"/>
          <w:b/>
        </w:rPr>
        <w:t>GoP</w:t>
      </w:r>
      <w:proofErr w:type="spellEnd"/>
      <w:r w:rsidRPr="009D60D5">
        <w:rPr>
          <w:rFonts w:ascii="Times" w:hAnsi="Times"/>
          <w:b/>
        </w:rPr>
        <w:t xml:space="preserve"> </w:t>
      </w:r>
      <w:r w:rsidR="007D657F">
        <w:rPr>
          <w:rFonts w:ascii="Times" w:hAnsi="Times"/>
          <w:b/>
        </w:rPr>
        <w:t>must change the</w:t>
      </w:r>
      <w:r w:rsidR="007D657F" w:rsidRPr="009D60D5">
        <w:rPr>
          <w:rFonts w:ascii="Times" w:hAnsi="Times"/>
          <w:b/>
        </w:rPr>
        <w:t xml:space="preserve"> </w:t>
      </w:r>
      <w:r w:rsidRPr="009D60D5">
        <w:rPr>
          <w:rFonts w:ascii="Times" w:hAnsi="Times"/>
          <w:b/>
        </w:rPr>
        <w:t xml:space="preserve">focus </w:t>
      </w:r>
      <w:r w:rsidR="007D657F">
        <w:rPr>
          <w:rFonts w:ascii="Times" w:hAnsi="Times"/>
          <w:b/>
        </w:rPr>
        <w:t>towards</w:t>
      </w:r>
      <w:r w:rsidRPr="009D60D5">
        <w:rPr>
          <w:rFonts w:ascii="Times" w:hAnsi="Times"/>
          <w:b/>
        </w:rPr>
        <w:t xml:space="preserve"> addressing productivity and market failures</w:t>
      </w:r>
      <w:r w:rsidR="007D657F">
        <w:rPr>
          <w:rFonts w:ascii="Times" w:hAnsi="Times"/>
          <w:b/>
        </w:rPr>
        <w:t>, rather than</w:t>
      </w:r>
      <w:r w:rsidRPr="009D60D5">
        <w:rPr>
          <w:rFonts w:ascii="Times" w:hAnsi="Times"/>
          <w:b/>
        </w:rPr>
        <w:t xml:space="preserve"> on the size of beneficiaries</w:t>
      </w:r>
      <w:r w:rsidRPr="00BA0209">
        <w:rPr>
          <w:rFonts w:ascii="Times" w:hAnsi="Times"/>
        </w:rPr>
        <w:t xml:space="preserve">. </w:t>
      </w:r>
      <w:r>
        <w:rPr>
          <w:rFonts w:ascii="Times" w:hAnsi="Times"/>
        </w:rPr>
        <w:t xml:space="preserve"> It is important to recognize that the </w:t>
      </w:r>
      <w:r w:rsidRPr="002D3B10">
        <w:rPr>
          <w:rFonts w:ascii="Times" w:hAnsi="Times"/>
        </w:rPr>
        <w:t>enterprise development track (EDT), under the MSMED Plan 2017-2022, present useful framework</w:t>
      </w:r>
      <w:r>
        <w:rPr>
          <w:rFonts w:ascii="Times" w:hAnsi="Times"/>
        </w:rPr>
        <w:t>s</w:t>
      </w:r>
      <w:r w:rsidRPr="002D3B10">
        <w:rPr>
          <w:rFonts w:ascii="Times" w:hAnsi="Times"/>
        </w:rPr>
        <w:t xml:space="preserve"> to organize the myriad of DTI interventions supporting SMEs along their business cycle. While in theory the EDT promises to serve as a useful device to monitor the evolution of SMEs under support and along its sequential development stages, it is more likely to serve as a construct to balance the targeting efforts of beneficiaries from several programs and differentiate the supporting interventions. For example, the specification of the characteristics of beneficiaries at the different levels has contributed to the definition of clear eligibility criteria for participants. A simple plot of programs along the different </w:t>
      </w:r>
      <w:r w:rsidR="00453A05">
        <w:rPr>
          <w:rFonts w:ascii="Times" w:hAnsi="Times"/>
        </w:rPr>
        <w:t>stages</w:t>
      </w:r>
      <w:r w:rsidR="00453A05" w:rsidRPr="002D3B10">
        <w:rPr>
          <w:rFonts w:ascii="Times" w:hAnsi="Times"/>
        </w:rPr>
        <w:t xml:space="preserve"> </w:t>
      </w:r>
      <w:r w:rsidRPr="002D3B10">
        <w:rPr>
          <w:rFonts w:ascii="Times" w:hAnsi="Times"/>
        </w:rPr>
        <w:t xml:space="preserve">suggest that the DTI policy portfolio for 2017 contain interventions </w:t>
      </w:r>
      <w:r w:rsidR="00ED4995">
        <w:rPr>
          <w:rFonts w:ascii="Times" w:hAnsi="Times"/>
        </w:rPr>
        <w:t xml:space="preserve">that </w:t>
      </w:r>
      <w:r w:rsidRPr="002D3B10">
        <w:rPr>
          <w:rFonts w:ascii="Times" w:hAnsi="Times"/>
        </w:rPr>
        <w:t xml:space="preserve">are relatively balanced along the EDT spectrum. Another conceptual construct that </w:t>
      </w:r>
      <w:r>
        <w:rPr>
          <w:rFonts w:ascii="Times" w:hAnsi="Times"/>
        </w:rPr>
        <w:t xml:space="preserve">has </w:t>
      </w:r>
      <w:r w:rsidRPr="002D3B10">
        <w:rPr>
          <w:rFonts w:ascii="Times" w:hAnsi="Times"/>
        </w:rPr>
        <w:t>assist</w:t>
      </w:r>
      <w:r>
        <w:rPr>
          <w:rFonts w:ascii="Times" w:hAnsi="Times"/>
        </w:rPr>
        <w:t>ed</w:t>
      </w:r>
      <w:r w:rsidRPr="002D3B10">
        <w:rPr>
          <w:rFonts w:ascii="Times" w:hAnsi="Times"/>
        </w:rPr>
        <w:t xml:space="preserve"> Filipino policy practitioners to balance interventions is the DTI’s 7Ms Way of Uplifting MSMEs. The framework provides a useful list of mutually exclusive elements that are likely to enable MSME development growth.</w:t>
      </w:r>
    </w:p>
    <w:p w14:paraId="68BF369D" w14:textId="77777777" w:rsidR="005E7FA6" w:rsidRDefault="005E7FA6" w:rsidP="005E7FA6">
      <w:pPr>
        <w:pStyle w:val="ListParagraph"/>
        <w:ind w:left="360"/>
        <w:jc w:val="both"/>
        <w:rPr>
          <w:rFonts w:ascii="Times" w:hAnsi="Times"/>
        </w:rPr>
      </w:pPr>
    </w:p>
    <w:p w14:paraId="6E2CEE5A" w14:textId="4D9AF0AA" w:rsidR="00B17AE7" w:rsidRDefault="00ED4995" w:rsidP="00AF366A">
      <w:pPr>
        <w:pStyle w:val="ListParagraph"/>
        <w:numPr>
          <w:ilvl w:val="0"/>
          <w:numId w:val="48"/>
        </w:numPr>
        <w:jc w:val="both"/>
        <w:rPr>
          <w:rFonts w:ascii="Times" w:hAnsi="Times"/>
        </w:rPr>
      </w:pPr>
      <w:r>
        <w:rPr>
          <w:rFonts w:ascii="Times" w:hAnsi="Times"/>
          <w:b/>
        </w:rPr>
        <w:t>But focusing on some of these stages of firm growth, and more specifically on the size of firms</w:t>
      </w:r>
      <w:r w:rsidR="00891976">
        <w:rPr>
          <w:rFonts w:ascii="Times" w:hAnsi="Times"/>
          <w:b/>
        </w:rPr>
        <w:t>,</w:t>
      </w:r>
      <w:r>
        <w:rPr>
          <w:rFonts w:ascii="Times" w:hAnsi="Times"/>
          <w:b/>
        </w:rPr>
        <w:t xml:space="preserve"> is too </w:t>
      </w:r>
      <w:r w:rsidR="00891976">
        <w:rPr>
          <w:rFonts w:ascii="Times" w:hAnsi="Times"/>
          <w:b/>
        </w:rPr>
        <w:t xml:space="preserve">A </w:t>
      </w:r>
      <w:r>
        <w:rPr>
          <w:rFonts w:ascii="Times" w:hAnsi="Times"/>
          <w:b/>
        </w:rPr>
        <w:t>narrow focus, and requires a renewed effort to</w:t>
      </w:r>
      <w:r w:rsidR="00B17AE7" w:rsidRPr="00891976">
        <w:rPr>
          <w:rFonts w:ascii="Times" w:hAnsi="Times"/>
          <w:b/>
        </w:rPr>
        <w:t xml:space="preserve"> focus</w:t>
      </w:r>
      <w:r>
        <w:rPr>
          <w:rFonts w:ascii="Times" w:hAnsi="Times"/>
          <w:b/>
        </w:rPr>
        <w:t xml:space="preserve"> on addressing market failures </w:t>
      </w:r>
      <w:r w:rsidR="00B17AE7" w:rsidRPr="00891976">
        <w:rPr>
          <w:rFonts w:ascii="Times" w:hAnsi="Times"/>
          <w:b/>
        </w:rPr>
        <w:t>along clear objectives – e.g. entry and formalization; export and innovation, firm upgrading and technology adoption</w:t>
      </w:r>
      <w:r w:rsidR="00B17AE7" w:rsidRPr="00BA0209">
        <w:rPr>
          <w:rFonts w:ascii="Times" w:hAnsi="Times"/>
        </w:rPr>
        <w:t>.</w:t>
      </w:r>
      <w:r w:rsidR="00B17AE7">
        <w:rPr>
          <w:rFonts w:ascii="Times" w:hAnsi="Times"/>
        </w:rPr>
        <w:t xml:space="preserve"> Th</w:t>
      </w:r>
      <w:r>
        <w:rPr>
          <w:rFonts w:ascii="Times" w:hAnsi="Times"/>
        </w:rPr>
        <w:t>is approach</w:t>
      </w:r>
      <w:r w:rsidR="00B17AE7">
        <w:rPr>
          <w:rFonts w:ascii="Times" w:hAnsi="Times"/>
        </w:rPr>
        <w:t xml:space="preserve"> proved to be relatively underrepresented in the portfolio but feature prominently in the strategy and in our conclusions of technical demands for innovation policy support. </w:t>
      </w:r>
      <w:proofErr w:type="spellStart"/>
      <w:r w:rsidR="00B17AE7" w:rsidRPr="00BA0209">
        <w:rPr>
          <w:rFonts w:ascii="Times" w:hAnsi="Times"/>
        </w:rPr>
        <w:t>GoP</w:t>
      </w:r>
      <w:proofErr w:type="spellEnd"/>
      <w:r w:rsidR="00B17AE7" w:rsidRPr="00BA0209">
        <w:rPr>
          <w:rFonts w:ascii="Times" w:hAnsi="Times"/>
        </w:rPr>
        <w:t xml:space="preserve"> should reduce incoherencies in resource allocation e.g. business innovation, export promotion, and fully expand the use of early-stage instruments, programs that promote access to finance for innovation and collaborative instruments.  </w:t>
      </w:r>
    </w:p>
    <w:p w14:paraId="15227552" w14:textId="77777777" w:rsidR="005E7FA6" w:rsidRDefault="005E7FA6" w:rsidP="005E7FA6">
      <w:pPr>
        <w:pStyle w:val="ListParagraph"/>
        <w:ind w:left="360"/>
        <w:jc w:val="both"/>
        <w:rPr>
          <w:rFonts w:ascii="Times" w:hAnsi="Times"/>
        </w:rPr>
      </w:pPr>
    </w:p>
    <w:p w14:paraId="4CC0E1F7" w14:textId="3F2ED1DA" w:rsidR="00B17AE7" w:rsidRDefault="009A6025" w:rsidP="00AF366A">
      <w:pPr>
        <w:pStyle w:val="ListParagraph"/>
        <w:numPr>
          <w:ilvl w:val="0"/>
          <w:numId w:val="48"/>
        </w:numPr>
        <w:jc w:val="both"/>
        <w:rPr>
          <w:rFonts w:ascii="Times" w:hAnsi="Times"/>
        </w:rPr>
      </w:pPr>
      <w:r>
        <w:rPr>
          <w:rFonts w:ascii="Times" w:hAnsi="Times"/>
          <w:b/>
        </w:rPr>
        <w:t>The</w:t>
      </w:r>
      <w:r w:rsidRPr="00891976">
        <w:rPr>
          <w:rFonts w:ascii="Times" w:hAnsi="Times"/>
          <w:b/>
        </w:rPr>
        <w:t xml:space="preserve"> </w:t>
      </w:r>
      <w:r w:rsidR="00B17AE7" w:rsidRPr="00891976">
        <w:rPr>
          <w:rFonts w:ascii="Times" w:hAnsi="Times"/>
          <w:b/>
        </w:rPr>
        <w:t>analysis confirmed the presence of programs that respond to the key priorities stated in the most current MSME Development Plan</w:t>
      </w:r>
      <w:r w:rsidR="00B17AE7" w:rsidRPr="0077322C">
        <w:rPr>
          <w:rFonts w:ascii="Times" w:hAnsi="Times"/>
        </w:rPr>
        <w:t xml:space="preserve">. However, the relative allocation of funding to specific goals, target beneficiaries and instruments </w:t>
      </w:r>
      <w:r w:rsidR="00ED4995">
        <w:rPr>
          <w:rFonts w:ascii="Times" w:hAnsi="Times"/>
        </w:rPr>
        <w:t>do not fully match</w:t>
      </w:r>
      <w:r w:rsidR="00B17AE7" w:rsidRPr="0077322C">
        <w:rPr>
          <w:rFonts w:ascii="Times" w:hAnsi="Times"/>
        </w:rPr>
        <w:t xml:space="preserve"> the key challenges with full equivalence. We found that while the </w:t>
      </w:r>
      <w:r w:rsidR="007B4170">
        <w:rPr>
          <w:rFonts w:ascii="Times" w:hAnsi="Times"/>
        </w:rPr>
        <w:t>M</w:t>
      </w:r>
      <w:r w:rsidR="00B17AE7" w:rsidRPr="0077322C">
        <w:rPr>
          <w:rFonts w:ascii="Times" w:hAnsi="Times"/>
        </w:rPr>
        <w:t>SME Development Plan placed increased importance of market access and innovation financing, resources allocated in achieving these goals seem insufficient. Furthermore, the targeting of co</w:t>
      </w:r>
      <w:r w:rsidR="00ED4995">
        <w:rPr>
          <w:rFonts w:ascii="Times" w:hAnsi="Times"/>
        </w:rPr>
        <w:t>llaborative groups</w:t>
      </w:r>
      <w:r w:rsidR="00B17AE7" w:rsidRPr="0077322C">
        <w:rPr>
          <w:rFonts w:ascii="Times" w:hAnsi="Times"/>
        </w:rPr>
        <w:t xml:space="preserve"> of firms and </w:t>
      </w:r>
      <w:r w:rsidR="00ED4995">
        <w:rPr>
          <w:rFonts w:ascii="Times" w:hAnsi="Times"/>
        </w:rPr>
        <w:t>other organizations</w:t>
      </w:r>
      <w:r w:rsidR="00ED4995" w:rsidRPr="0077322C">
        <w:rPr>
          <w:rFonts w:ascii="Times" w:hAnsi="Times"/>
        </w:rPr>
        <w:t xml:space="preserve"> </w:t>
      </w:r>
      <w:r w:rsidR="00B17AE7" w:rsidRPr="0077322C">
        <w:rPr>
          <w:rFonts w:ascii="Times" w:hAnsi="Times"/>
        </w:rPr>
        <w:t xml:space="preserve">was practically </w:t>
      </w:r>
      <w:r w:rsidR="001E10FB">
        <w:rPr>
          <w:rFonts w:ascii="Times" w:hAnsi="Times"/>
        </w:rPr>
        <w:t>non-</w:t>
      </w:r>
      <w:r w:rsidR="00B17AE7" w:rsidRPr="0077322C">
        <w:rPr>
          <w:rFonts w:ascii="Times" w:hAnsi="Times"/>
        </w:rPr>
        <w:t>existent, representing less than 1</w:t>
      </w:r>
      <w:r w:rsidR="001E10FB">
        <w:rPr>
          <w:rFonts w:ascii="Times" w:hAnsi="Times"/>
        </w:rPr>
        <w:t xml:space="preserve"> percent</w:t>
      </w:r>
      <w:r w:rsidR="00B17AE7" w:rsidRPr="0077322C">
        <w:rPr>
          <w:rFonts w:ascii="Times" w:hAnsi="Times"/>
        </w:rPr>
        <w:t xml:space="preserve"> of the value share of the portfolio. All these outcomes were relatively underrepresented in the policy portfolio.</w:t>
      </w:r>
    </w:p>
    <w:p w14:paraId="3AE072B3" w14:textId="77777777" w:rsidR="005E7FA6" w:rsidRPr="0077322C" w:rsidRDefault="005E7FA6" w:rsidP="005E7FA6">
      <w:pPr>
        <w:pStyle w:val="ListParagraph"/>
        <w:ind w:left="360"/>
        <w:jc w:val="both"/>
        <w:rPr>
          <w:rFonts w:ascii="Times" w:hAnsi="Times"/>
        </w:rPr>
      </w:pPr>
    </w:p>
    <w:p w14:paraId="1EA99C12" w14:textId="26A8F5EE" w:rsidR="00B17AE7" w:rsidRDefault="00B17AE7" w:rsidP="00AF366A">
      <w:pPr>
        <w:pStyle w:val="ListParagraph"/>
        <w:numPr>
          <w:ilvl w:val="0"/>
          <w:numId w:val="48"/>
        </w:numPr>
        <w:jc w:val="both"/>
        <w:rPr>
          <w:rFonts w:ascii="Times" w:hAnsi="Times"/>
        </w:rPr>
      </w:pPr>
      <w:r w:rsidRPr="001E10FB">
        <w:rPr>
          <w:rFonts w:ascii="Times" w:hAnsi="Times"/>
          <w:b/>
        </w:rPr>
        <w:t xml:space="preserve">Furthermore, </w:t>
      </w:r>
      <w:proofErr w:type="spellStart"/>
      <w:r w:rsidRPr="001E10FB">
        <w:rPr>
          <w:rFonts w:ascii="Times" w:hAnsi="Times"/>
          <w:b/>
        </w:rPr>
        <w:t>GoP</w:t>
      </w:r>
      <w:proofErr w:type="spellEnd"/>
      <w:r w:rsidRPr="001E10FB">
        <w:rPr>
          <w:rFonts w:ascii="Times" w:hAnsi="Times"/>
          <w:b/>
        </w:rPr>
        <w:t xml:space="preserve"> should investigate expanding policy instruments that can further increase the innovation rates among SMEs.</w:t>
      </w:r>
      <w:r w:rsidRPr="0077322C">
        <w:rPr>
          <w:rFonts w:ascii="Times" w:hAnsi="Times"/>
        </w:rPr>
        <w:t xml:space="preserve"> The use of business advisory and technology extension are consistent with the need to address the lack of capabilities in SMEs to conduct innovation, which is one of the key priorities in the current MSME Development Plan. However,</w:t>
      </w:r>
      <w:r>
        <w:rPr>
          <w:rFonts w:ascii="Times" w:hAnsi="Times"/>
        </w:rPr>
        <w:t xml:space="preserve"> to </w:t>
      </w:r>
      <w:r w:rsidRPr="0077322C">
        <w:rPr>
          <w:rFonts w:ascii="Times" w:hAnsi="Times"/>
        </w:rPr>
        <w:t>promot</w:t>
      </w:r>
      <w:r>
        <w:rPr>
          <w:rFonts w:ascii="Times" w:hAnsi="Times"/>
        </w:rPr>
        <w:t>e</w:t>
      </w:r>
      <w:r w:rsidRPr="0077322C">
        <w:rPr>
          <w:rFonts w:ascii="Times" w:hAnsi="Times"/>
        </w:rPr>
        <w:t xml:space="preserve"> knowledge spillovers, and addressing coordination failures between </w:t>
      </w:r>
      <w:r>
        <w:rPr>
          <w:rFonts w:ascii="Times" w:hAnsi="Times"/>
        </w:rPr>
        <w:t xml:space="preserve">knowledge providers </w:t>
      </w:r>
      <w:r w:rsidRPr="0077322C">
        <w:rPr>
          <w:rFonts w:ascii="Times" w:hAnsi="Times"/>
        </w:rPr>
        <w:t xml:space="preserve">and </w:t>
      </w:r>
      <w:r>
        <w:rPr>
          <w:rFonts w:ascii="Times" w:hAnsi="Times"/>
        </w:rPr>
        <w:t xml:space="preserve">firms, </w:t>
      </w:r>
      <w:proofErr w:type="spellStart"/>
      <w:r>
        <w:rPr>
          <w:rFonts w:ascii="Times" w:hAnsi="Times"/>
        </w:rPr>
        <w:t>GoP</w:t>
      </w:r>
      <w:proofErr w:type="spellEnd"/>
      <w:r>
        <w:rPr>
          <w:rFonts w:ascii="Times" w:hAnsi="Times"/>
        </w:rPr>
        <w:t xml:space="preserve"> could </w:t>
      </w:r>
      <w:r w:rsidRPr="0077322C">
        <w:rPr>
          <w:rFonts w:ascii="Times" w:hAnsi="Times"/>
        </w:rPr>
        <w:t>explore the use of vouchers for innovation</w:t>
      </w:r>
      <w:r w:rsidR="00ED4995">
        <w:rPr>
          <w:rFonts w:ascii="Times" w:hAnsi="Times"/>
        </w:rPr>
        <w:t xml:space="preserve"> and</w:t>
      </w:r>
      <w:r w:rsidRPr="0077322C">
        <w:rPr>
          <w:rFonts w:ascii="Times" w:hAnsi="Times"/>
        </w:rPr>
        <w:t xml:space="preserve"> </w:t>
      </w:r>
      <w:r>
        <w:rPr>
          <w:rFonts w:ascii="Times" w:hAnsi="Times"/>
        </w:rPr>
        <w:t xml:space="preserve">collaborative </w:t>
      </w:r>
      <w:r w:rsidRPr="0077322C">
        <w:rPr>
          <w:rFonts w:ascii="Times" w:hAnsi="Times"/>
        </w:rPr>
        <w:t xml:space="preserve">grants, </w:t>
      </w:r>
      <w:r>
        <w:rPr>
          <w:rFonts w:ascii="Times" w:hAnsi="Times"/>
        </w:rPr>
        <w:t xml:space="preserve">which could </w:t>
      </w:r>
      <w:r w:rsidRPr="0077322C">
        <w:rPr>
          <w:rFonts w:ascii="Times" w:hAnsi="Times"/>
        </w:rPr>
        <w:t>complement the current focus on SME financing to address specific risk issues related to investing in innovation.</w:t>
      </w:r>
    </w:p>
    <w:p w14:paraId="72494B06" w14:textId="77777777" w:rsidR="005E7FA6" w:rsidRPr="0077322C" w:rsidRDefault="005E7FA6" w:rsidP="005E7FA6">
      <w:pPr>
        <w:pStyle w:val="ListParagraph"/>
        <w:ind w:left="360"/>
        <w:jc w:val="both"/>
        <w:rPr>
          <w:rFonts w:ascii="Times" w:hAnsi="Times"/>
        </w:rPr>
      </w:pPr>
    </w:p>
    <w:p w14:paraId="6BD5221F" w14:textId="1708132E" w:rsidR="00B17AE7" w:rsidRDefault="00B17AE7" w:rsidP="00AF366A">
      <w:pPr>
        <w:pStyle w:val="ListParagraph"/>
        <w:numPr>
          <w:ilvl w:val="0"/>
          <w:numId w:val="48"/>
        </w:numPr>
        <w:jc w:val="both"/>
        <w:rPr>
          <w:rFonts w:ascii="Times" w:hAnsi="Times"/>
        </w:rPr>
      </w:pPr>
      <w:r w:rsidRPr="001E10FB">
        <w:rPr>
          <w:rFonts w:ascii="Times" w:hAnsi="Times"/>
          <w:b/>
          <w:bCs/>
        </w:rPr>
        <w:t xml:space="preserve">The policy mix provides a limited set of programs that address improved market access despite the importance placed </w:t>
      </w:r>
      <w:r w:rsidR="0068235E" w:rsidRPr="001E10FB">
        <w:rPr>
          <w:rFonts w:ascii="Times" w:hAnsi="Times"/>
          <w:b/>
          <w:bCs/>
        </w:rPr>
        <w:t xml:space="preserve">on </w:t>
      </w:r>
      <w:r w:rsidRPr="001E10FB">
        <w:rPr>
          <w:rFonts w:ascii="Times" w:hAnsi="Times"/>
          <w:b/>
          <w:bCs/>
        </w:rPr>
        <w:t>this goal in the MSME Development Plan</w:t>
      </w:r>
      <w:r w:rsidRPr="005101B4">
        <w:rPr>
          <w:rFonts w:ascii="Times" w:hAnsi="Times"/>
          <w:bCs/>
        </w:rPr>
        <w:t xml:space="preserve">. </w:t>
      </w:r>
      <w:r w:rsidRPr="005101B4">
        <w:rPr>
          <w:rFonts w:ascii="Times" w:hAnsi="Times"/>
        </w:rPr>
        <w:t>Considering the international trade partnerships such as the ASEAN Common Market and the APEC partnership, the plan also makes references to SME specific ASEAN and APEC related strategies</w:t>
      </w:r>
      <w:r w:rsidRPr="005101B4">
        <w:rPr>
          <w:rStyle w:val="FootnoteReference"/>
          <w:rFonts w:ascii="Times" w:hAnsi="Times"/>
        </w:rPr>
        <w:footnoteReference w:id="6"/>
      </w:r>
      <w:r w:rsidRPr="005101B4">
        <w:rPr>
          <w:rFonts w:ascii="Times" w:hAnsi="Times"/>
        </w:rPr>
        <w:t xml:space="preserve">. Notably, the </w:t>
      </w:r>
      <w:proofErr w:type="spellStart"/>
      <w:r w:rsidRPr="005101B4">
        <w:rPr>
          <w:rFonts w:ascii="Times" w:hAnsi="Times"/>
          <w:i/>
          <w:iCs/>
        </w:rPr>
        <w:t>Kapatid</w:t>
      </w:r>
      <w:proofErr w:type="spellEnd"/>
      <w:r w:rsidRPr="005101B4">
        <w:rPr>
          <w:rFonts w:ascii="Times" w:hAnsi="Times"/>
          <w:i/>
          <w:iCs/>
        </w:rPr>
        <w:t xml:space="preserve">: </w:t>
      </w:r>
      <w:proofErr w:type="spellStart"/>
      <w:r w:rsidRPr="005101B4">
        <w:rPr>
          <w:rFonts w:ascii="Times" w:hAnsi="Times"/>
          <w:i/>
          <w:iCs/>
        </w:rPr>
        <w:t>Angat</w:t>
      </w:r>
      <w:proofErr w:type="spellEnd"/>
      <w:r w:rsidRPr="005101B4">
        <w:rPr>
          <w:rFonts w:ascii="Times" w:hAnsi="Times"/>
          <w:i/>
          <w:iCs/>
        </w:rPr>
        <w:t xml:space="preserve"> Lahat program</w:t>
      </w:r>
      <w:r w:rsidRPr="005101B4">
        <w:rPr>
          <w:rFonts w:ascii="Times" w:hAnsi="Times"/>
        </w:rPr>
        <w:t xml:space="preserve">, which has been profiled in this mapping, stands as one of Philippine’s most prominent initiatives to link SMEs with larger firms as suppliers, enabling market-oriented quality upgrading and innovation. The Go </w:t>
      </w:r>
      <w:proofErr w:type="spellStart"/>
      <w:r w:rsidRPr="005101B4">
        <w:rPr>
          <w:rFonts w:ascii="Times" w:hAnsi="Times"/>
        </w:rPr>
        <w:t>Lokal</w:t>
      </w:r>
      <w:proofErr w:type="spellEnd"/>
      <w:r w:rsidRPr="005101B4">
        <w:rPr>
          <w:rFonts w:ascii="Times" w:hAnsi="Times"/>
        </w:rPr>
        <w:t xml:space="preserve">, OTOP and </w:t>
      </w:r>
      <w:proofErr w:type="spellStart"/>
      <w:r w:rsidRPr="005101B4">
        <w:rPr>
          <w:rFonts w:ascii="Times" w:hAnsi="Times"/>
        </w:rPr>
        <w:t>Sikat</w:t>
      </w:r>
      <w:proofErr w:type="spellEnd"/>
      <w:r w:rsidRPr="005101B4">
        <w:rPr>
          <w:rFonts w:ascii="Times" w:hAnsi="Times"/>
        </w:rPr>
        <w:t xml:space="preserve"> </w:t>
      </w:r>
      <w:proofErr w:type="spellStart"/>
      <w:r w:rsidRPr="005101B4">
        <w:rPr>
          <w:rFonts w:ascii="Times" w:hAnsi="Times"/>
        </w:rPr>
        <w:t>Pinoy</w:t>
      </w:r>
      <w:proofErr w:type="spellEnd"/>
      <w:r w:rsidRPr="005101B4">
        <w:rPr>
          <w:rFonts w:ascii="Times" w:hAnsi="Times"/>
        </w:rPr>
        <w:t xml:space="preserve"> programs featured in our mapping are meant to assist SMEs in the development of high-quality products and marketing services to promote their products. However, </w:t>
      </w:r>
      <w:r>
        <w:rPr>
          <w:rFonts w:ascii="Times" w:hAnsi="Times"/>
        </w:rPr>
        <w:t xml:space="preserve">we found that the funding to promote </w:t>
      </w:r>
      <w:r w:rsidRPr="005101B4">
        <w:rPr>
          <w:rFonts w:ascii="Times" w:hAnsi="Times"/>
        </w:rPr>
        <w:t xml:space="preserve">market access for </w:t>
      </w:r>
      <w:r>
        <w:rPr>
          <w:rFonts w:ascii="Times" w:hAnsi="Times"/>
        </w:rPr>
        <w:t>firms was low</w:t>
      </w:r>
      <w:r w:rsidRPr="005101B4">
        <w:rPr>
          <w:rFonts w:ascii="Times" w:hAnsi="Times"/>
        </w:rPr>
        <w:t xml:space="preserve">, </w:t>
      </w:r>
      <w:r>
        <w:rPr>
          <w:rFonts w:ascii="Times" w:hAnsi="Times"/>
        </w:rPr>
        <w:t xml:space="preserve">representing between 5 and </w:t>
      </w:r>
      <w:r w:rsidRPr="005101B4">
        <w:rPr>
          <w:rFonts w:ascii="Times" w:hAnsi="Times"/>
        </w:rPr>
        <w:t xml:space="preserve">7% of expenditures </w:t>
      </w:r>
      <w:r>
        <w:rPr>
          <w:rFonts w:ascii="Times" w:hAnsi="Times"/>
        </w:rPr>
        <w:t>in 2</w:t>
      </w:r>
      <w:r w:rsidR="007B4170">
        <w:rPr>
          <w:rFonts w:ascii="Times" w:hAnsi="Times"/>
        </w:rPr>
        <w:t>0</w:t>
      </w:r>
      <w:r>
        <w:rPr>
          <w:rFonts w:ascii="Times" w:hAnsi="Times"/>
        </w:rPr>
        <w:t>17</w:t>
      </w:r>
      <w:r w:rsidRPr="005101B4">
        <w:rPr>
          <w:rFonts w:ascii="Times" w:hAnsi="Times"/>
        </w:rPr>
        <w:t xml:space="preserve">. </w:t>
      </w:r>
      <w:r>
        <w:rPr>
          <w:rFonts w:ascii="Times" w:hAnsi="Times"/>
        </w:rPr>
        <w:t xml:space="preserve">The </w:t>
      </w:r>
      <w:r w:rsidRPr="005101B4">
        <w:rPr>
          <w:rFonts w:ascii="Times" w:hAnsi="Times"/>
        </w:rPr>
        <w:t>WBG enterprise survey</w:t>
      </w:r>
      <w:r>
        <w:rPr>
          <w:rFonts w:ascii="Times" w:hAnsi="Times"/>
        </w:rPr>
        <w:t xml:space="preserve"> indicated that firms remain </w:t>
      </w:r>
      <w:r w:rsidRPr="005101B4">
        <w:rPr>
          <w:rFonts w:ascii="Times" w:hAnsi="Times"/>
        </w:rPr>
        <w:t xml:space="preserve">in relative isolation from foreign markets, and the percent of Filipino firms exporting directly (at least 10% of sales) stood at just 7.1%, a rate much lower than that of its regional and structural peers (see annex). Furthermore, whereas 24% of large firms exported in 2015, only 9% of 4% of medium and small firms </w:t>
      </w:r>
      <w:r>
        <w:rPr>
          <w:rFonts w:ascii="Times" w:hAnsi="Times"/>
        </w:rPr>
        <w:t>did in the same year</w:t>
      </w:r>
      <w:r w:rsidRPr="005101B4">
        <w:rPr>
          <w:rFonts w:ascii="Times" w:hAnsi="Times"/>
        </w:rPr>
        <w:t>.</w:t>
      </w:r>
    </w:p>
    <w:p w14:paraId="767E9486" w14:textId="77777777" w:rsidR="005E7FA6" w:rsidRPr="005101B4" w:rsidRDefault="005E7FA6" w:rsidP="005E7FA6">
      <w:pPr>
        <w:pStyle w:val="ListParagraph"/>
        <w:ind w:left="360"/>
        <w:jc w:val="both"/>
        <w:rPr>
          <w:rFonts w:ascii="Times" w:hAnsi="Times"/>
        </w:rPr>
      </w:pPr>
    </w:p>
    <w:p w14:paraId="6A8AF951" w14:textId="413C2432" w:rsidR="00B17AE7" w:rsidRDefault="00B17AE7" w:rsidP="00AF366A">
      <w:pPr>
        <w:pStyle w:val="ListParagraph"/>
        <w:numPr>
          <w:ilvl w:val="0"/>
          <w:numId w:val="48"/>
        </w:numPr>
        <w:jc w:val="both"/>
        <w:rPr>
          <w:rFonts w:ascii="Times" w:hAnsi="Times"/>
        </w:rPr>
      </w:pPr>
      <w:r w:rsidRPr="001E0C12">
        <w:rPr>
          <w:rFonts w:ascii="Times" w:hAnsi="Times"/>
          <w:b/>
        </w:rPr>
        <w:t xml:space="preserve">SMEs seeking to innovate may require </w:t>
      </w:r>
      <w:r w:rsidR="00ED4995">
        <w:rPr>
          <w:rFonts w:ascii="Times" w:hAnsi="Times"/>
          <w:b/>
        </w:rPr>
        <w:t>other</w:t>
      </w:r>
      <w:r w:rsidR="00ED4995" w:rsidRPr="005813C6">
        <w:rPr>
          <w:rFonts w:ascii="Times" w:hAnsi="Times"/>
          <w:b/>
        </w:rPr>
        <w:t xml:space="preserve"> </w:t>
      </w:r>
      <w:r w:rsidRPr="005813C6">
        <w:rPr>
          <w:rFonts w:ascii="Times" w:hAnsi="Times"/>
          <w:b/>
        </w:rPr>
        <w:t>forms of financing which is not meaningfully addressed by the current policies</w:t>
      </w:r>
      <w:r w:rsidRPr="00045112">
        <w:rPr>
          <w:rFonts w:ascii="Times" w:hAnsi="Times"/>
        </w:rPr>
        <w:t xml:space="preserve">.  Given information asymmetries between innovators and financiers, lack of SME capacity </w:t>
      </w:r>
      <w:r w:rsidR="0068235E">
        <w:rPr>
          <w:rFonts w:ascii="Times" w:hAnsi="Times"/>
        </w:rPr>
        <w:t>t</w:t>
      </w:r>
      <w:r w:rsidRPr="00045112">
        <w:rPr>
          <w:rFonts w:ascii="Times" w:hAnsi="Times"/>
        </w:rPr>
        <w:t xml:space="preserve">o conduct innovation activity, and inability of lenders to bear risk of uncertain outcomes from innovative activities, </w:t>
      </w:r>
      <w:r w:rsidR="00ED4995">
        <w:rPr>
          <w:rFonts w:ascii="Times" w:hAnsi="Times"/>
        </w:rPr>
        <w:t>other</w:t>
      </w:r>
      <w:r w:rsidR="00ED4995" w:rsidRPr="00045112">
        <w:rPr>
          <w:rFonts w:ascii="Times" w:hAnsi="Times"/>
        </w:rPr>
        <w:t xml:space="preserve"> </w:t>
      </w:r>
      <w:r w:rsidRPr="00045112">
        <w:rPr>
          <w:rFonts w:ascii="Times" w:hAnsi="Times"/>
        </w:rPr>
        <w:t>forms of finance may be a better match for SMEs who seek to innovate. Matching grants for innovation have been extensively used for inducing innovation investments among SMEs (Cirera, X.; J. Frias; J. Hill and Y. Li; forthcoming)</w:t>
      </w:r>
      <w:r w:rsidR="00ED4995">
        <w:rPr>
          <w:rFonts w:ascii="Times" w:hAnsi="Times"/>
        </w:rPr>
        <w:t xml:space="preserve"> when capabilities are </w:t>
      </w:r>
      <w:proofErr w:type="gramStart"/>
      <w:r w:rsidR="00ED4995">
        <w:rPr>
          <w:rFonts w:ascii="Times" w:hAnsi="Times"/>
        </w:rPr>
        <w:t>low</w:t>
      </w:r>
      <w:proofErr w:type="gramEnd"/>
      <w:r w:rsidR="00ED4995">
        <w:rPr>
          <w:rFonts w:ascii="Times" w:hAnsi="Times"/>
        </w:rPr>
        <w:t xml:space="preserve"> and they come with technical assistance or when potential externalities are high</w:t>
      </w:r>
      <w:r w:rsidRPr="00045112">
        <w:rPr>
          <w:rFonts w:ascii="Times" w:hAnsi="Times"/>
        </w:rPr>
        <w:t>.</w:t>
      </w:r>
      <w:r w:rsidR="00ED4995">
        <w:rPr>
          <w:rFonts w:ascii="Times" w:hAnsi="Times"/>
        </w:rPr>
        <w:t xml:space="preserve"> Credit guarantees can help addressing risk issues in financial markets</w:t>
      </w:r>
      <w:r w:rsidR="0048067D">
        <w:rPr>
          <w:rFonts w:ascii="Times" w:hAnsi="Times"/>
        </w:rPr>
        <w:t>.</w:t>
      </w:r>
      <w:r w:rsidRPr="00045112">
        <w:rPr>
          <w:rFonts w:ascii="Times" w:hAnsi="Times"/>
        </w:rPr>
        <w:t xml:space="preserve"> </w:t>
      </w:r>
      <w:r w:rsidR="0048067D">
        <w:rPr>
          <w:rFonts w:ascii="Times" w:hAnsi="Times"/>
        </w:rPr>
        <w:t>Also</w:t>
      </w:r>
      <w:r w:rsidRPr="00045112">
        <w:rPr>
          <w:rFonts w:ascii="Times" w:hAnsi="Times"/>
        </w:rPr>
        <w:t>, instruments such as venture capital availability and local equity financing were found to be weaker in the Philippines’ ecosystem relative to its regional peers, particularly Malaysia and China IN 2017 (WEF, WDI and GCI, 2018).</w:t>
      </w:r>
      <w:r w:rsidR="005E7FA6">
        <w:rPr>
          <w:rFonts w:ascii="Times" w:hAnsi="Times"/>
        </w:rPr>
        <w:t xml:space="preserve"> </w:t>
      </w:r>
      <w:r w:rsidRPr="00045112">
        <w:rPr>
          <w:rFonts w:ascii="Times" w:hAnsi="Times"/>
        </w:rPr>
        <w:t xml:space="preserve">As of 2017, a few tech startups have attracted modest regional investment from deals such as those involving </w:t>
      </w:r>
      <w:proofErr w:type="spellStart"/>
      <w:r w:rsidRPr="00045112">
        <w:rPr>
          <w:rFonts w:ascii="Times" w:hAnsi="Times"/>
        </w:rPr>
        <w:t>PawnHero</w:t>
      </w:r>
      <w:proofErr w:type="spellEnd"/>
      <w:r w:rsidRPr="00045112">
        <w:rPr>
          <w:rFonts w:ascii="Times" w:hAnsi="Times"/>
        </w:rPr>
        <w:t>, and coins.ph (CB Insights, 2017).</w:t>
      </w:r>
    </w:p>
    <w:p w14:paraId="28C8895A" w14:textId="77777777" w:rsidR="005E7FA6" w:rsidRPr="005E7FA6" w:rsidRDefault="005E7FA6" w:rsidP="005E7FA6">
      <w:pPr>
        <w:pStyle w:val="ListParagraph"/>
        <w:rPr>
          <w:rFonts w:ascii="Times" w:hAnsi="Times"/>
        </w:rPr>
      </w:pPr>
    </w:p>
    <w:p w14:paraId="708B9494" w14:textId="22B19EB6" w:rsidR="00B17AE7" w:rsidRDefault="00B17AE7" w:rsidP="00AF366A">
      <w:pPr>
        <w:pStyle w:val="ListParagraph"/>
        <w:numPr>
          <w:ilvl w:val="0"/>
          <w:numId w:val="48"/>
        </w:numPr>
        <w:jc w:val="both"/>
        <w:rPr>
          <w:rFonts w:ascii="Times" w:hAnsi="Times"/>
        </w:rPr>
      </w:pPr>
      <w:r w:rsidRPr="005813C6">
        <w:rPr>
          <w:rFonts w:ascii="Times" w:hAnsi="Times"/>
          <w:b/>
        </w:rPr>
        <w:t>There is a large bias in innovation towards S&amp;T, suggesting that a rebalancing of the policy mix is needed towards business innovation</w:t>
      </w:r>
      <w:r w:rsidRPr="00BA0209">
        <w:rPr>
          <w:rFonts w:ascii="Times" w:hAnsi="Times"/>
        </w:rPr>
        <w:t>.</w:t>
      </w:r>
      <w:r>
        <w:rPr>
          <w:rFonts w:ascii="Times" w:hAnsi="Times"/>
        </w:rPr>
        <w:t xml:space="preserve"> Funds for scholarships and targeted to universities consume a significant portion of the resources in the policy mix.  </w:t>
      </w:r>
      <w:r w:rsidRPr="00244B73">
        <w:rPr>
          <w:rFonts w:ascii="Times" w:hAnsi="Times"/>
        </w:rPr>
        <w:t xml:space="preserve">The features of MSME Development Plan places priority on increasing business capacity of SMEs, particularly through its </w:t>
      </w:r>
      <w:r w:rsidRPr="00244B73">
        <w:rPr>
          <w:rFonts w:ascii="Times" w:hAnsi="Times"/>
          <w:i/>
        </w:rPr>
        <w:t>Enhanced Management and Labor Capacities</w:t>
      </w:r>
      <w:r w:rsidRPr="00244B73">
        <w:rPr>
          <w:rFonts w:ascii="Times" w:hAnsi="Times"/>
        </w:rPr>
        <w:t xml:space="preserve"> and its </w:t>
      </w:r>
      <w:r w:rsidRPr="00244B73">
        <w:rPr>
          <w:rFonts w:ascii="Times" w:hAnsi="Times"/>
          <w:i/>
        </w:rPr>
        <w:t>Improved Access to Technology and Innovation</w:t>
      </w:r>
      <w:r w:rsidRPr="00244B73">
        <w:rPr>
          <w:rFonts w:ascii="Times" w:hAnsi="Times"/>
        </w:rPr>
        <w:t xml:space="preserve"> components. </w:t>
      </w:r>
      <w:r>
        <w:rPr>
          <w:rFonts w:ascii="Times" w:hAnsi="Times"/>
        </w:rPr>
        <w:t>However, most of the resources remain skewed towards scholarships, channeled through universities to benefit individuals.</w:t>
      </w:r>
      <w:r w:rsidR="0048067D">
        <w:rPr>
          <w:rFonts w:ascii="Times" w:hAnsi="Times"/>
        </w:rPr>
        <w:t xml:space="preserve"> There is also a tendency (see next chapter) to frame technology transfer in terms of facilitating transfer from won PROs and not necessarily from cheaper and more efficient technology in the market.  </w:t>
      </w:r>
    </w:p>
    <w:p w14:paraId="6CB9F8DE" w14:textId="77777777" w:rsidR="005E7FA6" w:rsidRPr="00244B73" w:rsidRDefault="005E7FA6" w:rsidP="005E7FA6">
      <w:pPr>
        <w:pStyle w:val="ListParagraph"/>
        <w:ind w:left="360"/>
        <w:jc w:val="both"/>
        <w:rPr>
          <w:rFonts w:ascii="Times" w:hAnsi="Times"/>
        </w:rPr>
      </w:pPr>
    </w:p>
    <w:p w14:paraId="35CFF125" w14:textId="0BB873C0" w:rsidR="00B17AE7" w:rsidRDefault="00B17AE7" w:rsidP="00AF366A">
      <w:pPr>
        <w:pStyle w:val="ListParagraph"/>
        <w:numPr>
          <w:ilvl w:val="0"/>
          <w:numId w:val="48"/>
        </w:numPr>
        <w:jc w:val="both"/>
        <w:rPr>
          <w:rFonts w:ascii="Times" w:hAnsi="Times"/>
        </w:rPr>
      </w:pPr>
      <w:r w:rsidRPr="001E0C12">
        <w:rPr>
          <w:rFonts w:ascii="Times" w:hAnsi="Times"/>
          <w:b/>
        </w:rPr>
        <w:t>While a significant portion of beneficiaries were young firms, the amount of funding allocated to entrepreneurship seems limited</w:t>
      </w:r>
      <w:r w:rsidRPr="007A6797">
        <w:rPr>
          <w:rFonts w:ascii="Times" w:hAnsi="Times"/>
        </w:rPr>
        <w:t xml:space="preserve">. This mixed result should be further scrutinized considering the importance placed on new business formation in the MSME Development Plan. According to GEDI, Philippines’ start-up skills are stronger than its peers, and GEM in 2015 rated Filipino entrepreneurial traits as above average for world standards. However, new business formation has been stagnant over time, and is way lower than the rate in Malaysia (top performer), according to the GEM - Global Entrepreneurship Monitor. The WDI of the World Bank, revealed that in 2018, the Filipino ecosystem suffered low rate of firm births (WDI, 2018). Furthermore, the reduced number of new business density during the period extending from 2006 to 2016 was the lowest among comparative economies, such as Vietnam and Indonesia (World Bank Doing Business Entrepreneurship Database). Our analysis of the policy mix to support SMEs identified and profiled several programs that support startups, including Go </w:t>
      </w:r>
      <w:proofErr w:type="spellStart"/>
      <w:r w:rsidRPr="007A6797">
        <w:rPr>
          <w:rFonts w:ascii="Times" w:hAnsi="Times"/>
        </w:rPr>
        <w:t>Negosyo</w:t>
      </w:r>
      <w:proofErr w:type="spellEnd"/>
      <w:r w:rsidRPr="007A6797">
        <w:rPr>
          <w:rFonts w:ascii="Times" w:hAnsi="Times"/>
        </w:rPr>
        <w:t xml:space="preserve"> (i.e. its start-up fund), TBI, TECHNICOM and SET-UP. TBI for example, works for establishing supporting infrastructure in </w:t>
      </w:r>
      <w:proofErr w:type="spellStart"/>
      <w:r w:rsidRPr="007A6797">
        <w:rPr>
          <w:rFonts w:ascii="Times" w:hAnsi="Times"/>
        </w:rPr>
        <w:t>HigheEd</w:t>
      </w:r>
      <w:proofErr w:type="spellEnd"/>
      <w:r w:rsidRPr="007A6797">
        <w:rPr>
          <w:rFonts w:ascii="Times" w:hAnsi="Times"/>
        </w:rPr>
        <w:t xml:space="preserve"> institutes and State Colleges that can assists entrepreneurs to get off the ground. However, our analysis also revealed that by value of objectives, about </w:t>
      </w:r>
      <w:r>
        <w:rPr>
          <w:rFonts w:ascii="Times" w:hAnsi="Times"/>
        </w:rPr>
        <w:t>4.9</w:t>
      </w:r>
      <w:r w:rsidRPr="007A6797">
        <w:rPr>
          <w:rFonts w:ascii="Times" w:hAnsi="Times"/>
        </w:rPr>
        <w:t xml:space="preserve">% of the value of the portfolio was devoted to entrepreneurship in 2017. Increasing the </w:t>
      </w:r>
      <w:r w:rsidR="0048067D">
        <w:rPr>
          <w:rFonts w:ascii="Times" w:hAnsi="Times"/>
        </w:rPr>
        <w:t xml:space="preserve">quantity and quality of entrepreneurs </w:t>
      </w:r>
      <w:r w:rsidRPr="007A6797">
        <w:rPr>
          <w:rFonts w:ascii="Times" w:hAnsi="Times"/>
        </w:rPr>
        <w:t xml:space="preserve">would </w:t>
      </w:r>
      <w:r w:rsidR="0048067D">
        <w:rPr>
          <w:rFonts w:ascii="Times" w:hAnsi="Times"/>
        </w:rPr>
        <w:t>require</w:t>
      </w:r>
      <w:r w:rsidR="0048067D" w:rsidRPr="007A6797">
        <w:rPr>
          <w:rFonts w:ascii="Times" w:hAnsi="Times"/>
        </w:rPr>
        <w:t xml:space="preserve"> </w:t>
      </w:r>
      <w:r w:rsidRPr="007A6797">
        <w:rPr>
          <w:rFonts w:ascii="Times" w:hAnsi="Times"/>
        </w:rPr>
        <w:t xml:space="preserve">investing more aggressively in programs that support </w:t>
      </w:r>
      <w:r w:rsidR="0048067D">
        <w:rPr>
          <w:rFonts w:ascii="Times" w:hAnsi="Times"/>
        </w:rPr>
        <w:t xml:space="preserve">entrepreneurship culture </w:t>
      </w:r>
      <w:proofErr w:type="gramStart"/>
      <w:r w:rsidRPr="007A6797">
        <w:rPr>
          <w:rFonts w:ascii="Times" w:hAnsi="Times"/>
        </w:rPr>
        <w:t>and</w:t>
      </w:r>
      <w:r w:rsidR="0048067D">
        <w:rPr>
          <w:rFonts w:ascii="Times" w:hAnsi="Times"/>
        </w:rPr>
        <w:t xml:space="preserve"> also</w:t>
      </w:r>
      <w:proofErr w:type="gramEnd"/>
      <w:r w:rsidRPr="007A6797">
        <w:rPr>
          <w:rFonts w:ascii="Times" w:hAnsi="Times"/>
        </w:rPr>
        <w:t xml:space="preserve"> ventures in the early stages of their life-cycle.</w:t>
      </w:r>
    </w:p>
    <w:p w14:paraId="59E7042D" w14:textId="77777777" w:rsidR="005E7FA6" w:rsidRDefault="005E7FA6" w:rsidP="005E7FA6">
      <w:pPr>
        <w:pStyle w:val="ListParagraph"/>
        <w:ind w:left="360"/>
        <w:jc w:val="both"/>
        <w:rPr>
          <w:rFonts w:ascii="Times" w:hAnsi="Times"/>
        </w:rPr>
      </w:pPr>
    </w:p>
    <w:p w14:paraId="0562EA31" w14:textId="42C7603C" w:rsidR="00B17AE7" w:rsidRDefault="00B17AE7" w:rsidP="00AF366A">
      <w:pPr>
        <w:pStyle w:val="ListParagraph"/>
        <w:numPr>
          <w:ilvl w:val="0"/>
          <w:numId w:val="48"/>
        </w:numPr>
        <w:jc w:val="both"/>
        <w:rPr>
          <w:rFonts w:ascii="Times" w:hAnsi="Times"/>
        </w:rPr>
      </w:pPr>
      <w:r w:rsidRPr="001E0C12">
        <w:rPr>
          <w:rFonts w:ascii="Times" w:hAnsi="Times"/>
          <w:b/>
        </w:rPr>
        <w:t>At the ecosystem level, Philippines revealed a weak performance in university-industry R&amp;D collaboration</w:t>
      </w:r>
      <w:r w:rsidR="0048067D">
        <w:rPr>
          <w:rFonts w:ascii="Times" w:hAnsi="Times"/>
          <w:b/>
        </w:rPr>
        <w:t>, also part of the ST bias in STI</w:t>
      </w:r>
      <w:r w:rsidRPr="001E0C12">
        <w:rPr>
          <w:rFonts w:ascii="Times" w:hAnsi="Times"/>
          <w:b/>
        </w:rPr>
        <w:t>.</w:t>
      </w:r>
      <w:r w:rsidRPr="00E7430E">
        <w:rPr>
          <w:rFonts w:ascii="Times" w:hAnsi="Times"/>
        </w:rPr>
        <w:t xml:space="preserve"> According to the world economic forum, the level of University-Industry Collaboration ranked low, which could be limiting the speed at which technologies diffuse in the local economy. Consequently, Philippine firms showed less propensity to adopt existing technologies than firms in peer countries, as in 2015, only 11.2% percent of firms used technology licensed from foreign companies, much lower than comparable peers (Enterprise Survey, World Bank`). Our analysis included TBI which by its own nature, </w:t>
      </w:r>
      <w:r w:rsidR="00FD6D92">
        <w:rPr>
          <w:rFonts w:ascii="Times" w:hAnsi="Times"/>
        </w:rPr>
        <w:t xml:space="preserve">supports </w:t>
      </w:r>
      <w:r w:rsidRPr="00E7430E">
        <w:rPr>
          <w:rFonts w:ascii="Times" w:hAnsi="Times"/>
        </w:rPr>
        <w:t>startups in academic institutions. Moreover, we profiled TECHNICOM, a program that accelerate the commercialization of locally developed innovations. These are great examples of prominent programs working in this space.</w:t>
      </w:r>
      <w:r w:rsidR="0048067D">
        <w:rPr>
          <w:rFonts w:ascii="Times" w:hAnsi="Times"/>
        </w:rPr>
        <w:t xml:space="preserve"> However, they are often based on the premise that the technology to be transferred is the one developed by their own PROs, and not the most cost efficient in the market. Also,</w:t>
      </w:r>
      <w:r w:rsidRPr="00E7430E">
        <w:rPr>
          <w:rFonts w:ascii="Times" w:hAnsi="Times"/>
        </w:rPr>
        <w:t xml:space="preserve"> and while technology transfer and extension </w:t>
      </w:r>
      <w:r>
        <w:rPr>
          <w:rFonts w:ascii="Times" w:hAnsi="Times"/>
        </w:rPr>
        <w:t xml:space="preserve">were represented in </w:t>
      </w:r>
      <w:r w:rsidRPr="00E7430E">
        <w:rPr>
          <w:rFonts w:ascii="Times" w:hAnsi="Times"/>
        </w:rPr>
        <w:t xml:space="preserve">the portfolio, the relative share of the portfolio devoted to targeted collaboration, in the form of supporting consortia of firms and academia, stood at less than 1% of the total value. Moreover, the value for the use of collaborative grants between </w:t>
      </w:r>
      <w:r>
        <w:rPr>
          <w:rFonts w:ascii="Times" w:hAnsi="Times"/>
        </w:rPr>
        <w:t xml:space="preserve">firms </w:t>
      </w:r>
      <w:r w:rsidRPr="00E7430E">
        <w:rPr>
          <w:rFonts w:ascii="Times" w:hAnsi="Times"/>
        </w:rPr>
        <w:t xml:space="preserve">and academia seemed insignificant. </w:t>
      </w:r>
      <w:r>
        <w:rPr>
          <w:rFonts w:ascii="Times" w:hAnsi="Times"/>
        </w:rPr>
        <w:t xml:space="preserve"> </w:t>
      </w:r>
    </w:p>
    <w:p w14:paraId="7D3A5B06" w14:textId="77777777" w:rsidR="005E7FA6" w:rsidRPr="00E7430E" w:rsidRDefault="005E7FA6" w:rsidP="005E7FA6">
      <w:pPr>
        <w:pStyle w:val="ListParagraph"/>
        <w:ind w:left="360"/>
        <w:jc w:val="both"/>
        <w:rPr>
          <w:rFonts w:ascii="Times" w:hAnsi="Times"/>
        </w:rPr>
      </w:pPr>
    </w:p>
    <w:p w14:paraId="3EBF13CC" w14:textId="75C3BBAE" w:rsidR="00B17AE7" w:rsidRPr="005E7FA6" w:rsidRDefault="00B17AE7" w:rsidP="00AF366A">
      <w:pPr>
        <w:pStyle w:val="ListParagraph"/>
        <w:numPr>
          <w:ilvl w:val="0"/>
          <w:numId w:val="48"/>
        </w:numPr>
        <w:jc w:val="both"/>
        <w:rPr>
          <w:rFonts w:cs="Times New Roman"/>
        </w:rPr>
      </w:pPr>
      <w:r w:rsidRPr="001E0C12">
        <w:rPr>
          <w:rFonts w:ascii="Times" w:hAnsi="Times"/>
          <w:b/>
        </w:rPr>
        <w:t xml:space="preserve">The policy mix needs to include policies that make a greater use of market-creating instruments, e.g. credit guarantees for innovation </w:t>
      </w:r>
      <w:r w:rsidR="0048067D">
        <w:rPr>
          <w:rFonts w:ascii="Times" w:hAnsi="Times"/>
          <w:b/>
        </w:rPr>
        <w:t>or</w:t>
      </w:r>
      <w:r w:rsidR="0048067D" w:rsidRPr="001E0C12">
        <w:rPr>
          <w:rFonts w:ascii="Times" w:hAnsi="Times"/>
          <w:b/>
        </w:rPr>
        <w:t xml:space="preserve"> </w:t>
      </w:r>
      <w:r w:rsidRPr="001E0C12">
        <w:rPr>
          <w:rFonts w:ascii="Times" w:hAnsi="Times"/>
          <w:b/>
        </w:rPr>
        <w:t xml:space="preserve">supplier development programs </w:t>
      </w:r>
      <w:r w:rsidRPr="00BA0209">
        <w:rPr>
          <w:rFonts w:ascii="Times" w:hAnsi="Times"/>
        </w:rPr>
        <w:t>– to maximize additionality</w:t>
      </w:r>
      <w:r>
        <w:rPr>
          <w:rFonts w:ascii="Times" w:hAnsi="Times"/>
        </w:rPr>
        <w:t>. If the</w:t>
      </w:r>
      <w:r>
        <w:rPr>
          <w:rFonts w:cs="Times New Roman"/>
        </w:rPr>
        <w:t xml:space="preserve"> case for </w:t>
      </w:r>
      <w:r w:rsidRPr="00F6557B">
        <w:rPr>
          <w:rFonts w:cs="Times New Roman"/>
        </w:rPr>
        <w:t xml:space="preserve">government is </w:t>
      </w:r>
      <w:r>
        <w:rPr>
          <w:rFonts w:cs="Times New Roman"/>
        </w:rPr>
        <w:t xml:space="preserve">justified to </w:t>
      </w:r>
      <w:r w:rsidRPr="00F6557B">
        <w:rPr>
          <w:rFonts w:cs="Times New Roman"/>
        </w:rPr>
        <w:t>redress a failur</w:t>
      </w:r>
      <w:r>
        <w:rPr>
          <w:rFonts w:cs="Times New Roman"/>
        </w:rPr>
        <w:t>e</w:t>
      </w:r>
      <w:r w:rsidRPr="00F6557B">
        <w:rPr>
          <w:rFonts w:cs="Times New Roman"/>
        </w:rPr>
        <w:t xml:space="preserve">, </w:t>
      </w:r>
      <w:r>
        <w:rPr>
          <w:rFonts w:cs="Times New Roman"/>
        </w:rPr>
        <w:t xml:space="preserve">e.g. </w:t>
      </w:r>
      <w:r w:rsidRPr="00F6557B">
        <w:rPr>
          <w:rFonts w:cs="Times New Roman"/>
        </w:rPr>
        <w:t xml:space="preserve">in </w:t>
      </w:r>
      <w:r>
        <w:rPr>
          <w:rFonts w:cs="Times New Roman"/>
        </w:rPr>
        <w:t xml:space="preserve">promoting </w:t>
      </w:r>
      <w:r w:rsidRPr="00F6557B">
        <w:rPr>
          <w:rFonts w:cs="Times New Roman"/>
        </w:rPr>
        <w:t>firm upgrading, employing market-</w:t>
      </w:r>
      <w:r>
        <w:rPr>
          <w:rFonts w:cs="Times New Roman"/>
        </w:rPr>
        <w:t xml:space="preserve">oriented </w:t>
      </w:r>
      <w:r w:rsidRPr="00F6557B">
        <w:rPr>
          <w:rFonts w:cs="Times New Roman"/>
        </w:rPr>
        <w:t>incentives is likely to lead to resource</w:t>
      </w:r>
      <w:r>
        <w:rPr>
          <w:rFonts w:cs="Times New Roman"/>
        </w:rPr>
        <w:t xml:space="preserve"> efficiency</w:t>
      </w:r>
      <w:r w:rsidRPr="00F6557B">
        <w:rPr>
          <w:rFonts w:cs="Times New Roman"/>
        </w:rPr>
        <w:t xml:space="preserve">. </w:t>
      </w:r>
      <w:r>
        <w:rPr>
          <w:rFonts w:cs="Times New Roman"/>
        </w:rPr>
        <w:t xml:space="preserve">If user fees can cover </w:t>
      </w:r>
      <w:r w:rsidRPr="00F6557B">
        <w:rPr>
          <w:rFonts w:cs="Times New Roman"/>
        </w:rPr>
        <w:t xml:space="preserve">the </w:t>
      </w:r>
      <w:r>
        <w:rPr>
          <w:rFonts w:cs="Times New Roman"/>
          <w:iCs/>
        </w:rPr>
        <w:t xml:space="preserve">variable </w:t>
      </w:r>
      <w:r w:rsidRPr="00F6557B">
        <w:rPr>
          <w:rFonts w:cs="Times New Roman"/>
        </w:rPr>
        <w:t>costs of training or extension policies</w:t>
      </w:r>
      <w:r>
        <w:rPr>
          <w:rFonts w:cs="Times New Roman"/>
        </w:rPr>
        <w:t>, and these are feasible, then these should apply. Interventions that use lo</w:t>
      </w:r>
      <w:r w:rsidRPr="00F6557B">
        <w:rPr>
          <w:rFonts w:cs="Times New Roman"/>
          <w:bCs/>
          <w:iCs/>
        </w:rPr>
        <w:t xml:space="preserve">an and grant schemes should </w:t>
      </w:r>
      <w:r>
        <w:rPr>
          <w:rFonts w:cs="Times New Roman"/>
          <w:bCs/>
          <w:iCs/>
        </w:rPr>
        <w:t xml:space="preserve">take into consideration </w:t>
      </w:r>
      <w:r w:rsidRPr="00F6557B">
        <w:rPr>
          <w:rFonts w:cs="Times New Roman"/>
          <w:bCs/>
          <w:iCs/>
        </w:rPr>
        <w:t xml:space="preserve">existing financing </w:t>
      </w:r>
      <w:r>
        <w:rPr>
          <w:rFonts w:cs="Times New Roman"/>
          <w:bCs/>
          <w:iCs/>
        </w:rPr>
        <w:t xml:space="preserve">schemes </w:t>
      </w:r>
      <w:r w:rsidRPr="00F6557B">
        <w:rPr>
          <w:rFonts w:cs="Times New Roman"/>
          <w:bCs/>
          <w:iCs/>
        </w:rPr>
        <w:t xml:space="preserve">available to firms and avoid </w:t>
      </w:r>
      <w:r>
        <w:rPr>
          <w:rFonts w:cs="Times New Roman"/>
          <w:bCs/>
          <w:iCs/>
        </w:rPr>
        <w:t xml:space="preserve">crowding out the private sector by </w:t>
      </w:r>
      <w:r w:rsidRPr="00F6557B">
        <w:rPr>
          <w:rFonts w:cs="Times New Roman"/>
          <w:bCs/>
          <w:iCs/>
        </w:rPr>
        <w:t xml:space="preserve">introducing unfair competition to potential lenders. </w:t>
      </w:r>
      <w:r>
        <w:rPr>
          <w:rFonts w:cs="Times New Roman"/>
          <w:bCs/>
          <w:iCs/>
        </w:rPr>
        <w:t xml:space="preserve">The proposed </w:t>
      </w:r>
      <w:r w:rsidRPr="00F6557B">
        <w:rPr>
          <w:rFonts w:cs="Times New Roman"/>
          <w:bCs/>
          <w:iCs/>
        </w:rPr>
        <w:t xml:space="preserve">intervention should </w:t>
      </w:r>
      <w:r>
        <w:rPr>
          <w:rFonts w:cs="Times New Roman"/>
          <w:bCs/>
          <w:iCs/>
        </w:rPr>
        <w:t xml:space="preserve">include deliberate strategies </w:t>
      </w:r>
      <w:r w:rsidRPr="00F6557B">
        <w:rPr>
          <w:rFonts w:cs="Times New Roman"/>
          <w:bCs/>
          <w:iCs/>
        </w:rPr>
        <w:t xml:space="preserve">to catalyze underdeveloped markets, adding dynamism </w:t>
      </w:r>
      <w:r>
        <w:rPr>
          <w:rFonts w:cs="Times New Roman"/>
          <w:bCs/>
          <w:iCs/>
        </w:rPr>
        <w:t xml:space="preserve">to the local economy </w:t>
      </w:r>
      <w:r w:rsidRPr="00F6557B">
        <w:rPr>
          <w:rFonts w:cs="Times New Roman"/>
          <w:bCs/>
          <w:iCs/>
        </w:rPr>
        <w:t xml:space="preserve">and steering </w:t>
      </w:r>
      <w:r>
        <w:rPr>
          <w:rFonts w:cs="Times New Roman"/>
          <w:bCs/>
          <w:iCs/>
        </w:rPr>
        <w:t xml:space="preserve">fair </w:t>
      </w:r>
      <w:r w:rsidRPr="00F6557B">
        <w:rPr>
          <w:rFonts w:cs="Times New Roman"/>
          <w:bCs/>
          <w:iCs/>
        </w:rPr>
        <w:t>competition</w:t>
      </w:r>
      <w:r>
        <w:rPr>
          <w:rFonts w:cs="Times New Roman"/>
          <w:bCs/>
          <w:iCs/>
        </w:rPr>
        <w:t>, when possible</w:t>
      </w:r>
      <w:r w:rsidRPr="00F6557B">
        <w:rPr>
          <w:rFonts w:cs="Times New Roman"/>
          <w:bCs/>
          <w:iCs/>
        </w:rPr>
        <w:t xml:space="preserve">. </w:t>
      </w:r>
      <w:r w:rsidRPr="00BA0209">
        <w:rPr>
          <w:rFonts w:ascii="Times" w:hAnsi="Times"/>
        </w:rPr>
        <w:t xml:space="preserve"> </w:t>
      </w:r>
    </w:p>
    <w:p w14:paraId="4C66611C" w14:textId="77777777" w:rsidR="005E7FA6" w:rsidRPr="001665D6" w:rsidRDefault="005E7FA6" w:rsidP="005E7FA6">
      <w:pPr>
        <w:pStyle w:val="ListParagraph"/>
        <w:ind w:left="360"/>
        <w:jc w:val="both"/>
        <w:rPr>
          <w:rFonts w:cs="Times New Roman"/>
        </w:rPr>
      </w:pPr>
    </w:p>
    <w:p w14:paraId="51A95D60" w14:textId="6F041E98" w:rsidR="00DA426E" w:rsidRPr="009249D1" w:rsidRDefault="0048067D" w:rsidP="009249D1">
      <w:pPr>
        <w:pStyle w:val="ListParagraph"/>
        <w:numPr>
          <w:ilvl w:val="0"/>
          <w:numId w:val="48"/>
        </w:numPr>
        <w:spacing w:after="240"/>
        <w:jc w:val="both"/>
        <w:rPr>
          <w:rFonts w:asciiTheme="majorHAnsi" w:eastAsiaTheme="majorEastAsia" w:hAnsiTheme="majorHAnsi" w:cstheme="majorBidi"/>
          <w:color w:val="2F5496" w:themeColor="accent1" w:themeShade="BF"/>
          <w:sz w:val="32"/>
          <w:szCs w:val="32"/>
        </w:rPr>
      </w:pPr>
      <w:r>
        <w:rPr>
          <w:rFonts w:cs="Times New Roman"/>
          <w:b/>
        </w:rPr>
        <w:t>There is a need</w:t>
      </w:r>
      <w:r w:rsidR="00B17AE7" w:rsidRPr="001E0C12">
        <w:rPr>
          <w:rFonts w:cs="Times New Roman"/>
          <w:b/>
        </w:rPr>
        <w:t xml:space="preserve"> for improving knowledge management </w:t>
      </w:r>
      <w:r>
        <w:rPr>
          <w:rFonts w:cs="Times New Roman"/>
          <w:b/>
        </w:rPr>
        <w:t xml:space="preserve">and information sharing across departments to improving </w:t>
      </w:r>
      <w:r w:rsidR="00B17AE7" w:rsidRPr="001E0C12">
        <w:rPr>
          <w:rFonts w:cs="Times New Roman"/>
          <w:b/>
        </w:rPr>
        <w:t>policy</w:t>
      </w:r>
      <w:r>
        <w:rPr>
          <w:rFonts w:cs="Times New Roman"/>
          <w:b/>
        </w:rPr>
        <w:t xml:space="preserve"> making</w:t>
      </w:r>
      <w:r w:rsidR="00B17AE7" w:rsidRPr="001665D6">
        <w:rPr>
          <w:rFonts w:cs="Times New Roman"/>
        </w:rPr>
        <w:t xml:space="preserve">. The </w:t>
      </w:r>
      <w:proofErr w:type="spellStart"/>
      <w:r w:rsidR="00B17AE7" w:rsidRPr="001665D6">
        <w:rPr>
          <w:rFonts w:cs="Times New Roman"/>
        </w:rPr>
        <w:t>GoP</w:t>
      </w:r>
      <w:proofErr w:type="spellEnd"/>
      <w:r w:rsidR="00B17AE7" w:rsidRPr="001665D6">
        <w:rPr>
          <w:rFonts w:cs="Times New Roman"/>
        </w:rPr>
        <w:t xml:space="preserve"> </w:t>
      </w:r>
      <w:r w:rsidR="005E2796">
        <w:rPr>
          <w:rFonts w:cs="Times New Roman"/>
        </w:rPr>
        <w:t>sh</w:t>
      </w:r>
      <w:r w:rsidR="00B17AE7" w:rsidRPr="001665D6">
        <w:rPr>
          <w:rFonts w:cs="Times New Roman"/>
        </w:rPr>
        <w:t>ould improve access to program data, particularly financial</w:t>
      </w:r>
      <w:r w:rsidR="00B17AE7" w:rsidRPr="00A00C06">
        <w:rPr>
          <w:rFonts w:ascii="Times" w:hAnsi="Times"/>
        </w:rPr>
        <w:t xml:space="preserve"> data related to allocation of financial resources. The experience of collecting the relevant information </w:t>
      </w:r>
      <w:r w:rsidR="005E2796">
        <w:rPr>
          <w:rFonts w:ascii="Times" w:hAnsi="Times"/>
        </w:rPr>
        <w:t xml:space="preserve">for this study </w:t>
      </w:r>
      <w:r w:rsidR="00B17AE7" w:rsidRPr="00A00C06">
        <w:rPr>
          <w:rFonts w:ascii="Times" w:hAnsi="Times"/>
        </w:rPr>
        <w:t xml:space="preserve">proved to be challenging, particularly for financial data related to budget allocation and disbursements. The reasons given to us were that data could not be produced either because the information was not available under the proper classification and not disaggregated at the required level, or because some of the officers who were meant to provide the information under our agreement with </w:t>
      </w:r>
      <w:proofErr w:type="spellStart"/>
      <w:r w:rsidR="00B17AE7" w:rsidRPr="00A00C06">
        <w:rPr>
          <w:rFonts w:ascii="Times" w:hAnsi="Times"/>
        </w:rPr>
        <w:t>DoST</w:t>
      </w:r>
      <w:proofErr w:type="spellEnd"/>
      <w:r w:rsidR="00B17AE7" w:rsidRPr="00A00C06">
        <w:rPr>
          <w:rFonts w:ascii="Times" w:hAnsi="Times"/>
        </w:rPr>
        <w:t xml:space="preserve"> and DTI proved to be relatively disengaged. Our experience conducting this analysis in other countries suggests that this level of difficulty is exceptional, and that it represents a gap that should be bridged. Having readily available information of policy programs is an important way to help </w:t>
      </w:r>
      <w:proofErr w:type="spellStart"/>
      <w:r w:rsidR="00B17AE7" w:rsidRPr="00A00C06">
        <w:rPr>
          <w:rFonts w:ascii="Times" w:hAnsi="Times"/>
        </w:rPr>
        <w:t>GoP</w:t>
      </w:r>
      <w:proofErr w:type="spellEnd"/>
      <w:r w:rsidR="00B17AE7" w:rsidRPr="00A00C06">
        <w:rPr>
          <w:rFonts w:ascii="Times" w:hAnsi="Times"/>
        </w:rPr>
        <w:t xml:space="preserve"> make informed policy decisions.</w:t>
      </w:r>
      <w:r w:rsidR="00D81257" w:rsidRPr="00A00C06">
        <w:rPr>
          <w:rFonts w:ascii="Times" w:hAnsi="Times"/>
        </w:rPr>
        <w:t xml:space="preserve"> </w:t>
      </w:r>
    </w:p>
    <w:p w14:paraId="69701D9D" w14:textId="77777777" w:rsidR="00DA426E" w:rsidRPr="00F9304E" w:rsidRDefault="00DA426E" w:rsidP="00DA426E">
      <w:pPr>
        <w:spacing w:after="240" w:line="240" w:lineRule="auto"/>
        <w:rPr>
          <w:rFonts w:ascii="Times" w:hAnsi="Times"/>
          <w:b/>
        </w:rPr>
      </w:pPr>
      <w:r>
        <w:rPr>
          <w:rFonts w:ascii="Times" w:hAnsi="Times"/>
          <w:b/>
        </w:rPr>
        <w:t>Summary of recommendations</w:t>
      </w:r>
    </w:p>
    <w:tbl>
      <w:tblPr>
        <w:tblStyle w:val="TableGrid"/>
        <w:tblW w:w="0" w:type="auto"/>
        <w:tblLook w:val="04A0" w:firstRow="1" w:lastRow="0" w:firstColumn="1" w:lastColumn="0" w:noHBand="0" w:noVBand="1"/>
      </w:tblPr>
      <w:tblGrid>
        <w:gridCol w:w="1402"/>
        <w:gridCol w:w="7948"/>
      </w:tblGrid>
      <w:tr w:rsidR="00DA426E" w14:paraId="4FC140DB" w14:textId="77777777" w:rsidTr="00DA426E">
        <w:trPr>
          <w:trHeight w:val="350"/>
        </w:trPr>
        <w:tc>
          <w:tcPr>
            <w:tcW w:w="1345" w:type="dxa"/>
            <w:shd w:val="clear" w:color="auto" w:fill="AEAAAA" w:themeFill="background2" w:themeFillShade="BF"/>
          </w:tcPr>
          <w:p w14:paraId="0D2D05E7" w14:textId="77777777" w:rsidR="00DA426E" w:rsidRDefault="00DA426E" w:rsidP="00DA426E">
            <w:pPr>
              <w:spacing w:after="240"/>
              <w:rPr>
                <w:rFonts w:ascii="Times" w:hAnsi="Times"/>
              </w:rPr>
            </w:pPr>
            <w:r>
              <w:rPr>
                <w:rFonts w:ascii="Times" w:hAnsi="Times"/>
              </w:rPr>
              <w:t>Area</w:t>
            </w:r>
          </w:p>
        </w:tc>
        <w:tc>
          <w:tcPr>
            <w:tcW w:w="8005" w:type="dxa"/>
            <w:shd w:val="clear" w:color="auto" w:fill="AEAAAA" w:themeFill="background2" w:themeFillShade="BF"/>
          </w:tcPr>
          <w:p w14:paraId="134817AF" w14:textId="77777777" w:rsidR="00DA426E" w:rsidRDefault="00DA426E" w:rsidP="00DA426E">
            <w:pPr>
              <w:spacing w:after="240"/>
              <w:rPr>
                <w:rFonts w:ascii="Times" w:hAnsi="Times"/>
              </w:rPr>
            </w:pPr>
            <w:r>
              <w:rPr>
                <w:rFonts w:ascii="Times" w:hAnsi="Times"/>
              </w:rPr>
              <w:t>Proposed action</w:t>
            </w:r>
          </w:p>
        </w:tc>
      </w:tr>
      <w:tr w:rsidR="00DA426E" w14:paraId="43B21E06" w14:textId="77777777" w:rsidTr="00DA426E">
        <w:tc>
          <w:tcPr>
            <w:tcW w:w="1345" w:type="dxa"/>
          </w:tcPr>
          <w:p w14:paraId="43E1F8CF" w14:textId="77777777" w:rsidR="00DA426E" w:rsidRDefault="00DA426E" w:rsidP="00DA426E">
            <w:pPr>
              <w:spacing w:after="240"/>
              <w:jc w:val="right"/>
              <w:rPr>
                <w:rFonts w:ascii="Times" w:hAnsi="Times"/>
              </w:rPr>
            </w:pPr>
            <w:r>
              <w:rPr>
                <w:rFonts w:ascii="Times" w:hAnsi="Times"/>
              </w:rPr>
              <w:t>Rebalancing the focus of the policy mix</w:t>
            </w:r>
          </w:p>
        </w:tc>
        <w:tc>
          <w:tcPr>
            <w:tcW w:w="8005" w:type="dxa"/>
          </w:tcPr>
          <w:p w14:paraId="4F130294" w14:textId="77777777" w:rsidR="00DA426E" w:rsidRDefault="00DA426E" w:rsidP="00DA426E">
            <w:pPr>
              <w:pStyle w:val="ListParagraph"/>
              <w:numPr>
                <w:ilvl w:val="0"/>
                <w:numId w:val="52"/>
              </w:numPr>
              <w:spacing w:after="240"/>
              <w:rPr>
                <w:rFonts w:ascii="Times" w:hAnsi="Times"/>
              </w:rPr>
            </w:pPr>
            <w:r>
              <w:rPr>
                <w:rFonts w:ascii="Times" w:hAnsi="Times"/>
              </w:rPr>
              <w:t>Increase support on to innovation programs, particularly in areas of firm-level innovation, most importantly non-R&amp;D innovation</w:t>
            </w:r>
            <w:r>
              <w:rPr>
                <w:rStyle w:val="FootnoteReference"/>
                <w:rFonts w:ascii="Times" w:hAnsi="Times"/>
              </w:rPr>
              <w:footnoteReference w:id="7"/>
            </w:r>
            <w:r>
              <w:rPr>
                <w:rFonts w:ascii="Times" w:hAnsi="Times"/>
              </w:rPr>
              <w:t>, internationalization of firms</w:t>
            </w:r>
            <w:r>
              <w:rPr>
                <w:rStyle w:val="FootnoteReference"/>
                <w:rFonts w:ascii="Times" w:hAnsi="Times"/>
              </w:rPr>
              <w:footnoteReference w:id="8"/>
            </w:r>
            <w:r>
              <w:rPr>
                <w:rFonts w:ascii="Times" w:hAnsi="Times"/>
              </w:rPr>
              <w:t>, and marketing, and entrepreneurship</w:t>
            </w:r>
            <w:r>
              <w:rPr>
                <w:rStyle w:val="FootnoteReference"/>
                <w:rFonts w:ascii="Times" w:hAnsi="Times"/>
              </w:rPr>
              <w:footnoteReference w:id="9"/>
            </w:r>
            <w:r>
              <w:rPr>
                <w:rFonts w:ascii="Times" w:hAnsi="Times"/>
              </w:rPr>
              <w:t xml:space="preserve">.  </w:t>
            </w:r>
          </w:p>
          <w:p w14:paraId="2756B864" w14:textId="77777777" w:rsidR="00DA426E" w:rsidRPr="00EF16CC" w:rsidRDefault="00DA426E" w:rsidP="00DA426E">
            <w:pPr>
              <w:pStyle w:val="ListParagraph"/>
              <w:numPr>
                <w:ilvl w:val="0"/>
                <w:numId w:val="52"/>
              </w:numPr>
              <w:spacing w:after="240"/>
              <w:rPr>
                <w:rFonts w:ascii="Times" w:hAnsi="Times"/>
              </w:rPr>
            </w:pPr>
            <w:r w:rsidRPr="004D0DDD">
              <w:rPr>
                <w:rFonts w:ascii="Times" w:hAnsi="Times"/>
              </w:rPr>
              <w:t>Consideration should be given to increase support to existing programs, like in the case of RIPPLES</w:t>
            </w:r>
            <w:r w:rsidRPr="00EF16CC">
              <w:rPr>
                <w:rFonts w:ascii="Times" w:hAnsi="Times"/>
              </w:rPr>
              <w:t xml:space="preserve"> for promoting exports, as opposed to creating new programs in these areas</w:t>
            </w:r>
            <w:r w:rsidRPr="003223D4">
              <w:rPr>
                <w:rFonts w:ascii="Times" w:hAnsi="Times"/>
              </w:rPr>
              <w:t xml:space="preserve">. This would prevent proliferation of excessive programs, and the potential fragmentation of support to address a specific market failure. Integrated SME development strategies are rare, while fragmented and overlapping programs are common. </w:t>
            </w:r>
            <w:r>
              <w:rPr>
                <w:rFonts w:ascii="Times" w:hAnsi="Times"/>
              </w:rPr>
              <w:t xml:space="preserve">Therefore, </w:t>
            </w:r>
            <w:proofErr w:type="spellStart"/>
            <w:r>
              <w:rPr>
                <w:rFonts w:ascii="Times" w:hAnsi="Times"/>
              </w:rPr>
              <w:t>GoP</w:t>
            </w:r>
            <w:proofErr w:type="spellEnd"/>
            <w:r>
              <w:rPr>
                <w:rFonts w:ascii="Times" w:hAnsi="Times"/>
              </w:rPr>
              <w:t xml:space="preserve"> should i</w:t>
            </w:r>
            <w:r w:rsidRPr="004D0DDD">
              <w:rPr>
                <w:rFonts w:ascii="Times" w:hAnsi="Times"/>
              </w:rPr>
              <w:t>dentify and address burdens on SMEs preemptively before new regulations are issued.</w:t>
            </w:r>
          </w:p>
          <w:p w14:paraId="44EC98E3" w14:textId="77777777" w:rsidR="00DA426E" w:rsidRPr="00860E7A" w:rsidRDefault="00DA426E" w:rsidP="00DA426E">
            <w:pPr>
              <w:pStyle w:val="ListParagraph"/>
              <w:numPr>
                <w:ilvl w:val="0"/>
                <w:numId w:val="52"/>
              </w:numPr>
              <w:spacing w:after="240"/>
              <w:rPr>
                <w:rFonts w:ascii="Times" w:hAnsi="Times"/>
              </w:rPr>
            </w:pPr>
            <w:r>
              <w:rPr>
                <w:rFonts w:ascii="Times" w:hAnsi="Times"/>
              </w:rPr>
              <w:t xml:space="preserve">However, before deciding to increase financial support to any existing program, the </w:t>
            </w:r>
            <w:proofErr w:type="spellStart"/>
            <w:r>
              <w:rPr>
                <w:rFonts w:ascii="Times" w:hAnsi="Times"/>
              </w:rPr>
              <w:t>GoP</w:t>
            </w:r>
            <w:proofErr w:type="spellEnd"/>
            <w:r>
              <w:rPr>
                <w:rFonts w:ascii="Times" w:hAnsi="Times"/>
              </w:rPr>
              <w:t xml:space="preserve"> should verify that there is a demonstrated understanding of the market failure that justify the intervention that support firms, and that the government agency tasked to deliver the program has the competency to redress them successfully (</w:t>
            </w:r>
            <w:r w:rsidRPr="003E033B">
              <w:rPr>
                <w:rFonts w:ascii="Times" w:hAnsi="Times"/>
              </w:rPr>
              <w:t>Maloney and Nayyar</w:t>
            </w:r>
            <w:r>
              <w:rPr>
                <w:rFonts w:ascii="Times" w:hAnsi="Times"/>
              </w:rPr>
              <w:t xml:space="preserve">, </w:t>
            </w:r>
            <w:r w:rsidRPr="003E033B">
              <w:rPr>
                <w:rFonts w:ascii="Times" w:hAnsi="Times"/>
              </w:rPr>
              <w:t>2018)</w:t>
            </w:r>
            <w:r>
              <w:rPr>
                <w:rFonts w:ascii="Times" w:hAnsi="Times"/>
              </w:rPr>
              <w:t>.</w:t>
            </w:r>
          </w:p>
        </w:tc>
      </w:tr>
      <w:tr w:rsidR="00DA426E" w14:paraId="69C7AE73" w14:textId="77777777" w:rsidTr="00DA426E">
        <w:tc>
          <w:tcPr>
            <w:tcW w:w="1345" w:type="dxa"/>
          </w:tcPr>
          <w:p w14:paraId="233692B0" w14:textId="77777777" w:rsidR="00DA426E" w:rsidRDefault="00DA426E" w:rsidP="00DA426E">
            <w:pPr>
              <w:spacing w:after="240"/>
              <w:jc w:val="right"/>
              <w:rPr>
                <w:rFonts w:ascii="Times" w:hAnsi="Times"/>
              </w:rPr>
            </w:pPr>
            <w:r>
              <w:rPr>
                <w:rFonts w:ascii="Times" w:hAnsi="Times"/>
              </w:rPr>
              <w:t>Eliminating potential redundancy in the policy mix</w:t>
            </w:r>
          </w:p>
        </w:tc>
        <w:tc>
          <w:tcPr>
            <w:tcW w:w="8005" w:type="dxa"/>
          </w:tcPr>
          <w:p w14:paraId="7FA640DA" w14:textId="77777777" w:rsidR="00DA426E" w:rsidRDefault="00DA426E" w:rsidP="00DA426E">
            <w:pPr>
              <w:pStyle w:val="ListParagraph"/>
              <w:numPr>
                <w:ilvl w:val="0"/>
                <w:numId w:val="53"/>
              </w:numPr>
              <w:spacing w:after="240"/>
              <w:rPr>
                <w:rFonts w:ascii="Times" w:hAnsi="Times"/>
              </w:rPr>
            </w:pPr>
            <w:r>
              <w:rPr>
                <w:rFonts w:ascii="Times" w:hAnsi="Times"/>
              </w:rPr>
              <w:t>Policymakers need to further investigate the possible rationalization or programs that present a priori similar scope in terms of target group, objectives and mechanism for support. Our analysis has identified 3 tentative cases</w:t>
            </w:r>
            <w:r>
              <w:rPr>
                <w:rStyle w:val="FootnoteReference"/>
                <w:rFonts w:ascii="Times" w:hAnsi="Times"/>
              </w:rPr>
              <w:footnoteReference w:id="10"/>
            </w:r>
            <w:r>
              <w:rPr>
                <w:rFonts w:ascii="Times" w:hAnsi="Times"/>
              </w:rPr>
              <w:t xml:space="preserve">. These need to be looked carefully, as our analysis may have overseen nuanced features of these programs outside of the screening criteria that we used based on overlap of scope of target beneficiary, objective and instruments, for example, regional presence and outreach in the local community. </w:t>
            </w:r>
          </w:p>
          <w:p w14:paraId="2812E003" w14:textId="77777777" w:rsidR="00DA426E" w:rsidRDefault="00DA426E" w:rsidP="00DA426E">
            <w:pPr>
              <w:pStyle w:val="ListParagraph"/>
              <w:numPr>
                <w:ilvl w:val="0"/>
                <w:numId w:val="53"/>
              </w:numPr>
              <w:spacing w:after="240"/>
              <w:rPr>
                <w:rFonts w:ascii="Times" w:hAnsi="Times"/>
              </w:rPr>
            </w:pPr>
            <w:r>
              <w:rPr>
                <w:rFonts w:ascii="Times" w:hAnsi="Times"/>
              </w:rPr>
              <w:t>If these candidates do not prove the case for rationalization, managers of each program should at least consider introducing systematic collaboration mechanisms among these programs, to learn from knowledge obtained from implementation, and prevent duplicity of beneficiaries (participants that apply and benefit from more than one program simultaneously)</w:t>
            </w:r>
          </w:p>
          <w:p w14:paraId="77288D75" w14:textId="77777777" w:rsidR="00DA426E" w:rsidRPr="00860E7A" w:rsidRDefault="00DA426E" w:rsidP="00DA426E">
            <w:pPr>
              <w:pStyle w:val="ListParagraph"/>
              <w:numPr>
                <w:ilvl w:val="0"/>
                <w:numId w:val="53"/>
              </w:numPr>
              <w:spacing w:after="240"/>
              <w:rPr>
                <w:rFonts w:ascii="Times" w:hAnsi="Times"/>
              </w:rPr>
            </w:pPr>
            <w:r>
              <w:rPr>
                <w:rFonts w:ascii="Times" w:hAnsi="Times"/>
              </w:rPr>
              <w:t xml:space="preserve">Consider elimination of </w:t>
            </w:r>
            <w:r w:rsidRPr="00240908">
              <w:rPr>
                <w:rFonts w:ascii="Times" w:hAnsi="Times"/>
              </w:rPr>
              <w:t>9 programs</w:t>
            </w:r>
            <w:r>
              <w:rPr>
                <w:rStyle w:val="FootnoteReference"/>
                <w:rFonts w:ascii="Times" w:hAnsi="Times"/>
              </w:rPr>
              <w:footnoteReference w:id="11"/>
            </w:r>
            <w:r w:rsidRPr="00240908">
              <w:rPr>
                <w:rFonts w:ascii="Times" w:hAnsi="Times"/>
              </w:rPr>
              <w:t xml:space="preserve"> from </w:t>
            </w:r>
            <w:proofErr w:type="spellStart"/>
            <w:r w:rsidRPr="00240908">
              <w:rPr>
                <w:rFonts w:ascii="Times" w:hAnsi="Times"/>
              </w:rPr>
              <w:t>DoST</w:t>
            </w:r>
            <w:proofErr w:type="spellEnd"/>
            <w:r w:rsidRPr="00240908">
              <w:rPr>
                <w:rFonts w:ascii="Times" w:hAnsi="Times"/>
              </w:rPr>
              <w:t xml:space="preserve"> and DTI </w:t>
            </w:r>
            <w:r>
              <w:rPr>
                <w:rFonts w:ascii="Times" w:hAnsi="Times"/>
              </w:rPr>
              <w:t>that suggested insufficient scale (at the threshold of PHP 4 million in 2017), given the potential burden these impose of administration personnel and supervision.  However, final determination should be done considering the demands that the administration imposes on the program supervision – i.e. as some small programs are less resource intensive by their nature.</w:t>
            </w:r>
          </w:p>
        </w:tc>
      </w:tr>
      <w:tr w:rsidR="00DA426E" w14:paraId="7A29B95A" w14:textId="77777777" w:rsidTr="00DA426E">
        <w:tc>
          <w:tcPr>
            <w:tcW w:w="1345" w:type="dxa"/>
          </w:tcPr>
          <w:p w14:paraId="2C7C4FD0" w14:textId="77777777" w:rsidR="00DA426E" w:rsidRDefault="00DA426E" w:rsidP="00DA426E">
            <w:pPr>
              <w:spacing w:after="240"/>
              <w:rPr>
                <w:rFonts w:ascii="Times" w:hAnsi="Times"/>
              </w:rPr>
            </w:pPr>
            <w:r>
              <w:rPr>
                <w:rFonts w:ascii="Times" w:hAnsi="Times"/>
              </w:rPr>
              <w:t>Recalibrating the strategic approach of specific program features</w:t>
            </w:r>
          </w:p>
        </w:tc>
        <w:tc>
          <w:tcPr>
            <w:tcW w:w="8005" w:type="dxa"/>
          </w:tcPr>
          <w:p w14:paraId="380EB6D4" w14:textId="77777777" w:rsidR="00DA426E" w:rsidRDefault="00DA426E" w:rsidP="00DA426E">
            <w:pPr>
              <w:pStyle w:val="ListParagraph"/>
              <w:numPr>
                <w:ilvl w:val="0"/>
                <w:numId w:val="54"/>
              </w:numPr>
              <w:spacing w:after="240"/>
              <w:rPr>
                <w:rFonts w:ascii="Times" w:hAnsi="Times"/>
              </w:rPr>
            </w:pPr>
            <w:r>
              <w:rPr>
                <w:rFonts w:ascii="Times" w:hAnsi="Times"/>
              </w:rPr>
              <w:t xml:space="preserve">Rethink the approach to </w:t>
            </w:r>
            <w:r w:rsidRPr="00775949">
              <w:rPr>
                <w:rFonts w:ascii="Times" w:hAnsi="Times"/>
              </w:rPr>
              <w:t xml:space="preserve">SME interventions away from size </w:t>
            </w:r>
            <w:r>
              <w:rPr>
                <w:rFonts w:ascii="Times" w:hAnsi="Times"/>
              </w:rPr>
              <w:t xml:space="preserve">to </w:t>
            </w:r>
            <w:r w:rsidRPr="00775949">
              <w:rPr>
                <w:rFonts w:ascii="Times" w:hAnsi="Times"/>
              </w:rPr>
              <w:t xml:space="preserve">focus on </w:t>
            </w:r>
            <w:r>
              <w:rPr>
                <w:rFonts w:ascii="Times" w:hAnsi="Times"/>
              </w:rPr>
              <w:t xml:space="preserve">addressing market failures, increasing </w:t>
            </w:r>
            <w:r w:rsidRPr="00775949">
              <w:rPr>
                <w:rFonts w:ascii="Times" w:hAnsi="Times"/>
              </w:rPr>
              <w:t xml:space="preserve">productivity and </w:t>
            </w:r>
            <w:r>
              <w:rPr>
                <w:rFonts w:ascii="Times" w:hAnsi="Times"/>
              </w:rPr>
              <w:t xml:space="preserve">stimulating </w:t>
            </w:r>
            <w:r w:rsidRPr="00775949">
              <w:rPr>
                <w:rFonts w:ascii="Times" w:hAnsi="Times"/>
              </w:rPr>
              <w:t>growth</w:t>
            </w:r>
            <w:r>
              <w:rPr>
                <w:rFonts w:ascii="Times" w:hAnsi="Times"/>
              </w:rPr>
              <w:t xml:space="preserve"> of firms. </w:t>
            </w:r>
            <w:r w:rsidRPr="007334E7">
              <w:rPr>
                <w:rFonts w:ascii="Times" w:hAnsi="Times"/>
              </w:rPr>
              <w:t>Policies targeting market failures, rather than those focused on size, have a positive impact on firm productivity and growth</w:t>
            </w:r>
            <w:r>
              <w:rPr>
                <w:rFonts w:ascii="Times" w:hAnsi="Times"/>
              </w:rPr>
              <w:t>.</w:t>
            </w:r>
          </w:p>
          <w:p w14:paraId="2788BBCF" w14:textId="77777777" w:rsidR="00DA426E" w:rsidRDefault="00DA426E" w:rsidP="00DA426E">
            <w:pPr>
              <w:pStyle w:val="ListParagraph"/>
              <w:numPr>
                <w:ilvl w:val="0"/>
                <w:numId w:val="54"/>
              </w:numPr>
              <w:spacing w:after="240"/>
              <w:rPr>
                <w:rFonts w:ascii="Times" w:hAnsi="Times"/>
              </w:rPr>
            </w:pPr>
            <w:r w:rsidRPr="000E52AA">
              <w:rPr>
                <w:rFonts w:ascii="Times" w:hAnsi="Times"/>
              </w:rPr>
              <w:t xml:space="preserve">Prioritize the use of program features that catalyze markets, (market </w:t>
            </w:r>
            <w:r>
              <w:rPr>
                <w:rFonts w:ascii="Times" w:hAnsi="Times"/>
              </w:rPr>
              <w:t>enhancing</w:t>
            </w:r>
            <w:r w:rsidRPr="000E52AA">
              <w:rPr>
                <w:rFonts w:ascii="Times" w:hAnsi="Times"/>
              </w:rPr>
              <w:t>) and leverage financial resources from beneficiaries (i.e. crowd in the private sector)</w:t>
            </w:r>
            <w:r>
              <w:rPr>
                <w:rFonts w:ascii="Times" w:hAnsi="Times"/>
              </w:rPr>
              <w:t>, over interventionist features that may create dependence of beneficiaries, and carry additional burden for administration and supervision</w:t>
            </w:r>
            <w:r w:rsidRPr="000E52AA">
              <w:rPr>
                <w:rFonts w:ascii="Times" w:hAnsi="Times"/>
              </w:rPr>
              <w:t xml:space="preserve">. </w:t>
            </w:r>
            <w:r>
              <w:rPr>
                <w:rFonts w:ascii="Times" w:hAnsi="Times"/>
              </w:rPr>
              <w:t>When applicable, the use of these programs can be less distortive and result in efficiency. Use of indirect instruments and demand enhancing mechanisms, such as vouchers for innovation</w:t>
            </w:r>
            <w:r>
              <w:rPr>
                <w:rStyle w:val="FootnoteReference"/>
                <w:rFonts w:ascii="Times" w:hAnsi="Times"/>
              </w:rPr>
              <w:footnoteReference w:id="12"/>
            </w:r>
            <w:r>
              <w:rPr>
                <w:rFonts w:ascii="Times" w:hAnsi="Times"/>
              </w:rPr>
              <w:t>, supplier linkages</w:t>
            </w:r>
            <w:r>
              <w:rPr>
                <w:rStyle w:val="FootnoteReference"/>
                <w:rFonts w:ascii="Times" w:hAnsi="Times"/>
              </w:rPr>
              <w:footnoteReference w:id="13"/>
            </w:r>
            <w:r>
              <w:rPr>
                <w:rFonts w:ascii="Times" w:hAnsi="Times"/>
              </w:rPr>
              <w:t xml:space="preserve"> and credit guarantees</w:t>
            </w:r>
            <w:r>
              <w:rPr>
                <w:rStyle w:val="FootnoteReference"/>
                <w:rFonts w:ascii="Times" w:hAnsi="Times"/>
              </w:rPr>
              <w:footnoteReference w:id="14"/>
            </w:r>
            <w:r>
              <w:rPr>
                <w:rFonts w:ascii="Times" w:hAnsi="Times"/>
              </w:rPr>
              <w:t xml:space="preserve"> for innovation are good examples.</w:t>
            </w:r>
          </w:p>
          <w:p w14:paraId="4399B10B" w14:textId="77777777" w:rsidR="00DA426E" w:rsidRPr="000E52AA" w:rsidRDefault="00DA426E" w:rsidP="00DA426E">
            <w:pPr>
              <w:pStyle w:val="ListParagraph"/>
              <w:numPr>
                <w:ilvl w:val="0"/>
                <w:numId w:val="54"/>
              </w:numPr>
              <w:spacing w:after="240"/>
              <w:rPr>
                <w:rFonts w:ascii="Times" w:hAnsi="Times"/>
              </w:rPr>
            </w:pPr>
            <w:r>
              <w:rPr>
                <w:rFonts w:ascii="Times" w:hAnsi="Times"/>
              </w:rPr>
              <w:t xml:space="preserve">Introduce instruments that promote collaboration, particularly of these bring potential for long term behavior additionality. </w:t>
            </w:r>
            <w:r>
              <w:t>C</w:t>
            </w:r>
            <w:r w:rsidRPr="00F6557B">
              <w:rPr>
                <w:rFonts w:cs="Times New Roman"/>
              </w:rPr>
              <w:t xml:space="preserve">ollaboration </w:t>
            </w:r>
            <w:r>
              <w:rPr>
                <w:rFonts w:cs="Times New Roman"/>
              </w:rPr>
              <w:t xml:space="preserve">support, including grants, </w:t>
            </w:r>
            <w:r w:rsidRPr="00F6557B">
              <w:rPr>
                <w:rFonts w:cs="Times New Roman"/>
              </w:rPr>
              <w:t xml:space="preserve">address </w:t>
            </w:r>
            <w:r>
              <w:rPr>
                <w:rFonts w:cs="Times New Roman"/>
              </w:rPr>
              <w:t>a</w:t>
            </w:r>
            <w:r w:rsidRPr="00F6557B">
              <w:rPr>
                <w:rFonts w:cs="Times New Roman"/>
              </w:rPr>
              <w:t xml:space="preserve"> coordination</w:t>
            </w:r>
            <w:r>
              <w:rPr>
                <w:rFonts w:cs="Times New Roman"/>
              </w:rPr>
              <w:t xml:space="preserve"> failure</w:t>
            </w:r>
            <w:r w:rsidRPr="00F6557B">
              <w:rPr>
                <w:rFonts w:cs="Times New Roman"/>
              </w:rPr>
              <w:t xml:space="preserve"> that leads to </w:t>
            </w:r>
            <w:r>
              <w:rPr>
                <w:rFonts w:cs="Times New Roman"/>
              </w:rPr>
              <w:t>a lack of</w:t>
            </w:r>
            <w:r w:rsidRPr="00F6557B">
              <w:rPr>
                <w:rFonts w:cs="Times New Roman"/>
              </w:rPr>
              <w:t xml:space="preserve"> collaboration and </w:t>
            </w:r>
            <w:r>
              <w:rPr>
                <w:rFonts w:cs="Times New Roman"/>
              </w:rPr>
              <w:t>thus</w:t>
            </w:r>
            <w:r w:rsidRPr="00F6557B">
              <w:rPr>
                <w:rFonts w:cs="Times New Roman"/>
              </w:rPr>
              <w:t xml:space="preserve"> less innovation</w:t>
            </w:r>
            <w:r>
              <w:rPr>
                <w:rStyle w:val="FootnoteReference"/>
                <w:rFonts w:cs="Times New Roman"/>
              </w:rPr>
              <w:footnoteReference w:id="15"/>
            </w:r>
          </w:p>
        </w:tc>
      </w:tr>
    </w:tbl>
    <w:p w14:paraId="2DB8A10A" w14:textId="77777777" w:rsidR="00DA426E" w:rsidRPr="00860E7A" w:rsidRDefault="00DA426E" w:rsidP="00DA426E">
      <w:pPr>
        <w:spacing w:after="240" w:line="240" w:lineRule="auto"/>
        <w:rPr>
          <w:rFonts w:ascii="Times" w:hAnsi="Times"/>
        </w:rPr>
      </w:pPr>
    </w:p>
    <w:p w14:paraId="1F06D37A" w14:textId="77777777" w:rsidR="00DA426E" w:rsidRPr="00F9304E" w:rsidRDefault="00DA426E" w:rsidP="00DA426E">
      <w:pPr>
        <w:spacing w:after="240" w:line="240" w:lineRule="auto"/>
        <w:rPr>
          <w:rFonts w:ascii="Times" w:hAnsi="Times"/>
          <w:b/>
        </w:rPr>
      </w:pPr>
    </w:p>
    <w:p w14:paraId="63EBB6CD" w14:textId="77777777" w:rsidR="00DA426E" w:rsidRPr="00F9304E" w:rsidRDefault="00DA426E" w:rsidP="00DA426E">
      <w:pPr>
        <w:spacing w:after="240" w:line="240" w:lineRule="auto"/>
        <w:rPr>
          <w:rFonts w:ascii="Times" w:hAnsi="Times"/>
          <w:b/>
        </w:rPr>
      </w:pPr>
    </w:p>
    <w:p w14:paraId="64D0BB40" w14:textId="77777777" w:rsidR="00DA426E" w:rsidRPr="00167831" w:rsidRDefault="00DA426E" w:rsidP="00DA426E">
      <w:pPr>
        <w:spacing w:after="240"/>
        <w:jc w:val="both"/>
        <w:rPr>
          <w:rFonts w:asciiTheme="majorHAnsi" w:eastAsiaTheme="majorEastAsia" w:hAnsiTheme="majorHAnsi" w:cstheme="majorBidi"/>
          <w:color w:val="2F5496" w:themeColor="accent1" w:themeShade="BF"/>
          <w:sz w:val="32"/>
          <w:szCs w:val="32"/>
        </w:rPr>
      </w:pPr>
      <w:r w:rsidRPr="00F9304E">
        <w:br w:type="page"/>
      </w:r>
    </w:p>
    <w:p w14:paraId="52EDAA85" w14:textId="45AC1405" w:rsidR="003E4F9B" w:rsidRPr="00A22D4B" w:rsidRDefault="00F547BC" w:rsidP="0006683D">
      <w:pPr>
        <w:pStyle w:val="Heading1"/>
        <w:numPr>
          <w:ilvl w:val="0"/>
          <w:numId w:val="6"/>
        </w:numPr>
        <w:rPr>
          <w:b/>
          <w:sz w:val="28"/>
          <w:szCs w:val="28"/>
        </w:rPr>
      </w:pPr>
      <w:bookmarkStart w:id="85" w:name="_Toc10740056"/>
      <w:bookmarkStart w:id="86" w:name="_Toc12503531"/>
      <w:r w:rsidRPr="00A22D4B">
        <w:rPr>
          <w:b/>
          <w:sz w:val="28"/>
          <w:szCs w:val="28"/>
        </w:rPr>
        <w:t xml:space="preserve">Functional </w:t>
      </w:r>
      <w:r w:rsidR="00CF1AFD" w:rsidRPr="00A22D4B">
        <w:rPr>
          <w:b/>
          <w:sz w:val="28"/>
          <w:szCs w:val="28"/>
        </w:rPr>
        <w:t>Review</w:t>
      </w:r>
      <w:bookmarkEnd w:id="85"/>
      <w:bookmarkEnd w:id="86"/>
    </w:p>
    <w:p w14:paraId="40880702" w14:textId="5CCA80FA" w:rsidR="00354500" w:rsidRDefault="00AE01BD" w:rsidP="001665D6">
      <w:pPr>
        <w:pStyle w:val="ListParagraph"/>
        <w:numPr>
          <w:ilvl w:val="0"/>
          <w:numId w:val="48"/>
        </w:numPr>
        <w:jc w:val="both"/>
        <w:rPr>
          <w:rFonts w:ascii="Times" w:hAnsi="Times" w:cs="Times New Roman"/>
        </w:rPr>
      </w:pPr>
      <w:r w:rsidRPr="00294954">
        <w:rPr>
          <w:rFonts w:ascii="Times" w:hAnsi="Times" w:cs="Times New Roman"/>
          <w:b/>
        </w:rPr>
        <w:t>The ability to create more and better jobs depend on the extent to which entrepreneurs create new and innovative ventures, and existing businesses invest on innovation and become more competitive</w:t>
      </w:r>
      <w:r w:rsidRPr="003163D4">
        <w:rPr>
          <w:rFonts w:ascii="Times" w:hAnsi="Times" w:cs="Times New Roman"/>
        </w:rPr>
        <w:t xml:space="preserve">. </w:t>
      </w:r>
      <w:r w:rsidRPr="00823A9F">
        <w:rPr>
          <w:rFonts w:ascii="Times" w:hAnsi="Times" w:cs="Times New Roman"/>
        </w:rPr>
        <w:t>The role of the government is to support this process by simplifying as much as possible regulations and red tape, encouraging entrepreneurship and addressing existing market failures that are constraining investments – physical and knowledge capital - and the growth of these firms. But while there is a clear role for this government support, any type of support is not necessarily justified, and very often can backfire in creating other distortions that affect the growth of more productive enterprises or simply waste of public resources without any positive impact.</w:t>
      </w:r>
      <w:r w:rsidR="00210453" w:rsidRPr="00FF6DF5">
        <w:rPr>
          <w:rFonts w:ascii="Times" w:hAnsi="Times" w:cs="Times New Roman"/>
        </w:rPr>
        <w:t xml:space="preserve"> </w:t>
      </w:r>
    </w:p>
    <w:p w14:paraId="5FC2DC92" w14:textId="77777777" w:rsidR="005E7FA6" w:rsidRDefault="005E7FA6" w:rsidP="005E7FA6">
      <w:pPr>
        <w:pStyle w:val="ListParagraph"/>
        <w:ind w:left="360"/>
        <w:jc w:val="both"/>
        <w:rPr>
          <w:rFonts w:ascii="Times" w:hAnsi="Times" w:cs="Times New Roman"/>
        </w:rPr>
      </w:pPr>
    </w:p>
    <w:p w14:paraId="3D81B5C4" w14:textId="40B197DE" w:rsidR="00210453" w:rsidRDefault="00210453" w:rsidP="001665D6">
      <w:pPr>
        <w:pStyle w:val="ListParagraph"/>
        <w:numPr>
          <w:ilvl w:val="0"/>
          <w:numId w:val="48"/>
        </w:numPr>
        <w:jc w:val="both"/>
        <w:rPr>
          <w:rFonts w:ascii="Times" w:hAnsi="Times" w:cs="Times New Roman"/>
        </w:rPr>
      </w:pPr>
      <w:r w:rsidRPr="00354500">
        <w:rPr>
          <w:rFonts w:ascii="Times" w:hAnsi="Times" w:cs="Times New Roman"/>
          <w:b/>
        </w:rPr>
        <w:t>Avoiding government failure requires governments to have strong processes for design, implementation and coordination of policies</w:t>
      </w:r>
      <w:r w:rsidRPr="00FF6DF5">
        <w:rPr>
          <w:rFonts w:ascii="Times" w:hAnsi="Times" w:cs="Times New Roman"/>
        </w:rPr>
        <w:t>. This challenge becomes more pressing for governments that lack the capability to prioritize issues, weigh strengths and weaknesses of alternative courses of action, deal with highly interacting problems, and strike the right balance between interventions and facilitation of market solutions.  Strong process for formulating and advancing innovation policy call for capabilities to address key dimensions:</w:t>
      </w:r>
    </w:p>
    <w:p w14:paraId="50E9B5EA" w14:textId="77777777" w:rsidR="003A46BA" w:rsidRPr="00294954" w:rsidRDefault="003A46BA" w:rsidP="00294954">
      <w:pPr>
        <w:pStyle w:val="ListParagraph"/>
        <w:numPr>
          <w:ilvl w:val="0"/>
          <w:numId w:val="35"/>
        </w:numPr>
        <w:jc w:val="both"/>
        <w:rPr>
          <w:rFonts w:ascii="Times" w:hAnsi="Times" w:cs="Times New Roman"/>
        </w:rPr>
      </w:pPr>
      <w:r w:rsidRPr="00294954">
        <w:rPr>
          <w:rFonts w:ascii="Times" w:hAnsi="Times" w:cs="Times New Roman"/>
          <w:b/>
        </w:rPr>
        <w:t>Rationale and design of policy</w:t>
      </w:r>
      <w:r w:rsidRPr="00294954">
        <w:rPr>
          <w:rFonts w:ascii="Times" w:hAnsi="Times" w:cs="Times New Roman"/>
        </w:rPr>
        <w:t>: policy practitioners need to ensure they are solving a real problem and avoid the trap of addressing false failures. Moreover, policy makers need to be careful to copy external forms without proper functions (Andrews, Pritchett, and Woolcock 2012), and avoid potential capture by firms.</w:t>
      </w:r>
    </w:p>
    <w:p w14:paraId="30F4A8B4" w14:textId="77777777" w:rsidR="003A46BA" w:rsidRPr="00294954" w:rsidRDefault="003A46BA" w:rsidP="00294954">
      <w:pPr>
        <w:pStyle w:val="ListParagraph"/>
        <w:numPr>
          <w:ilvl w:val="0"/>
          <w:numId w:val="35"/>
        </w:numPr>
        <w:jc w:val="both"/>
        <w:rPr>
          <w:rFonts w:ascii="Times" w:hAnsi="Times" w:cs="Times New Roman"/>
        </w:rPr>
      </w:pPr>
      <w:r w:rsidRPr="00294954">
        <w:rPr>
          <w:rFonts w:ascii="Times" w:hAnsi="Times" w:cs="Times New Roman"/>
          <w:b/>
        </w:rPr>
        <w:t>Efficacy of implementation</w:t>
      </w:r>
      <w:r w:rsidRPr="00294954">
        <w:rPr>
          <w:rFonts w:ascii="Times" w:hAnsi="Times" w:cs="Times New Roman"/>
        </w:rPr>
        <w:t xml:space="preserve">: Policy practitioners need to measure, learn and adapt to achieve improvements in the process of implementation, particularly in the context of pilot interventions.  It has been well documented that managerial practices also matter in government programs (Rasul and </w:t>
      </w:r>
      <w:proofErr w:type="spellStart"/>
      <w:r w:rsidRPr="00294954">
        <w:rPr>
          <w:rFonts w:ascii="Times" w:hAnsi="Times" w:cs="Times New Roman"/>
        </w:rPr>
        <w:t>Rogger</w:t>
      </w:r>
      <w:proofErr w:type="spellEnd"/>
      <w:r w:rsidRPr="00294954">
        <w:rPr>
          <w:rFonts w:ascii="Times" w:hAnsi="Times" w:cs="Times New Roman"/>
        </w:rPr>
        <w:t xml:space="preserve">, 2017), whereby better managed projects usually lead to better outcomes. Interventions need to follow a logical model of the intervention, and the presence of incentives for staff can improve management of innovation programs. </w:t>
      </w:r>
    </w:p>
    <w:p w14:paraId="34F8C893" w14:textId="77777777" w:rsidR="003A46BA" w:rsidRPr="00294954" w:rsidRDefault="003A46BA" w:rsidP="00294954">
      <w:pPr>
        <w:pStyle w:val="ListParagraph"/>
        <w:numPr>
          <w:ilvl w:val="0"/>
          <w:numId w:val="35"/>
        </w:numPr>
        <w:jc w:val="both"/>
        <w:rPr>
          <w:rFonts w:ascii="Times" w:hAnsi="Times" w:cs="Times New Roman"/>
        </w:rPr>
      </w:pPr>
      <w:r w:rsidRPr="00294954">
        <w:rPr>
          <w:rFonts w:ascii="Times" w:hAnsi="Times" w:cs="Times New Roman"/>
          <w:b/>
        </w:rPr>
        <w:t>Coherence of policies</w:t>
      </w:r>
      <w:r w:rsidRPr="00294954">
        <w:rPr>
          <w:rFonts w:ascii="Times" w:hAnsi="Times" w:cs="Times New Roman"/>
        </w:rPr>
        <w:t xml:space="preserve">: Stated priorities and expenditure commitments need to be coherent. In addition, practitioners need to avoid volatility in budget allocations which can undermine medium- to long-term change and impact processes, disparity in budget sizes across programs, and overlap of instruments or inertia despite instruments change. </w:t>
      </w:r>
    </w:p>
    <w:p w14:paraId="781BE70D" w14:textId="4733784F" w:rsidR="003A46BA" w:rsidRPr="00294954" w:rsidRDefault="003A46BA" w:rsidP="00294954">
      <w:pPr>
        <w:pStyle w:val="ListParagraph"/>
        <w:numPr>
          <w:ilvl w:val="0"/>
          <w:numId w:val="35"/>
        </w:numPr>
        <w:jc w:val="both"/>
        <w:rPr>
          <w:rFonts w:ascii="Times" w:hAnsi="Times" w:cs="Times New Roman"/>
        </w:rPr>
      </w:pPr>
      <w:r w:rsidRPr="00294954">
        <w:rPr>
          <w:rFonts w:ascii="Times" w:hAnsi="Times" w:cs="Times New Roman"/>
          <w:b/>
        </w:rPr>
        <w:t>Policy consistency and predictability over time</w:t>
      </w:r>
      <w:r w:rsidRPr="00294954">
        <w:rPr>
          <w:rFonts w:ascii="Times" w:hAnsi="Times" w:cs="Times New Roman"/>
        </w:rPr>
        <w:t>: Developing a dynamic private sector with even minimal capabilities can take decades of deliberate policies. Long-term and predictable financial and institutional commitment is often necessary. In many countries, institutions experience constant leadership changes and politically driven disruptions from the top, which undermine the foundation of previous achievements.</w:t>
      </w:r>
    </w:p>
    <w:p w14:paraId="57A2BD6F" w14:textId="77777777" w:rsidR="00CE3836" w:rsidRPr="00294954" w:rsidRDefault="00CE3836" w:rsidP="00294954">
      <w:pPr>
        <w:pStyle w:val="ListParagraph"/>
        <w:spacing w:after="0" w:line="240" w:lineRule="auto"/>
        <w:ind w:left="360"/>
        <w:jc w:val="both"/>
        <w:rPr>
          <w:rFonts w:ascii="Times" w:hAnsi="Times" w:cs="Times New Roman"/>
        </w:rPr>
      </w:pPr>
    </w:p>
    <w:p w14:paraId="194A3427" w14:textId="77777777" w:rsidR="00CF1AFD" w:rsidRDefault="009B6141" w:rsidP="00347F0F">
      <w:pPr>
        <w:pStyle w:val="Heading2"/>
      </w:pPr>
      <w:bookmarkStart w:id="87" w:name="_Toc10740057"/>
      <w:bookmarkStart w:id="88" w:name="_Toc12503532"/>
      <w:r>
        <w:t xml:space="preserve">Functional Review </w:t>
      </w:r>
      <w:r w:rsidR="00DF522D">
        <w:t>Approach</w:t>
      </w:r>
      <w:bookmarkEnd w:id="87"/>
      <w:bookmarkEnd w:id="88"/>
    </w:p>
    <w:p w14:paraId="6B5BC4CE" w14:textId="77777777" w:rsidR="00EA4EF5" w:rsidRPr="00294954" w:rsidRDefault="00EA4EF5" w:rsidP="0007562D">
      <w:pPr>
        <w:pStyle w:val="ListParagraph"/>
        <w:numPr>
          <w:ilvl w:val="0"/>
          <w:numId w:val="48"/>
        </w:numPr>
        <w:jc w:val="both"/>
        <w:rPr>
          <w:rFonts w:ascii="Times" w:hAnsi="Times" w:cs="Times New Roman"/>
          <w:b/>
          <w:bCs/>
        </w:rPr>
      </w:pPr>
      <w:r>
        <w:rPr>
          <w:rFonts w:ascii="Times" w:hAnsi="Times" w:cs="Times New Roman"/>
          <w:b/>
          <w:bCs/>
        </w:rPr>
        <w:t xml:space="preserve">The effectiveness of </w:t>
      </w:r>
      <w:r w:rsidRPr="006454C2">
        <w:rPr>
          <w:rFonts w:ascii="Times" w:hAnsi="Times" w:cs="Times New Roman"/>
          <w:b/>
          <w:bCs/>
        </w:rPr>
        <w:t>MSME</w:t>
      </w:r>
      <w:r>
        <w:rPr>
          <w:rFonts w:ascii="Times" w:hAnsi="Times" w:cs="Times New Roman"/>
          <w:b/>
          <w:bCs/>
        </w:rPr>
        <w:t xml:space="preserve"> and entrepreneurship</w:t>
      </w:r>
      <w:r w:rsidRPr="006454C2">
        <w:rPr>
          <w:rFonts w:ascii="Times" w:hAnsi="Times" w:cs="Times New Roman"/>
          <w:b/>
          <w:bCs/>
        </w:rPr>
        <w:t xml:space="preserve"> support program</w:t>
      </w:r>
      <w:r>
        <w:rPr>
          <w:rFonts w:ascii="Times" w:hAnsi="Times" w:cs="Times New Roman"/>
          <w:b/>
          <w:bCs/>
        </w:rPr>
        <w:t xml:space="preserve">s tends to </w:t>
      </w:r>
      <w:r w:rsidRPr="006454C2">
        <w:rPr>
          <w:rFonts w:ascii="Times" w:hAnsi="Times" w:cs="Times New Roman"/>
          <w:b/>
          <w:bCs/>
        </w:rPr>
        <w:t>have a mixed record</w:t>
      </w:r>
      <w:r w:rsidRPr="00FF6DF5">
        <w:rPr>
          <w:rFonts w:ascii="Times" w:hAnsi="Times" w:cs="Times New Roman"/>
          <w:bCs/>
        </w:rPr>
        <w:t xml:space="preserve">. Identifying the market failures and binding constraints for enterprise growth in a country context is critical to the </w:t>
      </w:r>
      <w:r>
        <w:rPr>
          <w:rFonts w:ascii="Times" w:hAnsi="Times" w:cs="Times New Roman"/>
          <w:bCs/>
        </w:rPr>
        <w:t xml:space="preserve">development MSME support </w:t>
      </w:r>
      <w:r w:rsidRPr="00FF6DF5">
        <w:rPr>
          <w:rFonts w:ascii="Times" w:hAnsi="Times" w:cs="Times New Roman"/>
          <w:bCs/>
        </w:rPr>
        <w:t xml:space="preserve">policies and programs. </w:t>
      </w:r>
      <w:r>
        <w:rPr>
          <w:rFonts w:ascii="Times" w:hAnsi="Times" w:cs="Times New Roman"/>
          <w:bCs/>
        </w:rPr>
        <w:t>E</w:t>
      </w:r>
      <w:r w:rsidRPr="00FF6DF5">
        <w:rPr>
          <w:rFonts w:ascii="Times" w:hAnsi="Times" w:cs="Times New Roman"/>
          <w:bCs/>
        </w:rPr>
        <w:t xml:space="preserve">ven when the correct constraints are identified, some instruments may perform better than others based on the specific modalities of each support instrument. </w:t>
      </w:r>
    </w:p>
    <w:p w14:paraId="21D476FC" w14:textId="56DC9D26" w:rsidR="00AE4EF5" w:rsidRPr="00FF6DF5" w:rsidRDefault="00FA6F49" w:rsidP="0007562D">
      <w:pPr>
        <w:pStyle w:val="ListParagraph"/>
        <w:numPr>
          <w:ilvl w:val="0"/>
          <w:numId w:val="48"/>
        </w:numPr>
        <w:jc w:val="both"/>
        <w:rPr>
          <w:rFonts w:ascii="Times" w:hAnsi="Times" w:cs="Times New Roman"/>
        </w:rPr>
      </w:pPr>
      <w:r>
        <w:rPr>
          <w:rFonts w:ascii="Times" w:hAnsi="Times" w:cs="Times New Roman"/>
          <w:b/>
        </w:rPr>
        <w:t>T</w:t>
      </w:r>
      <w:r w:rsidR="003163D4" w:rsidRPr="006454C2">
        <w:rPr>
          <w:rFonts w:ascii="Times" w:hAnsi="Times" w:cs="Times New Roman"/>
          <w:b/>
        </w:rPr>
        <w:t>he Functional Review</w:t>
      </w:r>
      <w:r>
        <w:rPr>
          <w:rFonts w:ascii="Times" w:hAnsi="Times" w:cs="Times New Roman"/>
          <w:b/>
        </w:rPr>
        <w:t xml:space="preserve"> is the second part of the PER</w:t>
      </w:r>
      <w:r w:rsidR="003163D4" w:rsidRPr="006454C2">
        <w:rPr>
          <w:rFonts w:ascii="Times" w:hAnsi="Times" w:cs="Times New Roman"/>
          <w:b/>
        </w:rPr>
        <w:t>,</w:t>
      </w:r>
      <w:r>
        <w:rPr>
          <w:rFonts w:ascii="Times" w:hAnsi="Times" w:cs="Times New Roman"/>
          <w:b/>
        </w:rPr>
        <w:t xml:space="preserve"> where specific MSME support programs are</w:t>
      </w:r>
      <w:r w:rsidR="003163D4" w:rsidRPr="006454C2">
        <w:rPr>
          <w:rFonts w:ascii="Times" w:hAnsi="Times" w:cs="Times New Roman"/>
          <w:b/>
        </w:rPr>
        <w:t xml:space="preserve"> assesse</w:t>
      </w:r>
      <w:r>
        <w:rPr>
          <w:rFonts w:ascii="Times" w:hAnsi="Times" w:cs="Times New Roman"/>
          <w:b/>
        </w:rPr>
        <w:t>d</w:t>
      </w:r>
      <w:r w:rsidR="003163D4" w:rsidRPr="006454C2">
        <w:rPr>
          <w:rFonts w:ascii="Times" w:hAnsi="Times" w:cs="Times New Roman"/>
          <w:b/>
        </w:rPr>
        <w:t xml:space="preserve"> </w:t>
      </w:r>
      <w:r>
        <w:rPr>
          <w:rFonts w:ascii="Times" w:hAnsi="Times" w:cs="Times New Roman"/>
          <w:b/>
        </w:rPr>
        <w:t xml:space="preserve">in </w:t>
      </w:r>
      <w:r w:rsidR="003163D4" w:rsidRPr="006454C2">
        <w:rPr>
          <w:rFonts w:ascii="Times" w:hAnsi="Times" w:cs="Times New Roman"/>
          <w:b/>
        </w:rPr>
        <w:t>the use of good practices in design, implementation and coordination</w:t>
      </w:r>
      <w:r w:rsidR="003163D4" w:rsidRPr="00CF1AFD">
        <w:rPr>
          <w:rFonts w:ascii="Times" w:hAnsi="Times" w:cs="Times New Roman"/>
        </w:rPr>
        <w:t xml:space="preserve">. </w:t>
      </w:r>
      <w:r w:rsidR="003163D4">
        <w:rPr>
          <w:rFonts w:ascii="Times" w:hAnsi="Times" w:cs="Times New Roman"/>
        </w:rPr>
        <w:t>The Functional Review</w:t>
      </w:r>
      <w:r w:rsidR="003163D4" w:rsidRPr="00CF1AFD">
        <w:rPr>
          <w:rFonts w:ascii="Times" w:hAnsi="Times" w:cs="Times New Roman"/>
        </w:rPr>
        <w:t xml:space="preserve"> complements the </w:t>
      </w:r>
      <w:r w:rsidR="003163D4">
        <w:rPr>
          <w:rFonts w:ascii="Times" w:hAnsi="Times" w:cs="Times New Roman"/>
        </w:rPr>
        <w:t>Policy Mix</w:t>
      </w:r>
      <w:r w:rsidR="003163D4" w:rsidRPr="00CF1AFD">
        <w:rPr>
          <w:rFonts w:ascii="Times" w:hAnsi="Times" w:cs="Times New Roman"/>
        </w:rPr>
        <w:t xml:space="preserve">, </w:t>
      </w:r>
      <w:r w:rsidR="003163D4">
        <w:rPr>
          <w:rFonts w:ascii="Times" w:hAnsi="Times" w:cs="Times New Roman"/>
        </w:rPr>
        <w:t xml:space="preserve">which analyzed </w:t>
      </w:r>
      <w:r w:rsidR="003163D4" w:rsidRPr="00CF1AFD">
        <w:rPr>
          <w:rFonts w:ascii="Times" w:hAnsi="Times" w:cs="Times New Roman"/>
        </w:rPr>
        <w:t>the quality and coherence of the current mix of policies.</w:t>
      </w:r>
      <w:r w:rsidR="003163D4">
        <w:rPr>
          <w:rFonts w:ascii="Times" w:hAnsi="Times" w:cs="Times New Roman"/>
        </w:rPr>
        <w:t xml:space="preserve"> The analysis of the Functional Review provides the analytical foundation to </w:t>
      </w:r>
      <w:r w:rsidR="003163D4" w:rsidRPr="00CF1AFD">
        <w:rPr>
          <w:rFonts w:ascii="Times" w:hAnsi="Times" w:cs="Times New Roman"/>
        </w:rPr>
        <w:t xml:space="preserve">provide recommendations to strengthen the design, delivery and effectiveness of current SME support programs under implementation, as well as informing the design of new programs under consideration. </w:t>
      </w:r>
      <w:r w:rsidR="00AE4EF5" w:rsidRPr="00FF6DF5">
        <w:rPr>
          <w:rFonts w:ascii="Times" w:hAnsi="Times" w:cs="Times New Roman"/>
        </w:rPr>
        <w:t>Based on good models for public management, the analysis assesses key elements of policy making:</w:t>
      </w:r>
    </w:p>
    <w:p w14:paraId="6EE56DF9" w14:textId="77777777" w:rsidR="00AE4EF5" w:rsidRPr="00FF6DF5" w:rsidRDefault="00AE4EF5" w:rsidP="00AE4EF5">
      <w:pPr>
        <w:numPr>
          <w:ilvl w:val="0"/>
          <w:numId w:val="12"/>
        </w:numPr>
        <w:spacing w:after="0" w:line="240" w:lineRule="auto"/>
        <w:jc w:val="both"/>
        <w:rPr>
          <w:rFonts w:ascii="Times" w:hAnsi="Times" w:cs="Times New Roman"/>
        </w:rPr>
      </w:pPr>
      <w:r w:rsidRPr="00FF6DF5">
        <w:rPr>
          <w:rFonts w:ascii="Times" w:hAnsi="Times" w:cs="Times New Roman"/>
        </w:rPr>
        <w:t>Market failure is identified, and it justifies design and intervention</w:t>
      </w:r>
    </w:p>
    <w:p w14:paraId="72B8CDC9" w14:textId="77777777" w:rsidR="00AE4EF5" w:rsidRPr="00FF6DF5" w:rsidRDefault="00AE4EF5" w:rsidP="00AE4EF5">
      <w:pPr>
        <w:numPr>
          <w:ilvl w:val="0"/>
          <w:numId w:val="12"/>
        </w:numPr>
        <w:spacing w:after="0" w:line="240" w:lineRule="auto"/>
        <w:jc w:val="both"/>
        <w:rPr>
          <w:rFonts w:ascii="Times" w:hAnsi="Times" w:cs="Times New Roman"/>
        </w:rPr>
      </w:pPr>
      <w:r w:rsidRPr="00FF6DF5">
        <w:rPr>
          <w:rFonts w:ascii="Times" w:hAnsi="Times" w:cs="Times New Roman"/>
        </w:rPr>
        <w:t>Program origin is not ad-hoc.</w:t>
      </w:r>
    </w:p>
    <w:p w14:paraId="36BB7A40" w14:textId="77777777" w:rsidR="00AE4EF5" w:rsidRPr="00FF6DF5" w:rsidRDefault="00AE4EF5" w:rsidP="00AE4EF5">
      <w:pPr>
        <w:numPr>
          <w:ilvl w:val="0"/>
          <w:numId w:val="12"/>
        </w:numPr>
        <w:spacing w:after="0" w:line="240" w:lineRule="auto"/>
        <w:jc w:val="both"/>
        <w:rPr>
          <w:rFonts w:ascii="Times" w:hAnsi="Times" w:cs="Times New Roman"/>
        </w:rPr>
      </w:pPr>
      <w:r w:rsidRPr="00FF6DF5">
        <w:rPr>
          <w:rFonts w:ascii="Times" w:hAnsi="Times" w:cs="Times New Roman"/>
        </w:rPr>
        <w:t>The program features clearly identified objectives that are measurable</w:t>
      </w:r>
    </w:p>
    <w:p w14:paraId="514DC82F" w14:textId="77777777" w:rsidR="00AE4EF5" w:rsidRPr="00FF6DF5" w:rsidRDefault="00AE4EF5" w:rsidP="00AE4EF5">
      <w:pPr>
        <w:numPr>
          <w:ilvl w:val="0"/>
          <w:numId w:val="12"/>
        </w:numPr>
        <w:spacing w:after="0" w:line="240" w:lineRule="auto"/>
        <w:jc w:val="both"/>
        <w:rPr>
          <w:rFonts w:ascii="Times" w:hAnsi="Times" w:cs="Times New Roman"/>
        </w:rPr>
      </w:pPr>
      <w:r w:rsidRPr="00FF6DF5">
        <w:rPr>
          <w:rFonts w:ascii="Times" w:hAnsi="Times" w:cs="Times New Roman"/>
        </w:rPr>
        <w:t>The program has explicit and realistic logical framework</w:t>
      </w:r>
    </w:p>
    <w:p w14:paraId="3005923C" w14:textId="77777777" w:rsidR="00AE4EF5" w:rsidRPr="00FF6DF5" w:rsidRDefault="00AE4EF5" w:rsidP="00AE4EF5">
      <w:pPr>
        <w:numPr>
          <w:ilvl w:val="0"/>
          <w:numId w:val="12"/>
        </w:numPr>
        <w:spacing w:after="0" w:line="240" w:lineRule="auto"/>
        <w:jc w:val="both"/>
        <w:rPr>
          <w:rFonts w:ascii="Times" w:hAnsi="Times" w:cs="Times New Roman"/>
        </w:rPr>
      </w:pPr>
      <w:r w:rsidRPr="00FF6DF5">
        <w:rPr>
          <w:rFonts w:ascii="Times" w:hAnsi="Times" w:cs="Times New Roman"/>
        </w:rPr>
        <w:t>The selection of beneficiaries is appropriate.</w:t>
      </w:r>
    </w:p>
    <w:p w14:paraId="60C7D57F" w14:textId="77777777" w:rsidR="00AE4EF5" w:rsidRPr="00FF6DF5" w:rsidRDefault="00AE4EF5" w:rsidP="00AE4EF5">
      <w:pPr>
        <w:numPr>
          <w:ilvl w:val="0"/>
          <w:numId w:val="12"/>
        </w:numPr>
        <w:spacing w:after="0" w:line="240" w:lineRule="auto"/>
        <w:jc w:val="both"/>
        <w:rPr>
          <w:rFonts w:ascii="Times" w:hAnsi="Times" w:cs="Times New Roman"/>
        </w:rPr>
      </w:pPr>
      <w:r w:rsidRPr="00FF6DF5">
        <w:rPr>
          <w:rFonts w:ascii="Times" w:hAnsi="Times" w:cs="Times New Roman"/>
        </w:rPr>
        <w:t xml:space="preserve">The program counts with </w:t>
      </w:r>
      <w:proofErr w:type="gramStart"/>
      <w:r w:rsidRPr="00FF6DF5">
        <w:rPr>
          <w:rFonts w:ascii="Times" w:hAnsi="Times" w:cs="Times New Roman"/>
        </w:rPr>
        <w:t>sufficient</w:t>
      </w:r>
      <w:proofErr w:type="gramEnd"/>
      <w:r w:rsidRPr="00FF6DF5">
        <w:rPr>
          <w:rFonts w:ascii="Times" w:hAnsi="Times" w:cs="Times New Roman"/>
        </w:rPr>
        <w:t xml:space="preserve"> human, financial and organizational resources and features good managerial practices.</w:t>
      </w:r>
    </w:p>
    <w:p w14:paraId="6D5650D6" w14:textId="77777777" w:rsidR="00AE4EF5" w:rsidRPr="00FF6DF5" w:rsidRDefault="00AE4EF5" w:rsidP="00AE4EF5">
      <w:pPr>
        <w:numPr>
          <w:ilvl w:val="0"/>
          <w:numId w:val="12"/>
        </w:numPr>
        <w:spacing w:after="0" w:line="240" w:lineRule="auto"/>
        <w:jc w:val="both"/>
        <w:rPr>
          <w:rFonts w:ascii="Times" w:hAnsi="Times" w:cs="Times New Roman"/>
        </w:rPr>
      </w:pPr>
      <w:r w:rsidRPr="00FF6DF5">
        <w:rPr>
          <w:rFonts w:ascii="Times" w:hAnsi="Times" w:cs="Times New Roman"/>
        </w:rPr>
        <w:t xml:space="preserve">The choice of instrument is evidence based and consideration of costs and alternatives is well documented. </w:t>
      </w:r>
    </w:p>
    <w:p w14:paraId="23680A92" w14:textId="77777777" w:rsidR="00AE4EF5" w:rsidRPr="00FF6DF5" w:rsidRDefault="00AE4EF5" w:rsidP="00AE4EF5">
      <w:pPr>
        <w:numPr>
          <w:ilvl w:val="0"/>
          <w:numId w:val="12"/>
        </w:numPr>
        <w:spacing w:after="0" w:line="240" w:lineRule="auto"/>
        <w:jc w:val="both"/>
        <w:rPr>
          <w:rFonts w:ascii="Times" w:hAnsi="Times" w:cs="Times New Roman"/>
        </w:rPr>
      </w:pPr>
      <w:r w:rsidRPr="00FF6DF5">
        <w:rPr>
          <w:rFonts w:ascii="Times" w:hAnsi="Times" w:cs="Times New Roman"/>
        </w:rPr>
        <w:t>Programs employ M&amp;E frameworks, with good indicators and good measurement. Full consideration of impact evaluation is documented.</w:t>
      </w:r>
    </w:p>
    <w:p w14:paraId="696A3B02" w14:textId="77777777" w:rsidR="00AE4EF5" w:rsidRPr="00FF6DF5" w:rsidRDefault="00AE4EF5" w:rsidP="00AE4EF5">
      <w:pPr>
        <w:numPr>
          <w:ilvl w:val="0"/>
          <w:numId w:val="12"/>
        </w:numPr>
        <w:spacing w:after="0" w:line="240" w:lineRule="auto"/>
        <w:jc w:val="both"/>
        <w:rPr>
          <w:rFonts w:ascii="Times" w:hAnsi="Times" w:cs="Times New Roman"/>
        </w:rPr>
      </w:pPr>
      <w:r w:rsidRPr="00FF6DF5">
        <w:rPr>
          <w:rFonts w:ascii="Times" w:hAnsi="Times" w:cs="Times New Roman"/>
        </w:rPr>
        <w:t xml:space="preserve">The program has formal system to adopt lessons and learning to make program more efficient </w:t>
      </w:r>
    </w:p>
    <w:p w14:paraId="2B66AFDE" w14:textId="77777777" w:rsidR="00AE4EF5" w:rsidRPr="00FF6DF5" w:rsidRDefault="00AE4EF5" w:rsidP="00AE4EF5">
      <w:pPr>
        <w:spacing w:line="240" w:lineRule="auto"/>
        <w:jc w:val="both"/>
        <w:rPr>
          <w:rFonts w:ascii="Times" w:hAnsi="Times" w:cs="Times New Roman"/>
        </w:rPr>
      </w:pPr>
    </w:p>
    <w:p w14:paraId="1D759FF5" w14:textId="78F854C4" w:rsidR="00AE4EF5" w:rsidRPr="00FF6DF5" w:rsidRDefault="00AE4EF5" w:rsidP="001665D6">
      <w:pPr>
        <w:pStyle w:val="ListParagraph"/>
        <w:numPr>
          <w:ilvl w:val="0"/>
          <w:numId w:val="48"/>
        </w:numPr>
        <w:jc w:val="both"/>
        <w:rPr>
          <w:rFonts w:ascii="Times" w:hAnsi="Times" w:cs="Times New Roman"/>
        </w:rPr>
      </w:pPr>
      <w:r w:rsidRPr="00FF6DF5">
        <w:rPr>
          <w:rFonts w:ascii="Times" w:hAnsi="Times" w:cs="Times New Roman"/>
        </w:rPr>
        <w:t>The functional analysis evaluates the three main dimensions in public management of each instrument: design, implementation and inter-institutional integration (</w:t>
      </w:r>
      <w:r w:rsidR="003A46BA" w:rsidRPr="00070752">
        <w:rPr>
          <w:rFonts w:ascii="Times" w:hAnsi="Times" w:cs="Times New Roman"/>
          <w:highlight w:val="yellow"/>
        </w:rPr>
        <w:fldChar w:fldCharType="begin"/>
      </w:r>
      <w:r w:rsidR="003A46BA" w:rsidRPr="00070752">
        <w:rPr>
          <w:rFonts w:ascii="Times" w:hAnsi="Times" w:cs="Times New Roman"/>
          <w:highlight w:val="yellow"/>
        </w:rPr>
        <w:instrText xml:space="preserve"> REF _Ref7109778 \h </w:instrText>
      </w:r>
      <w:r w:rsidR="00070752" w:rsidRPr="00070752">
        <w:rPr>
          <w:rFonts w:ascii="Times" w:hAnsi="Times" w:cs="Times New Roman"/>
          <w:highlight w:val="yellow"/>
        </w:rPr>
        <w:instrText xml:space="preserve"> \* MERGEFORMAT </w:instrText>
      </w:r>
      <w:r w:rsidR="003A46BA" w:rsidRPr="00070752">
        <w:rPr>
          <w:rFonts w:ascii="Times" w:hAnsi="Times" w:cs="Times New Roman"/>
          <w:highlight w:val="yellow"/>
        </w:rPr>
      </w:r>
      <w:r w:rsidR="003A46BA" w:rsidRPr="00070752">
        <w:rPr>
          <w:rFonts w:ascii="Times" w:hAnsi="Times" w:cs="Times New Roman"/>
          <w:highlight w:val="yellow"/>
        </w:rPr>
        <w:fldChar w:fldCharType="separate"/>
      </w:r>
      <w:r w:rsidR="00450958" w:rsidRPr="00450958">
        <w:t xml:space="preserve">Figure </w:t>
      </w:r>
      <w:r w:rsidR="003A46BA" w:rsidRPr="00070752">
        <w:rPr>
          <w:rFonts w:ascii="Times" w:hAnsi="Times" w:cs="Times New Roman"/>
          <w:highlight w:val="yellow"/>
        </w:rPr>
        <w:fldChar w:fldCharType="end"/>
      </w:r>
      <w:r w:rsidR="00383718" w:rsidRPr="001E0C12">
        <w:rPr>
          <w:rFonts w:ascii="Times" w:hAnsi="Times" w:cs="Times New Roman"/>
        </w:rPr>
        <w:t>42</w:t>
      </w:r>
      <w:r w:rsidRPr="001E0C12">
        <w:rPr>
          <w:rFonts w:ascii="Times" w:hAnsi="Times" w:cs="Times New Roman"/>
        </w:rPr>
        <w:t>).</w:t>
      </w:r>
      <w:r w:rsidRPr="00FF6DF5">
        <w:rPr>
          <w:rFonts w:ascii="Times" w:hAnsi="Times" w:cs="Times New Roman"/>
        </w:rPr>
        <w:t xml:space="preserve"> The design dimension covers 14 areas; implementation covers 13 and inter-institutional integration includes the remaining 4.  </w:t>
      </w:r>
    </w:p>
    <w:p w14:paraId="44863858" w14:textId="70ECAC49" w:rsidR="00AE4EF5" w:rsidRPr="00703243" w:rsidRDefault="00A34CAC" w:rsidP="00294954">
      <w:pPr>
        <w:spacing w:line="240" w:lineRule="auto"/>
        <w:jc w:val="center"/>
        <w:rPr>
          <w:rFonts w:ascii="Times" w:hAnsi="Times" w:cs="Times New Roman"/>
          <w:b/>
          <w:sz w:val="24"/>
          <w:szCs w:val="24"/>
        </w:rPr>
      </w:pPr>
      <w:bookmarkStart w:id="89" w:name="_Ref7109778"/>
      <w:r w:rsidRPr="00703243">
        <w:rPr>
          <w:b/>
        </w:rPr>
        <w:t xml:space="preserve">Figure </w:t>
      </w:r>
      <w:bookmarkEnd w:id="89"/>
      <w:r w:rsidR="00070752">
        <w:rPr>
          <w:b/>
          <w:noProof/>
        </w:rPr>
        <w:t>4</w:t>
      </w:r>
      <w:r w:rsidR="00955428">
        <w:rPr>
          <w:b/>
          <w:noProof/>
        </w:rPr>
        <w:t>1</w:t>
      </w:r>
      <w:r w:rsidR="00AE4EF5" w:rsidRPr="00703243">
        <w:rPr>
          <w:rFonts w:ascii="Times" w:hAnsi="Times" w:cs="Times New Roman"/>
          <w:b/>
          <w:bCs/>
          <w:sz w:val="24"/>
          <w:szCs w:val="24"/>
        </w:rPr>
        <w:t>: Dimensions and parameters within each dimension</w:t>
      </w:r>
    </w:p>
    <w:p w14:paraId="6C2C669A" w14:textId="77777777" w:rsidR="00AE4EF5" w:rsidRPr="00FF6DF5" w:rsidRDefault="00AE4EF5" w:rsidP="00AE4EF5">
      <w:pPr>
        <w:spacing w:line="240" w:lineRule="auto"/>
        <w:jc w:val="center"/>
        <w:rPr>
          <w:rFonts w:ascii="Times" w:hAnsi="Times" w:cs="Times New Roman"/>
          <w:sz w:val="24"/>
          <w:szCs w:val="24"/>
        </w:rPr>
      </w:pPr>
      <w:r w:rsidRPr="00FF6DF5">
        <w:rPr>
          <w:rFonts w:ascii="Times" w:hAnsi="Times" w:cs="Times New Roman"/>
          <w:noProof/>
          <w:sz w:val="24"/>
          <w:szCs w:val="24"/>
        </w:rPr>
        <w:drawing>
          <wp:inline distT="0" distB="0" distL="0" distR="0" wp14:anchorId="46FE10A8" wp14:editId="1BD1E02A">
            <wp:extent cx="4472045" cy="3108960"/>
            <wp:effectExtent l="0" t="0" r="508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62" cstate="print">
                      <a:extLst>
                        <a:ext uri="{28A0092B-C50C-407E-A947-70E740481C1C}">
                          <a14:useLocalDpi xmlns:a14="http://schemas.microsoft.com/office/drawing/2010/main"/>
                        </a:ext>
                      </a:extLst>
                    </a:blip>
                    <a:srcRect l="17863" r="15413"/>
                    <a:stretch/>
                  </pic:blipFill>
                  <pic:spPr bwMode="auto">
                    <a:xfrm>
                      <a:off x="0" y="0"/>
                      <a:ext cx="4511114" cy="3136121"/>
                    </a:xfrm>
                    <a:prstGeom prst="rect">
                      <a:avLst/>
                    </a:prstGeom>
                    <a:noFill/>
                    <a:ln>
                      <a:noFill/>
                    </a:ln>
                    <a:extLst>
                      <a:ext uri="{53640926-AAD7-44D8-BBD7-CCE9431645EC}">
                        <a14:shadowObscured xmlns:a14="http://schemas.microsoft.com/office/drawing/2010/main"/>
                      </a:ext>
                    </a:extLst>
                  </pic:spPr>
                </pic:pic>
              </a:graphicData>
            </a:graphic>
          </wp:inline>
        </w:drawing>
      </w:r>
    </w:p>
    <w:p w14:paraId="7E690B97" w14:textId="77777777" w:rsidR="00477746" w:rsidRPr="00FF6DF5" w:rsidRDefault="00477746" w:rsidP="001665D6">
      <w:pPr>
        <w:pStyle w:val="ListParagraph"/>
        <w:numPr>
          <w:ilvl w:val="0"/>
          <w:numId w:val="48"/>
        </w:numPr>
        <w:jc w:val="both"/>
        <w:rPr>
          <w:rFonts w:ascii="Times" w:hAnsi="Times" w:cs="Times New Roman"/>
        </w:rPr>
      </w:pPr>
      <w:r w:rsidRPr="00294954">
        <w:rPr>
          <w:rFonts w:ascii="Times" w:hAnsi="Times" w:cs="Times New Roman"/>
          <w:b/>
        </w:rPr>
        <w:t>The methodology of the functional review uses semi-structured interviews to evaluate the quality of design, implementation and inter-institutional integration</w:t>
      </w:r>
      <w:r w:rsidRPr="00FF6DF5">
        <w:rPr>
          <w:rFonts w:ascii="Times" w:hAnsi="Times" w:cs="Times New Roman"/>
        </w:rPr>
        <w:t xml:space="preserve"> – coordination among instruments, among institutions and position within the policy mix – in relation to international best practices. The scoring matrix assigns values from 1 to 5 based on best practices, with 1 being the lowest score and 5 the highest. Scores are pre-dined based on a matrix of good practices already developed. </w:t>
      </w:r>
    </w:p>
    <w:p w14:paraId="1EEEA48E" w14:textId="5EBCD672" w:rsidR="00761A0E" w:rsidRPr="00FF6DF5" w:rsidRDefault="00761A0E" w:rsidP="001665D6">
      <w:pPr>
        <w:pStyle w:val="ListParagraph"/>
        <w:numPr>
          <w:ilvl w:val="0"/>
          <w:numId w:val="48"/>
        </w:numPr>
        <w:jc w:val="both"/>
        <w:rPr>
          <w:rFonts w:ascii="Times" w:hAnsi="Times" w:cs="Times New Roman"/>
        </w:rPr>
      </w:pPr>
      <w:r w:rsidRPr="00294954">
        <w:rPr>
          <w:rFonts w:ascii="Times" w:hAnsi="Times" w:cs="Times New Roman"/>
          <w:b/>
        </w:rPr>
        <w:t>During data collection, the team met with the program managers of the 15 selected MSME programs</w:t>
      </w:r>
      <w:r w:rsidRPr="00FF6DF5">
        <w:rPr>
          <w:rFonts w:ascii="Times" w:hAnsi="Times" w:cs="Times New Roman"/>
        </w:rPr>
        <w:t xml:space="preserve"> </w:t>
      </w:r>
      <w:r w:rsidR="003A46BA" w:rsidRPr="001E0C12">
        <w:rPr>
          <w:rFonts w:ascii="Times" w:hAnsi="Times" w:cs="Times New Roman"/>
          <w:b/>
        </w:rPr>
        <w:t xml:space="preserve">to complete </w:t>
      </w:r>
      <w:r w:rsidRPr="001E0C12">
        <w:rPr>
          <w:rFonts w:ascii="Times" w:hAnsi="Times" w:cs="Times New Roman"/>
          <w:b/>
        </w:rPr>
        <w:t>the survey instruments</w:t>
      </w:r>
      <w:r w:rsidRPr="00FF6DF5">
        <w:rPr>
          <w:rFonts w:ascii="Times" w:hAnsi="Times" w:cs="Times New Roman"/>
        </w:rPr>
        <w:t xml:space="preserve">. It is worth noting that the analysis has been done based on a sample of programs, and that therefore, </w:t>
      </w:r>
      <w:r w:rsidR="001527A4">
        <w:rPr>
          <w:rFonts w:ascii="Times" w:hAnsi="Times" w:cs="Times New Roman"/>
        </w:rPr>
        <w:t xml:space="preserve">findings cannot be used </w:t>
      </w:r>
      <w:r w:rsidRPr="00FF6DF5">
        <w:rPr>
          <w:rFonts w:ascii="Times" w:hAnsi="Times" w:cs="Times New Roman"/>
        </w:rPr>
        <w:t xml:space="preserve">to extrapolate and draw general conclusions about </w:t>
      </w:r>
      <w:r w:rsidR="001527A4">
        <w:rPr>
          <w:rFonts w:ascii="Times" w:hAnsi="Times" w:cs="Times New Roman"/>
        </w:rPr>
        <w:t>different agencies</w:t>
      </w:r>
      <w:r w:rsidRPr="00FF6DF5">
        <w:rPr>
          <w:rFonts w:ascii="Times" w:hAnsi="Times" w:cs="Times New Roman"/>
        </w:rPr>
        <w:t xml:space="preserve">. </w:t>
      </w:r>
    </w:p>
    <w:p w14:paraId="469B83F9" w14:textId="5A97747E" w:rsidR="00761A0E" w:rsidRPr="00FF6DF5" w:rsidRDefault="00A0340E" w:rsidP="001665D6">
      <w:pPr>
        <w:pStyle w:val="ListParagraph"/>
        <w:numPr>
          <w:ilvl w:val="0"/>
          <w:numId w:val="48"/>
        </w:numPr>
        <w:jc w:val="both"/>
        <w:rPr>
          <w:rFonts w:ascii="Times" w:hAnsi="Times" w:cs="Times New Roman"/>
          <w:b/>
        </w:rPr>
      </w:pPr>
      <w:r w:rsidRPr="00294954">
        <w:rPr>
          <w:rFonts w:ascii="Times" w:hAnsi="Times" w:cs="Times New Roman"/>
          <w:b/>
        </w:rPr>
        <w:t>In the Philippines, design is done by a central entity</w:t>
      </w:r>
      <w:r w:rsidR="00DC03B5" w:rsidRPr="00294954">
        <w:rPr>
          <w:rFonts w:ascii="Times" w:hAnsi="Times" w:cs="Times New Roman"/>
          <w:b/>
        </w:rPr>
        <w:t xml:space="preserve">, but the implementation of instruments is largely delegated to regional offices with limited </w:t>
      </w:r>
      <w:r w:rsidR="007C49E9" w:rsidRPr="00294954">
        <w:rPr>
          <w:rFonts w:ascii="Times" w:hAnsi="Times" w:cs="Times New Roman"/>
          <w:b/>
        </w:rPr>
        <w:t>purview of the central agency</w:t>
      </w:r>
      <w:r w:rsidRPr="00FF6DF5">
        <w:rPr>
          <w:rFonts w:ascii="Times" w:hAnsi="Times" w:cs="Times New Roman"/>
        </w:rPr>
        <w:t>.</w:t>
      </w:r>
      <w:r w:rsidR="007D1B45" w:rsidRPr="00FF6DF5">
        <w:rPr>
          <w:rStyle w:val="EndnoteReference"/>
          <w:rFonts w:ascii="Times" w:hAnsi="Times" w:cs="Times New Roman"/>
        </w:rPr>
        <w:endnoteReference w:id="74"/>
      </w:r>
      <w:r w:rsidR="007D1B45" w:rsidRPr="00FF6DF5">
        <w:rPr>
          <w:rFonts w:ascii="Times" w:hAnsi="Times" w:cs="Times New Roman"/>
        </w:rPr>
        <w:t xml:space="preserve"> </w:t>
      </w:r>
      <w:r w:rsidR="007C49E9">
        <w:rPr>
          <w:rFonts w:ascii="Times" w:hAnsi="Times" w:cs="Times New Roman"/>
        </w:rPr>
        <w:t xml:space="preserve">In decentralized setups like the Philippines, </w:t>
      </w:r>
      <w:r w:rsidR="00BB3D2A">
        <w:rPr>
          <w:rFonts w:ascii="Times" w:hAnsi="Times" w:cs="Times New Roman"/>
        </w:rPr>
        <w:t>a traditional</w:t>
      </w:r>
      <w:r w:rsidRPr="00FF6DF5">
        <w:rPr>
          <w:rFonts w:ascii="Times" w:hAnsi="Times" w:cs="Times New Roman"/>
        </w:rPr>
        <w:t xml:space="preserve"> functional analysis </w:t>
      </w:r>
      <w:r w:rsidR="00BB3D2A">
        <w:rPr>
          <w:rFonts w:ascii="Times" w:hAnsi="Times" w:cs="Times New Roman"/>
        </w:rPr>
        <w:t xml:space="preserve">that focuses only on </w:t>
      </w:r>
      <w:r w:rsidRPr="00FF6DF5">
        <w:rPr>
          <w:rFonts w:ascii="Times" w:hAnsi="Times" w:cs="Times New Roman"/>
        </w:rPr>
        <w:t>central unit</w:t>
      </w:r>
      <w:r w:rsidR="00BB3D2A">
        <w:rPr>
          <w:rFonts w:ascii="Times" w:hAnsi="Times" w:cs="Times New Roman"/>
        </w:rPr>
        <w:t>s would</w:t>
      </w:r>
      <w:r w:rsidRPr="00FF6DF5">
        <w:rPr>
          <w:rFonts w:ascii="Times" w:hAnsi="Times" w:cs="Times New Roman"/>
        </w:rPr>
        <w:t xml:space="preserve"> miss key elements of implementation and governance. For example, the existence of agile application processes, reaching out key beneficiaries, having adequate financial and human resources; can vary significantly by implementing unit. </w:t>
      </w:r>
      <w:r>
        <w:rPr>
          <w:rFonts w:ascii="Times" w:hAnsi="Times" w:cs="Times New Roman"/>
        </w:rPr>
        <w:t xml:space="preserve">Therefore, the </w:t>
      </w:r>
      <w:r w:rsidR="006D1557">
        <w:rPr>
          <w:rFonts w:ascii="Times" w:hAnsi="Times" w:cs="Times New Roman"/>
        </w:rPr>
        <w:t xml:space="preserve">traditional </w:t>
      </w:r>
      <w:r w:rsidR="00245E87">
        <w:rPr>
          <w:rFonts w:ascii="Times" w:hAnsi="Times" w:cs="Times New Roman"/>
        </w:rPr>
        <w:t xml:space="preserve">functional </w:t>
      </w:r>
      <w:r w:rsidR="00BC71D4" w:rsidRPr="00FF6DF5">
        <w:rPr>
          <w:rFonts w:ascii="Times" w:hAnsi="Times" w:cs="Times New Roman"/>
        </w:rPr>
        <w:t xml:space="preserve">analysis was complemented with </w:t>
      </w:r>
      <w:r w:rsidR="006D1557">
        <w:rPr>
          <w:rFonts w:ascii="Times" w:hAnsi="Times" w:cs="Times New Roman"/>
        </w:rPr>
        <w:t xml:space="preserve">an </w:t>
      </w:r>
      <w:r w:rsidR="00BC71D4" w:rsidRPr="00FF6DF5">
        <w:rPr>
          <w:rFonts w:ascii="Times" w:hAnsi="Times" w:cs="Times New Roman"/>
        </w:rPr>
        <w:t>analysis of implementation in a sample of regions</w:t>
      </w:r>
      <w:r w:rsidR="006D1557">
        <w:rPr>
          <w:rFonts w:ascii="Times" w:hAnsi="Times" w:cs="Times New Roman"/>
        </w:rPr>
        <w:t xml:space="preserve"> - </w:t>
      </w:r>
      <w:r w:rsidR="00BC71D4" w:rsidRPr="00FF6DF5">
        <w:rPr>
          <w:rFonts w:ascii="Times" w:hAnsi="Times" w:cs="Times New Roman"/>
        </w:rPr>
        <w:t>Mandaluyong, Makati, Tagbilaran and Cebu.</w:t>
      </w:r>
    </w:p>
    <w:p w14:paraId="5722BE00" w14:textId="77777777" w:rsidR="00F547BC" w:rsidRDefault="00A00FE7" w:rsidP="003E51A8">
      <w:pPr>
        <w:pStyle w:val="Heading2"/>
      </w:pPr>
      <w:bookmarkStart w:id="90" w:name="_Toc10740058"/>
      <w:bookmarkStart w:id="91" w:name="_Toc12503533"/>
      <w:r>
        <w:t>Functional</w:t>
      </w:r>
      <w:r w:rsidR="007D1B45">
        <w:t xml:space="preserve"> analysis</w:t>
      </w:r>
      <w:r>
        <w:t xml:space="preserve"> </w:t>
      </w:r>
      <w:r w:rsidR="007961C8">
        <w:t>findings</w:t>
      </w:r>
      <w:bookmarkEnd w:id="90"/>
      <w:bookmarkEnd w:id="91"/>
    </w:p>
    <w:p w14:paraId="6ADFD7F8" w14:textId="1CD52F98" w:rsidR="007961C8" w:rsidRPr="00FF6DF5" w:rsidRDefault="00B61B1F" w:rsidP="001665D6">
      <w:pPr>
        <w:pStyle w:val="ListParagraph"/>
        <w:numPr>
          <w:ilvl w:val="0"/>
          <w:numId w:val="48"/>
        </w:numPr>
        <w:jc w:val="both"/>
        <w:rPr>
          <w:rFonts w:ascii="Times" w:hAnsi="Times" w:cs="Times New Roman"/>
        </w:rPr>
      </w:pPr>
      <w:r w:rsidRPr="00294954">
        <w:rPr>
          <w:rFonts w:ascii="Times" w:hAnsi="Times" w:cs="Times New Roman"/>
          <w:b/>
        </w:rPr>
        <w:t xml:space="preserve">Results </w:t>
      </w:r>
      <w:r w:rsidR="007961C8" w:rsidRPr="00294954">
        <w:rPr>
          <w:rFonts w:ascii="Times" w:hAnsi="Times" w:cs="Times New Roman"/>
          <w:b/>
        </w:rPr>
        <w:t>suggest that there is significant room for improvement in the quality of design, implementation and governance/coordination of SME programs in the Philippines</w:t>
      </w:r>
      <w:r w:rsidR="007961C8" w:rsidRPr="00FF6DF5">
        <w:rPr>
          <w:rFonts w:ascii="Times" w:hAnsi="Times" w:cs="Times New Roman"/>
        </w:rPr>
        <w:t>. While most programs are reasonably well executed, adoption of good practices is still lagging in some key dimensions of policy making, and the value of the overall score is around half of that from the policy-making frontier</w:t>
      </w:r>
      <w:r>
        <w:rPr>
          <w:rFonts w:ascii="Times" w:hAnsi="Times" w:cs="Times New Roman"/>
        </w:rPr>
        <w:t xml:space="preserve"> </w:t>
      </w:r>
      <w:r w:rsidR="00985CDB">
        <w:rPr>
          <w:rFonts w:ascii="Times" w:hAnsi="Times" w:cs="Times New Roman"/>
        </w:rPr>
        <w:t>(</w:t>
      </w:r>
      <w:r w:rsidR="00985CDB">
        <w:rPr>
          <w:rFonts w:ascii="Times" w:hAnsi="Times" w:cs="Times New Roman"/>
        </w:rPr>
        <w:fldChar w:fldCharType="begin"/>
      </w:r>
      <w:r w:rsidR="00985CDB">
        <w:rPr>
          <w:rFonts w:ascii="Times" w:hAnsi="Times" w:cs="Times New Roman"/>
        </w:rPr>
        <w:instrText xml:space="preserve"> REF _Ref7109992 \h </w:instrText>
      </w:r>
      <w:r w:rsidR="00985CDB">
        <w:rPr>
          <w:rFonts w:ascii="Times" w:hAnsi="Times" w:cs="Times New Roman"/>
        </w:rPr>
      </w:r>
      <w:r w:rsidR="00985CDB">
        <w:rPr>
          <w:rFonts w:ascii="Times" w:hAnsi="Times" w:cs="Times New Roman"/>
        </w:rPr>
        <w:fldChar w:fldCharType="separate"/>
      </w:r>
      <w:r w:rsidR="00450958" w:rsidRPr="00AC718D">
        <w:rPr>
          <w:rFonts w:cs="Times New Roman"/>
        </w:rPr>
        <w:t xml:space="preserve">Figure </w:t>
      </w:r>
      <w:r w:rsidR="00985CDB">
        <w:rPr>
          <w:rFonts w:ascii="Times" w:hAnsi="Times" w:cs="Times New Roman"/>
        </w:rPr>
        <w:fldChar w:fldCharType="end"/>
      </w:r>
      <w:r w:rsidR="00D622A2">
        <w:rPr>
          <w:rFonts w:ascii="Times" w:hAnsi="Times" w:cs="Times New Roman"/>
        </w:rPr>
        <w:t>43</w:t>
      </w:r>
      <w:r w:rsidR="00985CDB">
        <w:rPr>
          <w:rFonts w:ascii="Times" w:hAnsi="Times" w:cs="Times New Roman"/>
        </w:rPr>
        <w:t>)</w:t>
      </w:r>
      <w:r w:rsidR="007961C8" w:rsidRPr="00FF6DF5">
        <w:rPr>
          <w:rFonts w:ascii="Times" w:hAnsi="Times" w:cs="Times New Roman"/>
        </w:rPr>
        <w:t xml:space="preserve">. In what follows, we identify the specific areas of improvement. In reading the results, it is important to keep in mind that the results for implementation are just an approximation because most implementation is decentralized, so the findings need to be complemented with those </w:t>
      </w:r>
      <w:r w:rsidR="00317D70">
        <w:rPr>
          <w:rFonts w:ascii="Times" w:hAnsi="Times" w:cs="Times New Roman"/>
        </w:rPr>
        <w:t>in Annex 4</w:t>
      </w:r>
      <w:r w:rsidR="007961C8" w:rsidRPr="00FF6DF5">
        <w:rPr>
          <w:rFonts w:ascii="Times" w:hAnsi="Times" w:cs="Times New Roman"/>
        </w:rPr>
        <w:t>.</w:t>
      </w:r>
    </w:p>
    <w:p w14:paraId="286D3A5C" w14:textId="4EA5746D" w:rsidR="007961C8" w:rsidRPr="00FF6DF5" w:rsidRDefault="007961C8" w:rsidP="001665D6">
      <w:pPr>
        <w:pStyle w:val="ListParagraph"/>
        <w:numPr>
          <w:ilvl w:val="0"/>
          <w:numId w:val="48"/>
        </w:numPr>
        <w:jc w:val="both"/>
        <w:rPr>
          <w:rFonts w:ascii="Times" w:hAnsi="Times" w:cs="Times New Roman"/>
        </w:rPr>
      </w:pPr>
      <w:r w:rsidRPr="00294954">
        <w:rPr>
          <w:rFonts w:ascii="Times" w:hAnsi="Times" w:cs="Times New Roman"/>
          <w:b/>
        </w:rPr>
        <w:t>Governance/coordination emerged as the highest-ranking dimension for the entire sample of programs, followed by implementation and design</w:t>
      </w:r>
      <w:r w:rsidRPr="00FF6DF5">
        <w:rPr>
          <w:rFonts w:ascii="Times" w:hAnsi="Times" w:cs="Times New Roman"/>
        </w:rPr>
        <w:t>.</w:t>
      </w:r>
      <w:r w:rsidR="00317D70">
        <w:rPr>
          <w:rFonts w:ascii="Times" w:hAnsi="Times" w:cs="Times New Roman"/>
        </w:rPr>
        <w:t xml:space="preserve"> </w:t>
      </w:r>
      <w:r w:rsidRPr="00FF6DF5">
        <w:rPr>
          <w:rFonts w:ascii="Times" w:hAnsi="Times" w:cs="Times New Roman"/>
        </w:rPr>
        <w:t xml:space="preserve">A key element explaining the better scores for governance-coordination is the fact that there is a good narrative of complementarities between the different instruments, and a clear link to a common strategy of support to MSMEs, at least within departments. Design shows weaker practices, especially related to diagnostic of market failures and lack of proper M&amp;E systems. However, the values of the scores for governance and implementation showed higher dispersion than the values for design. </w:t>
      </w:r>
    </w:p>
    <w:p w14:paraId="0164993E" w14:textId="2E9E5C7B" w:rsidR="007961C8" w:rsidRPr="00AC718D" w:rsidRDefault="00A34CAC" w:rsidP="00327E4B">
      <w:pPr>
        <w:pStyle w:val="Caption"/>
        <w:jc w:val="center"/>
        <w:rPr>
          <w:rFonts w:ascii="Times New Roman" w:hAnsi="Times New Roman" w:cs="Times New Roman"/>
        </w:rPr>
      </w:pPr>
      <w:bookmarkStart w:id="92" w:name="_Ref7109992"/>
      <w:r w:rsidRPr="00AC718D">
        <w:rPr>
          <w:rFonts w:ascii="Times New Roman" w:hAnsi="Times New Roman" w:cs="Times New Roman"/>
        </w:rPr>
        <w:t xml:space="preserve">Figure </w:t>
      </w:r>
      <w:bookmarkEnd w:id="92"/>
      <w:r w:rsidR="003E59F0">
        <w:rPr>
          <w:rFonts w:ascii="Times New Roman" w:hAnsi="Times New Roman" w:cs="Times New Roman"/>
          <w:noProof/>
        </w:rPr>
        <w:t>4</w:t>
      </w:r>
      <w:r w:rsidR="00955428">
        <w:rPr>
          <w:rFonts w:ascii="Times New Roman" w:hAnsi="Times New Roman" w:cs="Times New Roman"/>
          <w:noProof/>
        </w:rPr>
        <w:t>2</w:t>
      </w:r>
      <w:r w:rsidR="00327E4B" w:rsidRPr="00AC718D">
        <w:rPr>
          <w:rFonts w:ascii="Times New Roman" w:hAnsi="Times New Roman" w:cs="Times New Roman"/>
        </w:rPr>
        <w:t xml:space="preserve">. </w:t>
      </w:r>
      <w:r w:rsidR="007961C8" w:rsidRPr="00AC718D">
        <w:rPr>
          <w:rFonts w:ascii="Times New Roman" w:hAnsi="Times New Roman" w:cs="Times New Roman"/>
        </w:rPr>
        <w:t>Aggregate scores of the functional review by agency</w:t>
      </w:r>
    </w:p>
    <w:p w14:paraId="0B578D62" w14:textId="77777777" w:rsidR="007961C8" w:rsidRPr="00FF6DF5" w:rsidRDefault="007961C8" w:rsidP="007961C8">
      <w:pPr>
        <w:rPr>
          <w:rFonts w:ascii="Times" w:hAnsi="Times" w:cs="Times New Roman"/>
          <w:sz w:val="18"/>
          <w:szCs w:val="18"/>
        </w:rPr>
      </w:pPr>
      <w:r w:rsidRPr="00FF6DF5">
        <w:rPr>
          <w:rFonts w:ascii="Times" w:hAnsi="Times"/>
          <w:noProof/>
        </w:rPr>
        <w:drawing>
          <wp:inline distT="0" distB="0" distL="0" distR="0" wp14:anchorId="5D916AA5" wp14:editId="2EB52F68">
            <wp:extent cx="5943600" cy="22499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5943600" cy="2249964"/>
                    </a:xfrm>
                    <a:prstGeom prst="rect">
                      <a:avLst/>
                    </a:prstGeom>
                    <a:noFill/>
                    <a:ln>
                      <a:noFill/>
                    </a:ln>
                  </pic:spPr>
                </pic:pic>
              </a:graphicData>
            </a:graphic>
          </wp:inline>
        </w:drawing>
      </w:r>
    </w:p>
    <w:p w14:paraId="38D7A260" w14:textId="77777777" w:rsidR="007961C8" w:rsidRPr="00FF6DF5" w:rsidRDefault="007961C8" w:rsidP="007961C8">
      <w:pPr>
        <w:rPr>
          <w:rFonts w:ascii="Times" w:hAnsi="Times" w:cs="Times New Roman"/>
          <w:sz w:val="18"/>
          <w:szCs w:val="18"/>
        </w:rPr>
      </w:pPr>
      <w:r w:rsidRPr="00FF6DF5">
        <w:rPr>
          <w:rFonts w:ascii="Times" w:hAnsi="Times" w:cs="Times New Roman"/>
          <w:sz w:val="18"/>
          <w:szCs w:val="18"/>
        </w:rPr>
        <w:t xml:space="preserve">Notes: (1) includes 15 programs selected for the functional review; (2) Boxplots show interquartile range (colored), average (lines) and median values (x); Source: WBG, based on interviews and available documentation from DTI, and </w:t>
      </w:r>
      <w:proofErr w:type="spellStart"/>
      <w:r w:rsidRPr="00FF6DF5">
        <w:rPr>
          <w:rFonts w:ascii="Times" w:hAnsi="Times" w:cs="Times New Roman"/>
          <w:sz w:val="18"/>
          <w:szCs w:val="18"/>
        </w:rPr>
        <w:t>DoST</w:t>
      </w:r>
      <w:proofErr w:type="spellEnd"/>
      <w:r w:rsidRPr="00FF6DF5">
        <w:rPr>
          <w:rFonts w:ascii="Times" w:hAnsi="Times" w:cs="Times New Roman"/>
          <w:sz w:val="18"/>
          <w:szCs w:val="18"/>
        </w:rPr>
        <w:t>.</w:t>
      </w:r>
    </w:p>
    <w:p w14:paraId="437CFD93" w14:textId="5C66E75C" w:rsidR="007961C8" w:rsidRPr="00FF6DF5" w:rsidRDefault="007961C8" w:rsidP="001665D6">
      <w:pPr>
        <w:pStyle w:val="ListParagraph"/>
        <w:numPr>
          <w:ilvl w:val="0"/>
          <w:numId w:val="48"/>
        </w:numPr>
        <w:jc w:val="both"/>
        <w:rPr>
          <w:rFonts w:ascii="Times" w:hAnsi="Times" w:cs="Times New Roman"/>
        </w:rPr>
      </w:pPr>
      <w:r w:rsidRPr="00294954">
        <w:rPr>
          <w:rFonts w:ascii="Times" w:hAnsi="Times" w:cs="Times New Roman"/>
          <w:b/>
        </w:rPr>
        <w:t xml:space="preserve">The sample of programs ranked on average very similarly for both DTI and </w:t>
      </w:r>
      <w:proofErr w:type="spellStart"/>
      <w:r w:rsidRPr="00294954">
        <w:rPr>
          <w:rFonts w:ascii="Times" w:hAnsi="Times" w:cs="Times New Roman"/>
          <w:b/>
        </w:rPr>
        <w:t>DoST</w:t>
      </w:r>
      <w:proofErr w:type="spellEnd"/>
      <w:r w:rsidRPr="00FF6DF5">
        <w:rPr>
          <w:rFonts w:ascii="Times" w:hAnsi="Times" w:cs="Times New Roman"/>
        </w:rPr>
        <w:t>. Across the three dimensions; DTI scored on average on design 3 – 2.6 (D</w:t>
      </w:r>
      <w:r w:rsidR="00317D70">
        <w:rPr>
          <w:rFonts w:ascii="Times" w:hAnsi="Times" w:cs="Times New Roman"/>
        </w:rPr>
        <w:t>O</w:t>
      </w:r>
      <w:r w:rsidRPr="00FF6DF5">
        <w:rPr>
          <w:rFonts w:ascii="Times" w:hAnsi="Times" w:cs="Times New Roman"/>
        </w:rPr>
        <w:t>ST) – and D</w:t>
      </w:r>
      <w:r w:rsidR="00317D70">
        <w:rPr>
          <w:rFonts w:ascii="Times" w:hAnsi="Times" w:cs="Times New Roman"/>
        </w:rPr>
        <w:t>O</w:t>
      </w:r>
      <w:r w:rsidRPr="00FF6DF5">
        <w:rPr>
          <w:rFonts w:ascii="Times" w:hAnsi="Times" w:cs="Times New Roman"/>
        </w:rPr>
        <w:t>ST scoring higher on implementation 3.2 vs 2.8 (DTI). Programs under DTI and D</w:t>
      </w:r>
      <w:r w:rsidR="00317D70">
        <w:rPr>
          <w:rFonts w:ascii="Times" w:hAnsi="Times" w:cs="Times New Roman"/>
        </w:rPr>
        <w:t>O</w:t>
      </w:r>
      <w:r w:rsidRPr="00FF6DF5">
        <w:rPr>
          <w:rFonts w:ascii="Times" w:hAnsi="Times" w:cs="Times New Roman"/>
        </w:rPr>
        <w:t xml:space="preserve">ST ranked equally on average in governance/coordination with a 3.1. </w:t>
      </w:r>
      <w:proofErr w:type="spellStart"/>
      <w:r w:rsidRPr="00FF6DF5">
        <w:rPr>
          <w:rFonts w:ascii="Times" w:hAnsi="Times" w:cs="Times New Roman"/>
        </w:rPr>
        <w:t>DoST</w:t>
      </w:r>
      <w:proofErr w:type="spellEnd"/>
      <w:r w:rsidRPr="00FF6DF5">
        <w:rPr>
          <w:rFonts w:ascii="Times" w:hAnsi="Times" w:cs="Times New Roman"/>
        </w:rPr>
        <w:t xml:space="preserve"> programs presented particularly large variance regarding design, and DTI presented more differences in the quality of governance/coordination. </w:t>
      </w:r>
      <w:r w:rsidR="004E71E8">
        <w:rPr>
          <w:rFonts w:ascii="Times" w:hAnsi="Times" w:cs="Times New Roman"/>
        </w:rPr>
        <w:t>Annex</w:t>
      </w:r>
      <w:r w:rsidR="004E71E8" w:rsidRPr="00FF6DF5">
        <w:rPr>
          <w:rFonts w:ascii="Times" w:hAnsi="Times" w:cs="Times New Roman"/>
        </w:rPr>
        <w:t xml:space="preserve"> </w:t>
      </w:r>
      <w:r w:rsidR="004E71E8">
        <w:rPr>
          <w:rFonts w:ascii="Times" w:hAnsi="Times" w:cs="Times New Roman"/>
        </w:rPr>
        <w:t>3</w:t>
      </w:r>
      <w:r w:rsidRPr="00FF6DF5">
        <w:rPr>
          <w:rFonts w:ascii="Times" w:hAnsi="Times" w:cs="Times New Roman"/>
        </w:rPr>
        <w:t xml:space="preserve"> describes in more detail the heterogeneity within each institution.</w:t>
      </w:r>
    </w:p>
    <w:p w14:paraId="2D18D781" w14:textId="023AFBDC" w:rsidR="007961C8" w:rsidRPr="00FF6DF5" w:rsidRDefault="007961C8" w:rsidP="001665D6">
      <w:pPr>
        <w:pStyle w:val="ListParagraph"/>
        <w:numPr>
          <w:ilvl w:val="0"/>
          <w:numId w:val="48"/>
        </w:numPr>
        <w:jc w:val="both"/>
        <w:rPr>
          <w:rFonts w:ascii="Times" w:hAnsi="Times" w:cs="Times New Roman"/>
        </w:rPr>
      </w:pPr>
      <w:r w:rsidRPr="00294954">
        <w:rPr>
          <w:rFonts w:ascii="Times" w:hAnsi="Times" w:cs="Times New Roman"/>
          <w:b/>
        </w:rPr>
        <w:t>A simple benchmark exercise for scores across programs between the Philippines and a good performer country in Latin America showed that the practices from the sample programs ranked consistently lower in the score scales than the peer country</w:t>
      </w:r>
      <w:r w:rsidRPr="00FF6DF5">
        <w:rPr>
          <w:rFonts w:ascii="Times" w:hAnsi="Times" w:cs="Times New Roman"/>
        </w:rPr>
        <w:t xml:space="preserve"> </w:t>
      </w:r>
      <w:r w:rsidRPr="003E59F0">
        <w:rPr>
          <w:rFonts w:ascii="Times" w:hAnsi="Times" w:cs="Times New Roman"/>
        </w:rPr>
        <w:t>(</w:t>
      </w:r>
      <w:r w:rsidR="00F15E27" w:rsidRPr="003E59F0">
        <w:rPr>
          <w:rFonts w:ascii="Times" w:hAnsi="Times" w:cs="Times New Roman"/>
        </w:rPr>
        <w:fldChar w:fldCharType="begin"/>
      </w:r>
      <w:r w:rsidR="00F15E27" w:rsidRPr="003E59F0">
        <w:rPr>
          <w:rFonts w:ascii="Times" w:hAnsi="Times" w:cs="Times New Roman"/>
        </w:rPr>
        <w:instrText xml:space="preserve"> REF _Ref7110094 \h </w:instrText>
      </w:r>
      <w:r w:rsidR="003E59F0" w:rsidRPr="003E59F0">
        <w:rPr>
          <w:rFonts w:ascii="Times" w:hAnsi="Times" w:cs="Times New Roman"/>
        </w:rPr>
        <w:instrText xml:space="preserve"> \* MERGEFORMAT </w:instrText>
      </w:r>
      <w:r w:rsidR="00F15E27" w:rsidRPr="003E59F0">
        <w:rPr>
          <w:rFonts w:ascii="Times" w:hAnsi="Times" w:cs="Times New Roman"/>
        </w:rPr>
      </w:r>
      <w:r w:rsidR="00F15E27" w:rsidRPr="003E59F0">
        <w:rPr>
          <w:rFonts w:ascii="Times" w:hAnsi="Times" w:cs="Times New Roman"/>
        </w:rPr>
        <w:fldChar w:fldCharType="separate"/>
      </w:r>
      <w:r w:rsidR="00450958" w:rsidRPr="00450958">
        <w:t xml:space="preserve">Figure </w:t>
      </w:r>
      <w:r w:rsidR="00F15E27" w:rsidRPr="003E59F0">
        <w:rPr>
          <w:rFonts w:ascii="Times" w:hAnsi="Times" w:cs="Times New Roman"/>
        </w:rPr>
        <w:fldChar w:fldCharType="end"/>
      </w:r>
      <w:r w:rsidR="00E71D74">
        <w:rPr>
          <w:rFonts w:ascii="Times" w:hAnsi="Times" w:cs="Times New Roman"/>
        </w:rPr>
        <w:t>43</w:t>
      </w:r>
      <w:r w:rsidRPr="003E59F0">
        <w:rPr>
          <w:rFonts w:ascii="Times" w:hAnsi="Times" w:cs="Times New Roman"/>
        </w:rPr>
        <w:t>).</w:t>
      </w:r>
      <w:r w:rsidRPr="00FF6DF5">
        <w:rPr>
          <w:rFonts w:ascii="Times" w:hAnsi="Times" w:cs="Times New Roman"/>
        </w:rPr>
        <w:t xml:space="preserve"> This is true for mean and median values, across all dimensions: design, implementation and governance. It is worth noting that scores for the dimension of design ranked the lowest for both countries. Values for the scores in Design and Governance showed higher dispersion than the scores for implementation in both countries. Design tends to adopt </w:t>
      </w:r>
      <w:r w:rsidR="00F15E27" w:rsidRPr="00FF6DF5">
        <w:rPr>
          <w:rFonts w:ascii="Times" w:hAnsi="Times" w:cs="Times New Roman"/>
        </w:rPr>
        <w:t>fewer</w:t>
      </w:r>
      <w:r w:rsidRPr="00FF6DF5">
        <w:rPr>
          <w:rFonts w:ascii="Times" w:hAnsi="Times" w:cs="Times New Roman"/>
        </w:rPr>
        <w:t xml:space="preserve"> good practices in most countries. There is also more homogeneity of scores in the Philippines as compared to the benchmark country.</w:t>
      </w:r>
    </w:p>
    <w:p w14:paraId="2D10474E" w14:textId="418774D4" w:rsidR="007961C8" w:rsidRPr="00294954" w:rsidRDefault="00A34CAC" w:rsidP="00EC13D9">
      <w:pPr>
        <w:jc w:val="center"/>
        <w:rPr>
          <w:rFonts w:ascii="Times" w:hAnsi="Times" w:cs="Times New Roman"/>
          <w:b/>
        </w:rPr>
      </w:pPr>
      <w:bookmarkStart w:id="93" w:name="_Ref7110094"/>
      <w:r w:rsidRPr="00294954">
        <w:rPr>
          <w:b/>
        </w:rPr>
        <w:t xml:space="preserve">Figure </w:t>
      </w:r>
      <w:bookmarkEnd w:id="93"/>
      <w:r w:rsidR="003E59F0">
        <w:rPr>
          <w:b/>
          <w:noProof/>
        </w:rPr>
        <w:t>4</w:t>
      </w:r>
      <w:r w:rsidR="009B271A">
        <w:rPr>
          <w:b/>
          <w:noProof/>
        </w:rPr>
        <w:t>3</w:t>
      </w:r>
      <w:r w:rsidR="007961C8" w:rsidRPr="00294954">
        <w:rPr>
          <w:rFonts w:ascii="Times" w:hAnsi="Times" w:cs="Times New Roman"/>
          <w:b/>
        </w:rPr>
        <w:t>: Comparison of scores between selected programs of the Philippines and benchmark case</w:t>
      </w:r>
    </w:p>
    <w:p w14:paraId="648C5433" w14:textId="77777777" w:rsidR="007961C8" w:rsidRPr="00FF6DF5" w:rsidRDefault="007961C8" w:rsidP="007961C8">
      <w:pPr>
        <w:rPr>
          <w:rFonts w:ascii="Times" w:hAnsi="Times" w:cs="Times New Roman"/>
        </w:rPr>
      </w:pPr>
      <w:r w:rsidRPr="00FF6DF5">
        <w:rPr>
          <w:rFonts w:ascii="Times" w:hAnsi="Times"/>
          <w:noProof/>
        </w:rPr>
        <w:drawing>
          <wp:inline distT="0" distB="0" distL="0" distR="0" wp14:anchorId="77E87F18" wp14:editId="2D60C583">
            <wp:extent cx="5943600" cy="409265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5943600" cy="4092652"/>
                    </a:xfrm>
                    <a:prstGeom prst="rect">
                      <a:avLst/>
                    </a:prstGeom>
                    <a:noFill/>
                    <a:ln>
                      <a:noFill/>
                    </a:ln>
                  </pic:spPr>
                </pic:pic>
              </a:graphicData>
            </a:graphic>
          </wp:inline>
        </w:drawing>
      </w:r>
    </w:p>
    <w:p w14:paraId="36E545A1" w14:textId="4FC16C9A" w:rsidR="007961C8" w:rsidRPr="00FF6DF5" w:rsidRDefault="007961C8" w:rsidP="00F0307C">
      <w:pPr>
        <w:jc w:val="center"/>
        <w:rPr>
          <w:rFonts w:ascii="Times" w:hAnsi="Times" w:cs="Times New Roman"/>
          <w:sz w:val="18"/>
          <w:szCs w:val="18"/>
        </w:rPr>
      </w:pPr>
      <w:r w:rsidRPr="00FF6DF5">
        <w:rPr>
          <w:rFonts w:ascii="Times" w:hAnsi="Times" w:cs="Times New Roman"/>
          <w:sz w:val="18"/>
          <w:szCs w:val="18"/>
        </w:rPr>
        <w:t>Notes: Includes 15 programs selected for the functional review;</w:t>
      </w:r>
      <w:r w:rsidR="00AC718D">
        <w:rPr>
          <w:rFonts w:ascii="Times" w:hAnsi="Times" w:cs="Times New Roman"/>
          <w:sz w:val="18"/>
          <w:szCs w:val="18"/>
        </w:rPr>
        <w:t xml:space="preserve"> </w:t>
      </w:r>
      <w:r w:rsidRPr="00FF6DF5">
        <w:rPr>
          <w:rFonts w:ascii="Times" w:hAnsi="Times" w:cs="Times New Roman"/>
          <w:sz w:val="18"/>
          <w:szCs w:val="18"/>
        </w:rPr>
        <w:t xml:space="preserve">Source: WBG, based on interviews and available documentation from DTI, and </w:t>
      </w:r>
      <w:proofErr w:type="spellStart"/>
      <w:r w:rsidRPr="00FF6DF5">
        <w:rPr>
          <w:rFonts w:ascii="Times" w:hAnsi="Times" w:cs="Times New Roman"/>
          <w:sz w:val="18"/>
          <w:szCs w:val="18"/>
        </w:rPr>
        <w:t>DoST</w:t>
      </w:r>
      <w:proofErr w:type="spellEnd"/>
      <w:r w:rsidRPr="00FF6DF5">
        <w:rPr>
          <w:rFonts w:ascii="Times" w:hAnsi="Times" w:cs="Times New Roman"/>
          <w:sz w:val="18"/>
          <w:szCs w:val="18"/>
        </w:rPr>
        <w:t>.</w:t>
      </w:r>
    </w:p>
    <w:p w14:paraId="14ACFAD9" w14:textId="0499B6F2" w:rsidR="00881F83" w:rsidRPr="00FF6DF5" w:rsidRDefault="00881F83" w:rsidP="001665D6">
      <w:pPr>
        <w:pStyle w:val="ListParagraph"/>
        <w:numPr>
          <w:ilvl w:val="0"/>
          <w:numId w:val="48"/>
        </w:numPr>
        <w:jc w:val="both"/>
        <w:rPr>
          <w:rFonts w:ascii="Times" w:hAnsi="Times" w:cs="Times New Roman"/>
        </w:rPr>
      </w:pPr>
      <w:r w:rsidRPr="00294954">
        <w:rPr>
          <w:rFonts w:ascii="Times" w:hAnsi="Times" w:cs="Times New Roman"/>
          <w:b/>
        </w:rPr>
        <w:t xml:space="preserve">One important aspect of the analysis is to fully understand the adoption of good practices </w:t>
      </w:r>
      <w:r w:rsidR="00F15E27">
        <w:rPr>
          <w:rFonts w:ascii="Times" w:hAnsi="Times" w:cs="Times New Roman"/>
          <w:b/>
        </w:rPr>
        <w:t>in</w:t>
      </w:r>
      <w:r w:rsidR="00F15E27" w:rsidRPr="00294954">
        <w:rPr>
          <w:rFonts w:ascii="Times" w:hAnsi="Times" w:cs="Times New Roman"/>
          <w:b/>
        </w:rPr>
        <w:t xml:space="preserve"> </w:t>
      </w:r>
      <w:r w:rsidRPr="00294954">
        <w:rPr>
          <w:rFonts w:ascii="Times" w:hAnsi="Times" w:cs="Times New Roman"/>
          <w:b/>
        </w:rPr>
        <w:t>each dimension</w:t>
      </w:r>
      <w:r w:rsidRPr="00FF6DF5">
        <w:rPr>
          <w:rFonts w:ascii="Times" w:hAnsi="Times" w:cs="Times New Roman"/>
        </w:rPr>
        <w:t>. This is summarized in</w:t>
      </w:r>
      <w:r w:rsidR="00F15E27">
        <w:rPr>
          <w:rFonts w:ascii="Times" w:hAnsi="Times" w:cs="Times New Roman"/>
        </w:rPr>
        <w:t xml:space="preserve"> </w:t>
      </w:r>
      <w:r w:rsidR="009B271A">
        <w:rPr>
          <w:rFonts w:ascii="Times" w:hAnsi="Times" w:cs="Times New Roman"/>
        </w:rPr>
        <w:t>44</w:t>
      </w:r>
      <w:r w:rsidRPr="0048000E">
        <w:rPr>
          <w:rFonts w:ascii="Times" w:hAnsi="Times" w:cs="Times New Roman"/>
        </w:rPr>
        <w:t>,</w:t>
      </w:r>
      <w:r w:rsidRPr="00FF6DF5">
        <w:rPr>
          <w:rFonts w:ascii="Times" w:hAnsi="Times" w:cs="Times New Roman"/>
        </w:rPr>
        <w:t xml:space="preserve"> which plots the radar diagram for the averages by agency and for all the programs. Spikes in the direction of the center suggest areas of improvement, while the spikes towards the outside of the radar figure, as areas with better use of good practices. For DTI, most of the bottlenecks occur in justifying the program, a lack of logical framework, lack of evaluations, the application process, lack of training, lack of M&amp;E frameworks and awareness on some of the main constraints to impact. For </w:t>
      </w:r>
      <w:proofErr w:type="spellStart"/>
      <w:r w:rsidRPr="00FF6DF5">
        <w:rPr>
          <w:rFonts w:ascii="Times" w:hAnsi="Times" w:cs="Times New Roman"/>
        </w:rPr>
        <w:t>DoST</w:t>
      </w:r>
      <w:proofErr w:type="spellEnd"/>
      <w:r w:rsidRPr="00FF6DF5">
        <w:rPr>
          <w:rFonts w:ascii="Times" w:hAnsi="Times" w:cs="Times New Roman"/>
        </w:rPr>
        <w:t>, clear gaps occur for justifying the program, a lack of logical framework, lack of evaluations, lack of consideration to alternative instruments lack of M&amp;E frameworks and awareness on some of the main constraints to impact. Good practices are observed in alignment with other instruments and in stating objectives for DTI; and on training of staff and closure of programs for DTI.</w:t>
      </w:r>
    </w:p>
    <w:p w14:paraId="4B2003A4" w14:textId="180C11CC" w:rsidR="00881F83" w:rsidRPr="00F33AD6" w:rsidRDefault="00A34CAC" w:rsidP="00294954">
      <w:pPr>
        <w:jc w:val="center"/>
        <w:rPr>
          <w:rFonts w:ascii="Times" w:hAnsi="Times" w:cs="Times New Roman"/>
          <w:b/>
        </w:rPr>
      </w:pPr>
      <w:bookmarkStart w:id="94" w:name="_Ref7110154"/>
      <w:r w:rsidRPr="00F33AD6">
        <w:rPr>
          <w:b/>
        </w:rPr>
        <w:t xml:space="preserve">Figure </w:t>
      </w:r>
      <w:bookmarkEnd w:id="94"/>
      <w:r w:rsidR="009B271A">
        <w:rPr>
          <w:b/>
          <w:noProof/>
        </w:rPr>
        <w:t>44</w:t>
      </w:r>
      <w:r w:rsidR="00881F83" w:rsidRPr="00F33AD6">
        <w:rPr>
          <w:rFonts w:ascii="Times" w:hAnsi="Times" w:cs="Times New Roman"/>
          <w:b/>
        </w:rPr>
        <w:t>: Functional scores by metric within each dimension</w:t>
      </w:r>
    </w:p>
    <w:p w14:paraId="263875E2" w14:textId="77777777" w:rsidR="00881F83" w:rsidRPr="00FF6DF5" w:rsidRDefault="00881F83" w:rsidP="00A468A3">
      <w:pPr>
        <w:jc w:val="center"/>
        <w:rPr>
          <w:rFonts w:ascii="Times" w:hAnsi="Times" w:cs="Times New Roman"/>
        </w:rPr>
      </w:pPr>
      <w:r w:rsidRPr="00FF6DF5">
        <w:rPr>
          <w:rFonts w:ascii="Times" w:hAnsi="Times" w:cs="Times New Roman"/>
          <w:noProof/>
        </w:rPr>
        <w:drawing>
          <wp:inline distT="0" distB="0" distL="0" distR="0" wp14:anchorId="74860DED" wp14:editId="55D1270C">
            <wp:extent cx="5120640" cy="3698546"/>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5124556" cy="3701374"/>
                    </a:xfrm>
                    <a:prstGeom prst="rect">
                      <a:avLst/>
                    </a:prstGeom>
                    <a:noFill/>
                    <a:ln>
                      <a:noFill/>
                    </a:ln>
                  </pic:spPr>
                </pic:pic>
              </a:graphicData>
            </a:graphic>
          </wp:inline>
        </w:drawing>
      </w:r>
    </w:p>
    <w:p w14:paraId="63704518" w14:textId="22137536" w:rsidR="000B0984" w:rsidRPr="003E59F0" w:rsidRDefault="000F7349" w:rsidP="00A17EDE">
      <w:pPr>
        <w:pStyle w:val="ListParagraph"/>
        <w:numPr>
          <w:ilvl w:val="0"/>
          <w:numId w:val="48"/>
        </w:numPr>
        <w:jc w:val="both"/>
      </w:pPr>
      <w:r w:rsidRPr="00294954">
        <w:rPr>
          <w:rFonts w:ascii="Times" w:hAnsi="Times" w:cs="Times New Roman"/>
          <w:b/>
        </w:rPr>
        <w:t xml:space="preserve">Looking at individual programs </w:t>
      </w:r>
      <w:r w:rsidR="005E0FB7">
        <w:rPr>
          <w:rFonts w:ascii="Times" w:hAnsi="Times" w:cs="Times New Roman"/>
          <w:b/>
        </w:rPr>
        <w:t xml:space="preserve">show </w:t>
      </w:r>
      <w:r w:rsidR="005D225A" w:rsidRPr="00294954">
        <w:rPr>
          <w:rFonts w:ascii="Times" w:hAnsi="Times" w:cs="Times New Roman"/>
          <w:b/>
        </w:rPr>
        <w:t>limited variation</w:t>
      </w:r>
      <w:r w:rsidR="005D225A">
        <w:rPr>
          <w:rFonts w:ascii="Times" w:hAnsi="Times" w:cs="Times New Roman"/>
        </w:rPr>
        <w:t xml:space="preserve">. </w:t>
      </w:r>
      <w:r w:rsidR="000B0984" w:rsidRPr="00FF6DF5">
        <w:rPr>
          <w:rFonts w:ascii="Times" w:hAnsi="Times" w:cs="Times New Roman"/>
        </w:rPr>
        <w:t xml:space="preserve">It is important to look across individual programs to i) identify the heterogeneity that exists; and ii) to identify programs that implement good practices and that can be used as a model to disseminate such practices. The cross comparison for all programs </w:t>
      </w:r>
      <w:r w:rsidR="006C1AE0">
        <w:rPr>
          <w:rFonts w:ascii="Times" w:hAnsi="Times" w:cs="Times New Roman"/>
        </w:rPr>
        <w:t>(</w:t>
      </w:r>
      <w:r w:rsidR="00203677">
        <w:rPr>
          <w:rFonts w:ascii="Times" w:hAnsi="Times" w:cs="Times New Roman"/>
        </w:rPr>
        <w:t>Figure 4</w:t>
      </w:r>
      <w:r w:rsidR="00423B91">
        <w:rPr>
          <w:rFonts w:ascii="Times" w:hAnsi="Times" w:cs="Times New Roman"/>
        </w:rPr>
        <w:t>5</w:t>
      </w:r>
      <w:r w:rsidR="00A17EDE" w:rsidRPr="003E59F0">
        <w:rPr>
          <w:rFonts w:ascii="Times" w:hAnsi="Times" w:cs="Times New Roman"/>
        </w:rPr>
        <w:t>)</w:t>
      </w:r>
      <w:r w:rsidR="006C1AE0" w:rsidRPr="003E59F0">
        <w:rPr>
          <w:rFonts w:ascii="Times" w:hAnsi="Times" w:cs="Times New Roman"/>
        </w:rPr>
        <w:t xml:space="preserve"> </w:t>
      </w:r>
      <w:r w:rsidR="000B0984" w:rsidRPr="003E59F0">
        <w:rPr>
          <w:rFonts w:ascii="Times" w:hAnsi="Times" w:cs="Times New Roman"/>
        </w:rPr>
        <w:t xml:space="preserve">showed that SET-UP, P3, RPL and ICE stood up among all programs in the sample, featuring highest overall scores. The variance across programs is smaller -i.e. there are no programs that are much better than others, or much worse – in </w:t>
      </w:r>
      <w:proofErr w:type="spellStart"/>
      <w:r w:rsidR="000B0984" w:rsidRPr="003E59F0">
        <w:rPr>
          <w:rFonts w:ascii="Times" w:hAnsi="Times" w:cs="Times New Roman"/>
        </w:rPr>
        <w:t>DoST</w:t>
      </w:r>
      <w:proofErr w:type="spellEnd"/>
      <w:r w:rsidR="000B0984" w:rsidRPr="003E59F0">
        <w:rPr>
          <w:rFonts w:ascii="Times" w:hAnsi="Times" w:cs="Times New Roman"/>
        </w:rPr>
        <w:t xml:space="preserve"> than for DTI. These best programs are still distant from the frontier (165 max score) but show strong practices in some key dimensions. Specifically, the more granular comparison across programs in the sample revealed the following:</w:t>
      </w:r>
    </w:p>
    <w:p w14:paraId="6517A25A" w14:textId="77777777" w:rsidR="000B0984" w:rsidRPr="00FF6DF5" w:rsidRDefault="000B0984" w:rsidP="000B0984">
      <w:pPr>
        <w:pStyle w:val="ListParagraph"/>
        <w:numPr>
          <w:ilvl w:val="0"/>
          <w:numId w:val="15"/>
        </w:numPr>
        <w:spacing w:after="0"/>
        <w:rPr>
          <w:rFonts w:ascii="Times" w:hAnsi="Times" w:cs="Times New Roman"/>
        </w:rPr>
      </w:pPr>
      <w:r w:rsidRPr="00FF6DF5">
        <w:rPr>
          <w:rFonts w:ascii="Times" w:hAnsi="Times" w:cs="Times New Roman"/>
        </w:rPr>
        <w:t xml:space="preserve">The valued scores for practices under SET-UP, </w:t>
      </w:r>
      <w:proofErr w:type="spellStart"/>
      <w:r w:rsidRPr="00FF6DF5">
        <w:rPr>
          <w:rFonts w:ascii="Times" w:hAnsi="Times" w:cs="Times New Roman"/>
        </w:rPr>
        <w:t>Technicom</w:t>
      </w:r>
      <w:proofErr w:type="spellEnd"/>
      <w:r w:rsidRPr="00FF6DF5">
        <w:rPr>
          <w:rFonts w:ascii="Times" w:hAnsi="Times" w:cs="Times New Roman"/>
        </w:rPr>
        <w:t xml:space="preserve"> from </w:t>
      </w:r>
      <w:proofErr w:type="spellStart"/>
      <w:r w:rsidRPr="00FF6DF5">
        <w:rPr>
          <w:rFonts w:ascii="Times" w:hAnsi="Times" w:cs="Times New Roman"/>
        </w:rPr>
        <w:t>DoST</w:t>
      </w:r>
      <w:proofErr w:type="spellEnd"/>
      <w:r w:rsidRPr="00FF6DF5">
        <w:rPr>
          <w:rFonts w:ascii="Times" w:hAnsi="Times" w:cs="Times New Roman"/>
        </w:rPr>
        <w:t xml:space="preserve"> and P3 and ICE from DTI ranked as the strongest among all programs in the sample.</w:t>
      </w:r>
    </w:p>
    <w:p w14:paraId="56BC4178" w14:textId="77777777" w:rsidR="000B0984" w:rsidRPr="00FF6DF5" w:rsidRDefault="000B0984" w:rsidP="000B0984">
      <w:pPr>
        <w:pStyle w:val="ListParagraph"/>
        <w:numPr>
          <w:ilvl w:val="0"/>
          <w:numId w:val="15"/>
        </w:numPr>
        <w:spacing w:after="0"/>
        <w:rPr>
          <w:rFonts w:ascii="Times" w:hAnsi="Times" w:cs="Times New Roman"/>
        </w:rPr>
      </w:pPr>
      <w:r w:rsidRPr="00FF6DF5">
        <w:rPr>
          <w:rFonts w:ascii="Times" w:hAnsi="Times" w:cs="Times New Roman"/>
        </w:rPr>
        <w:t>By contrast, practices under the OTOP and MME presented the strongest opportunities for further improvements.</w:t>
      </w:r>
    </w:p>
    <w:p w14:paraId="0F286C38" w14:textId="77777777" w:rsidR="000B0984" w:rsidRPr="00FF6DF5" w:rsidRDefault="000B0984" w:rsidP="000B0984">
      <w:pPr>
        <w:pStyle w:val="ListParagraph"/>
        <w:numPr>
          <w:ilvl w:val="0"/>
          <w:numId w:val="15"/>
        </w:numPr>
        <w:spacing w:after="0"/>
        <w:rPr>
          <w:rFonts w:ascii="Times" w:hAnsi="Times" w:cs="Times New Roman"/>
        </w:rPr>
      </w:pPr>
      <w:r w:rsidRPr="00FF6DF5">
        <w:rPr>
          <w:rFonts w:ascii="Times" w:hAnsi="Times" w:cs="Times New Roman"/>
        </w:rPr>
        <w:t xml:space="preserve">The recorded practices under the </w:t>
      </w:r>
      <w:proofErr w:type="spellStart"/>
      <w:r w:rsidRPr="00FF6DF5">
        <w:rPr>
          <w:rFonts w:ascii="Times" w:hAnsi="Times" w:cs="Times New Roman"/>
        </w:rPr>
        <w:t>Technicom</w:t>
      </w:r>
      <w:proofErr w:type="spellEnd"/>
      <w:r w:rsidRPr="00FF6DF5">
        <w:rPr>
          <w:rFonts w:ascii="Times" w:hAnsi="Times" w:cs="Times New Roman"/>
        </w:rPr>
        <w:t>, P3 and ICE were valued above the average for design.</w:t>
      </w:r>
    </w:p>
    <w:p w14:paraId="1CCC48BC" w14:textId="77777777" w:rsidR="000B0984" w:rsidRPr="00FF6DF5" w:rsidRDefault="000B0984" w:rsidP="000B0984">
      <w:pPr>
        <w:pStyle w:val="ListParagraph"/>
        <w:numPr>
          <w:ilvl w:val="0"/>
          <w:numId w:val="15"/>
        </w:numPr>
        <w:spacing w:after="0"/>
        <w:rPr>
          <w:rFonts w:ascii="Times" w:hAnsi="Times" w:cs="Times New Roman"/>
        </w:rPr>
      </w:pPr>
      <w:r w:rsidRPr="00FF6DF5">
        <w:rPr>
          <w:rFonts w:ascii="Times" w:hAnsi="Times" w:cs="Times New Roman"/>
        </w:rPr>
        <w:t>P3, SET-UP, IST, TBI and RPL ranked particularly well in implementation practices.</w:t>
      </w:r>
    </w:p>
    <w:p w14:paraId="640F0419" w14:textId="77777777" w:rsidR="000B0984" w:rsidRPr="00FF6DF5" w:rsidRDefault="000B0984" w:rsidP="000B0984">
      <w:pPr>
        <w:pStyle w:val="ListParagraph"/>
        <w:numPr>
          <w:ilvl w:val="0"/>
          <w:numId w:val="15"/>
        </w:numPr>
        <w:spacing w:after="0"/>
        <w:rPr>
          <w:rFonts w:ascii="Times" w:hAnsi="Times" w:cs="Times New Roman"/>
        </w:rPr>
      </w:pPr>
      <w:r w:rsidRPr="00FF6DF5">
        <w:rPr>
          <w:rFonts w:ascii="Times" w:hAnsi="Times" w:cs="Times New Roman"/>
        </w:rPr>
        <w:t>P3, ICE and SET-UP ranked particularly high in practices of governance.</w:t>
      </w:r>
    </w:p>
    <w:p w14:paraId="0D9E90B2" w14:textId="5F8451A3" w:rsidR="000B0984" w:rsidRPr="00F33AD6" w:rsidRDefault="000B0984" w:rsidP="00294954">
      <w:pPr>
        <w:jc w:val="center"/>
        <w:rPr>
          <w:rFonts w:ascii="Times" w:hAnsi="Times" w:cs="Times New Roman"/>
          <w:b/>
        </w:rPr>
      </w:pPr>
      <w:bookmarkStart w:id="95" w:name="_Ref7110331"/>
      <w:bookmarkStart w:id="96" w:name="_Ref7792409"/>
      <w:r w:rsidRPr="00F33AD6">
        <w:rPr>
          <w:b/>
        </w:rPr>
        <w:t xml:space="preserve">Figure </w:t>
      </w:r>
      <w:bookmarkEnd w:id="95"/>
      <w:bookmarkEnd w:id="96"/>
      <w:r w:rsidR="009B271A">
        <w:rPr>
          <w:b/>
          <w:noProof/>
        </w:rPr>
        <w:t>45</w:t>
      </w:r>
      <w:r w:rsidRPr="00F33AD6">
        <w:rPr>
          <w:rFonts w:ascii="Times" w:hAnsi="Times" w:cs="Times New Roman"/>
          <w:b/>
        </w:rPr>
        <w:t>: Comparative scores across selected programs by functional dimension</w:t>
      </w:r>
    </w:p>
    <w:p w14:paraId="1721B889" w14:textId="77777777" w:rsidR="000B0984" w:rsidRPr="00FF6DF5" w:rsidRDefault="000B0984" w:rsidP="000B0984">
      <w:pPr>
        <w:rPr>
          <w:rFonts w:ascii="Times" w:hAnsi="Times" w:cs="Times New Roman"/>
        </w:rPr>
      </w:pPr>
      <w:r w:rsidRPr="00FF6DF5">
        <w:rPr>
          <w:rFonts w:ascii="Times" w:hAnsi="Times"/>
          <w:noProof/>
        </w:rPr>
        <w:drawing>
          <wp:inline distT="0" distB="0" distL="0" distR="0" wp14:anchorId="53D3CB34" wp14:editId="7F276D8B">
            <wp:extent cx="5943461" cy="2926080"/>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947384" cy="2928012"/>
                    </a:xfrm>
                    <a:prstGeom prst="rect">
                      <a:avLst/>
                    </a:prstGeom>
                    <a:noFill/>
                    <a:ln>
                      <a:noFill/>
                    </a:ln>
                  </pic:spPr>
                </pic:pic>
              </a:graphicData>
            </a:graphic>
          </wp:inline>
        </w:drawing>
      </w:r>
    </w:p>
    <w:p w14:paraId="03B11845" w14:textId="77777777" w:rsidR="000B0984" w:rsidRPr="00FF6DF5" w:rsidRDefault="000B0984" w:rsidP="00294954">
      <w:pPr>
        <w:jc w:val="center"/>
        <w:rPr>
          <w:rFonts w:ascii="Times" w:hAnsi="Times" w:cs="Times New Roman"/>
          <w:sz w:val="18"/>
          <w:szCs w:val="18"/>
        </w:rPr>
      </w:pPr>
      <w:r w:rsidRPr="00FF6DF5">
        <w:rPr>
          <w:rFonts w:ascii="Times" w:hAnsi="Times" w:cs="Times New Roman"/>
          <w:sz w:val="18"/>
          <w:szCs w:val="18"/>
        </w:rPr>
        <w:t xml:space="preserve">Source: WBG, based on interviews and available documentation from DTI, and </w:t>
      </w:r>
      <w:proofErr w:type="spellStart"/>
      <w:r w:rsidRPr="00FF6DF5">
        <w:rPr>
          <w:rFonts w:ascii="Times" w:hAnsi="Times" w:cs="Times New Roman"/>
          <w:sz w:val="18"/>
          <w:szCs w:val="18"/>
        </w:rPr>
        <w:t>DoST</w:t>
      </w:r>
      <w:proofErr w:type="spellEnd"/>
      <w:r w:rsidRPr="00FF6DF5">
        <w:rPr>
          <w:rFonts w:ascii="Times" w:hAnsi="Times" w:cs="Times New Roman"/>
          <w:sz w:val="18"/>
          <w:szCs w:val="18"/>
        </w:rPr>
        <w:t>.</w:t>
      </w:r>
    </w:p>
    <w:p w14:paraId="6A80E303" w14:textId="77777777" w:rsidR="000B0984" w:rsidRDefault="000B0984" w:rsidP="000B0984">
      <w:pPr>
        <w:pStyle w:val="Heading2"/>
      </w:pPr>
      <w:bookmarkStart w:id="97" w:name="_Toc10740059"/>
      <w:bookmarkStart w:id="98" w:name="_Toc12503534"/>
      <w:r>
        <w:t>Key problems in the use of good practices</w:t>
      </w:r>
      <w:bookmarkEnd w:id="97"/>
      <w:bookmarkEnd w:id="98"/>
    </w:p>
    <w:p w14:paraId="6D91D16A" w14:textId="2262A253" w:rsidR="00881F83" w:rsidRDefault="00881F83" w:rsidP="001665D6">
      <w:pPr>
        <w:pStyle w:val="ListParagraph"/>
        <w:numPr>
          <w:ilvl w:val="0"/>
          <w:numId w:val="48"/>
        </w:numPr>
        <w:jc w:val="both"/>
        <w:rPr>
          <w:rFonts w:ascii="Times" w:hAnsi="Times" w:cs="Times New Roman"/>
        </w:rPr>
      </w:pPr>
      <w:r w:rsidRPr="00FF6DF5">
        <w:rPr>
          <w:rFonts w:ascii="Times" w:hAnsi="Times" w:cs="Times New Roman"/>
        </w:rPr>
        <w:t xml:space="preserve">In what follows, </w:t>
      </w:r>
      <w:r w:rsidR="004E71E8">
        <w:rPr>
          <w:rFonts w:ascii="Times" w:hAnsi="Times" w:cs="Times New Roman"/>
        </w:rPr>
        <w:t xml:space="preserve">the functional review </w:t>
      </w:r>
      <w:r w:rsidR="004F120C">
        <w:rPr>
          <w:rFonts w:ascii="Times" w:hAnsi="Times" w:cs="Times New Roman"/>
        </w:rPr>
        <w:t>assesses the use of good practices in each dimension: (a) design, (b) implementation, and (c) governance.</w:t>
      </w:r>
    </w:p>
    <w:p w14:paraId="0E1BBBDC" w14:textId="77777777" w:rsidR="00FB5CB2" w:rsidRPr="00FB5CB2" w:rsidRDefault="00FB5CB2" w:rsidP="00EE235F">
      <w:pPr>
        <w:pStyle w:val="Heading3"/>
      </w:pPr>
      <w:bookmarkStart w:id="99" w:name="_Toc10740060"/>
      <w:bookmarkStart w:id="100" w:name="_Toc12503535"/>
      <w:r w:rsidRPr="00FB5CB2">
        <w:t>Design</w:t>
      </w:r>
      <w:bookmarkEnd w:id="99"/>
      <w:bookmarkEnd w:id="100"/>
    </w:p>
    <w:p w14:paraId="59028D36" w14:textId="40C679BC" w:rsidR="00881F83" w:rsidRDefault="00881F83" w:rsidP="001665D6">
      <w:pPr>
        <w:pStyle w:val="ListParagraph"/>
        <w:numPr>
          <w:ilvl w:val="0"/>
          <w:numId w:val="48"/>
        </w:numPr>
        <w:jc w:val="both"/>
        <w:rPr>
          <w:rFonts w:ascii="Times" w:hAnsi="Times" w:cs="Times New Roman"/>
        </w:rPr>
      </w:pPr>
      <w:r w:rsidRPr="00294954">
        <w:rPr>
          <w:rFonts w:ascii="Times" w:hAnsi="Times" w:cs="Times New Roman"/>
          <w:b/>
        </w:rPr>
        <w:t>Origin of the programs are hardly based on an identified market failure</w:t>
      </w:r>
      <w:r w:rsidRPr="00CA0E05">
        <w:rPr>
          <w:rFonts w:ascii="Times" w:hAnsi="Times" w:cs="Times New Roman"/>
        </w:rPr>
        <w:t xml:space="preserve"> in the local context; and the process to bring new instruments seems </w:t>
      </w:r>
      <w:r w:rsidRPr="00CA0E05">
        <w:rPr>
          <w:rFonts w:ascii="Times" w:hAnsi="Times" w:cs="Times New Roman"/>
          <w:i/>
        </w:rPr>
        <w:t>ad hoc</w:t>
      </w:r>
      <w:r w:rsidRPr="00CA0E05">
        <w:rPr>
          <w:rFonts w:ascii="Times" w:hAnsi="Times" w:cs="Times New Roman"/>
        </w:rPr>
        <w:t xml:space="preserve">. Even when reference to international examples are used, very often the program officers were not able to clearly articulate the origin of the program in a convincing way. While most managers were not present when program start, it is important that the reason why the program started is well articulated. </w:t>
      </w:r>
    </w:p>
    <w:p w14:paraId="1938EE40" w14:textId="77777777" w:rsidR="006F79A0" w:rsidRDefault="006F79A0" w:rsidP="006F79A0">
      <w:pPr>
        <w:pStyle w:val="ListParagraph"/>
        <w:ind w:left="360"/>
        <w:jc w:val="both"/>
        <w:rPr>
          <w:rFonts w:ascii="Times" w:hAnsi="Times" w:cs="Times New Roman"/>
        </w:rPr>
      </w:pPr>
    </w:p>
    <w:p w14:paraId="048E4835" w14:textId="3818D5A2" w:rsidR="00881F83" w:rsidRDefault="001475C4" w:rsidP="001665D6">
      <w:pPr>
        <w:pStyle w:val="ListParagraph"/>
        <w:numPr>
          <w:ilvl w:val="0"/>
          <w:numId w:val="48"/>
        </w:numPr>
        <w:jc w:val="both"/>
        <w:rPr>
          <w:rFonts w:ascii="Times" w:hAnsi="Times" w:cs="Times New Roman"/>
        </w:rPr>
      </w:pPr>
      <w:r w:rsidRPr="00294954">
        <w:rPr>
          <w:rFonts w:ascii="Times" w:hAnsi="Times" w:cs="Times New Roman"/>
          <w:b/>
        </w:rPr>
        <w:t>Programs lack economic justifications</w:t>
      </w:r>
      <w:r>
        <w:rPr>
          <w:rFonts w:ascii="Times" w:hAnsi="Times" w:cs="Times New Roman"/>
        </w:rPr>
        <w:t xml:space="preserve">. </w:t>
      </w:r>
      <w:r w:rsidR="00881F83" w:rsidRPr="00CA0E05">
        <w:rPr>
          <w:rFonts w:ascii="Times" w:hAnsi="Times" w:cs="Times New Roman"/>
        </w:rPr>
        <w:t>Lack of economic justification of the programs may be leading to design problems (poor quality of entry); the main source of the problem is not properly identified, and more importantly, the right instrument may not be selected to address the problem. The technical justification of the program should also refer to the regional needs for the solution. This leads to a need of more frequent adjustment of the program. For example, P3 has a problem with MFI intermediaries that are too liquid to use funds, but this is a problem of no proper assessment of MFI incentives to participate in the program.</w:t>
      </w:r>
    </w:p>
    <w:p w14:paraId="2BC86D29" w14:textId="77777777" w:rsidR="006F79A0" w:rsidRDefault="006F79A0" w:rsidP="006F79A0">
      <w:pPr>
        <w:pStyle w:val="ListParagraph"/>
        <w:ind w:left="360"/>
        <w:jc w:val="both"/>
        <w:rPr>
          <w:rFonts w:ascii="Times" w:hAnsi="Times" w:cs="Times New Roman"/>
        </w:rPr>
      </w:pPr>
    </w:p>
    <w:p w14:paraId="533E964E" w14:textId="037798E1" w:rsidR="00851647" w:rsidRPr="00EE235F" w:rsidRDefault="00881F83" w:rsidP="001665D6">
      <w:pPr>
        <w:pStyle w:val="ListParagraph"/>
        <w:numPr>
          <w:ilvl w:val="0"/>
          <w:numId w:val="48"/>
        </w:numPr>
        <w:jc w:val="both"/>
        <w:rPr>
          <w:rFonts w:ascii="Times" w:hAnsi="Times" w:cs="Times New Roman"/>
        </w:rPr>
      </w:pPr>
      <w:r w:rsidRPr="00294954">
        <w:rPr>
          <w:rFonts w:ascii="Times" w:hAnsi="Times" w:cs="Times New Roman"/>
          <w:b/>
        </w:rPr>
        <w:t xml:space="preserve">Logical </w:t>
      </w:r>
      <w:r w:rsidR="00851647">
        <w:rPr>
          <w:rFonts w:ascii="Times" w:hAnsi="Times" w:cs="Times New Roman"/>
          <w:b/>
        </w:rPr>
        <w:t xml:space="preserve">and M&amp;E </w:t>
      </w:r>
      <w:r w:rsidRPr="00294954">
        <w:rPr>
          <w:rFonts w:ascii="Times" w:hAnsi="Times" w:cs="Times New Roman"/>
          <w:b/>
        </w:rPr>
        <w:t>frameworks are absent for most programs</w:t>
      </w:r>
      <w:r w:rsidRPr="00CA0E05">
        <w:rPr>
          <w:rFonts w:ascii="Times" w:hAnsi="Times" w:cs="Times New Roman"/>
        </w:rPr>
        <w:t>. Programs should have from their design a clear definition of inputs, activities, output, impact, and external conditioning that affect impact. This is critical for M&amp;E, and the much-needed adaptation of the program as this is implemented. For example, in Chile, no new program is given a budget allocation without presenting the logical framework of the intervention.</w:t>
      </w:r>
      <w:r w:rsidR="00851647">
        <w:rPr>
          <w:rFonts w:ascii="Times" w:hAnsi="Times" w:cs="Times New Roman"/>
        </w:rPr>
        <w:t xml:space="preserve"> Moreover, e</w:t>
      </w:r>
      <w:r w:rsidR="00851647" w:rsidRPr="00EE235F">
        <w:rPr>
          <w:rFonts w:ascii="Times" w:hAnsi="Times" w:cs="Times New Roman"/>
        </w:rPr>
        <w:t xml:space="preserve">very program needs an M&amp;E framework, with measurable and harmonized indicators, and that needs to be consistently monitored to help planning and decision making. This is currently absent and makes making informed decisions about the program very difficult. </w:t>
      </w:r>
    </w:p>
    <w:p w14:paraId="5B40E105" w14:textId="128E4306" w:rsidR="00881F83" w:rsidRDefault="00881F83" w:rsidP="001665D6">
      <w:pPr>
        <w:pStyle w:val="ListParagraph"/>
        <w:numPr>
          <w:ilvl w:val="0"/>
          <w:numId w:val="48"/>
        </w:numPr>
        <w:jc w:val="both"/>
        <w:rPr>
          <w:rFonts w:ascii="Times" w:hAnsi="Times" w:cs="Times New Roman"/>
        </w:rPr>
      </w:pPr>
      <w:r w:rsidRPr="00294954">
        <w:rPr>
          <w:rFonts w:ascii="Times" w:hAnsi="Times" w:cs="Times New Roman"/>
          <w:b/>
        </w:rPr>
        <w:t>Articulation of the intended beneficiaries for the program exist, but it is too broad, and lacks targeting</w:t>
      </w:r>
      <w:r w:rsidRPr="00CA0E05">
        <w:rPr>
          <w:rFonts w:ascii="Times" w:hAnsi="Times" w:cs="Times New Roman"/>
        </w:rPr>
        <w:t>. Low implied selectivity may lead to poor resource allocation and consequently diminished potential to generate impact. The position to address all beneficiaries and create referrals, is not best practice, as it can put unnecessary stress on program resources. There needs to be a mechanism to exclude proponents that do not meet the basic qualifications or that do not present significant potential to contribute to the goals of the program. There is lack of clarity and transparency about what is happening on the regions and how consistent is the implementation of basic criteria.</w:t>
      </w:r>
    </w:p>
    <w:p w14:paraId="76ADFEF7" w14:textId="77777777" w:rsidR="006F79A0" w:rsidRPr="00CA0E05" w:rsidRDefault="006F79A0" w:rsidP="006F79A0">
      <w:pPr>
        <w:pStyle w:val="ListParagraph"/>
        <w:ind w:left="360"/>
        <w:jc w:val="both"/>
        <w:rPr>
          <w:rFonts w:ascii="Times" w:hAnsi="Times" w:cs="Times New Roman"/>
        </w:rPr>
      </w:pPr>
    </w:p>
    <w:p w14:paraId="628BF227" w14:textId="0C1B3601" w:rsidR="00881F83" w:rsidRDefault="00456595" w:rsidP="001665D6">
      <w:pPr>
        <w:pStyle w:val="ListParagraph"/>
        <w:numPr>
          <w:ilvl w:val="0"/>
          <w:numId w:val="48"/>
        </w:numPr>
        <w:jc w:val="both"/>
        <w:rPr>
          <w:rFonts w:ascii="Times" w:hAnsi="Times" w:cs="Times New Roman"/>
        </w:rPr>
      </w:pPr>
      <w:r w:rsidRPr="00294954">
        <w:rPr>
          <w:rFonts w:ascii="Times" w:hAnsi="Times" w:cs="Times New Roman"/>
          <w:b/>
        </w:rPr>
        <w:t>Relevant stakeholders need to be consulted more during design</w:t>
      </w:r>
      <w:r>
        <w:rPr>
          <w:rFonts w:ascii="Times" w:hAnsi="Times" w:cs="Times New Roman"/>
        </w:rPr>
        <w:t xml:space="preserve">. </w:t>
      </w:r>
      <w:r w:rsidR="00881F83" w:rsidRPr="00CA0E05">
        <w:rPr>
          <w:rFonts w:ascii="Times" w:hAnsi="Times" w:cs="Times New Roman"/>
        </w:rPr>
        <w:t xml:space="preserve">In general, there is a lack of consideration to all stakeholders that matter for impact, especially those from the private sector. It is important to create formal processes to involve them and consult them during the design stage; always trying to avoid the capture of public support. </w:t>
      </w:r>
    </w:p>
    <w:p w14:paraId="0AF389FA" w14:textId="77777777" w:rsidR="006F79A0" w:rsidRDefault="006F79A0" w:rsidP="006F79A0">
      <w:pPr>
        <w:pStyle w:val="ListParagraph"/>
        <w:ind w:left="360"/>
        <w:jc w:val="both"/>
        <w:rPr>
          <w:rFonts w:ascii="Times" w:hAnsi="Times" w:cs="Times New Roman"/>
        </w:rPr>
      </w:pPr>
    </w:p>
    <w:p w14:paraId="7A863F97" w14:textId="77777777" w:rsidR="00881F83" w:rsidRDefault="00881F83" w:rsidP="001665D6">
      <w:pPr>
        <w:pStyle w:val="ListParagraph"/>
        <w:numPr>
          <w:ilvl w:val="0"/>
          <w:numId w:val="48"/>
        </w:numPr>
        <w:jc w:val="both"/>
        <w:rPr>
          <w:rFonts w:ascii="Times" w:hAnsi="Times" w:cs="Times New Roman"/>
        </w:rPr>
      </w:pPr>
      <w:r w:rsidRPr="00294954">
        <w:rPr>
          <w:rFonts w:ascii="Times" w:hAnsi="Times" w:cs="Times New Roman"/>
          <w:b/>
        </w:rPr>
        <w:t xml:space="preserve">Lack of consideration of alternative instruments to address the same problem may lead to poor efficiency. </w:t>
      </w:r>
      <w:r w:rsidRPr="00CA0E05">
        <w:rPr>
          <w:rFonts w:ascii="Times" w:hAnsi="Times" w:cs="Times New Roman"/>
        </w:rPr>
        <w:t>The systematic evaluation of separate options can lead agencies to make informed choices of the best way to address the identified problem.</w:t>
      </w:r>
    </w:p>
    <w:p w14:paraId="40B3F178" w14:textId="77777777" w:rsidR="00EE235F" w:rsidRPr="00FF6DF5" w:rsidRDefault="00EE235F" w:rsidP="00EE235F">
      <w:pPr>
        <w:pStyle w:val="Heading3"/>
      </w:pPr>
      <w:bookmarkStart w:id="101" w:name="_Toc10740061"/>
      <w:bookmarkStart w:id="102" w:name="_Toc12503536"/>
      <w:r>
        <w:t>Implementation</w:t>
      </w:r>
      <w:bookmarkEnd w:id="101"/>
      <w:bookmarkEnd w:id="102"/>
    </w:p>
    <w:p w14:paraId="52435CE3" w14:textId="62718B72" w:rsidR="00881F83" w:rsidRDefault="00223229" w:rsidP="001665D6">
      <w:pPr>
        <w:pStyle w:val="ListParagraph"/>
        <w:numPr>
          <w:ilvl w:val="0"/>
          <w:numId w:val="48"/>
        </w:numPr>
        <w:jc w:val="both"/>
        <w:rPr>
          <w:rFonts w:ascii="Times" w:hAnsi="Times" w:cs="Times New Roman"/>
        </w:rPr>
      </w:pPr>
      <w:r w:rsidRPr="00294954">
        <w:rPr>
          <w:rFonts w:ascii="Times" w:hAnsi="Times" w:cs="Times New Roman"/>
          <w:b/>
        </w:rPr>
        <w:t>There is l</w:t>
      </w:r>
      <w:r w:rsidR="00881F83" w:rsidRPr="00294954">
        <w:rPr>
          <w:rFonts w:ascii="Times" w:hAnsi="Times" w:cs="Times New Roman"/>
          <w:b/>
        </w:rPr>
        <w:t>ack of clarity on how program participants are chosen</w:t>
      </w:r>
      <w:r w:rsidR="00D752A6">
        <w:rPr>
          <w:rFonts w:ascii="Times" w:hAnsi="Times" w:cs="Times New Roman"/>
        </w:rPr>
        <w:t xml:space="preserve">. </w:t>
      </w:r>
      <w:r w:rsidR="00EF1DAF">
        <w:rPr>
          <w:rFonts w:ascii="Times" w:hAnsi="Times" w:cs="Times New Roman"/>
        </w:rPr>
        <w:t>C</w:t>
      </w:r>
      <w:r w:rsidR="00D752A6">
        <w:rPr>
          <w:rFonts w:ascii="Times" w:hAnsi="Times" w:cs="Times New Roman"/>
        </w:rPr>
        <w:t xml:space="preserve">entral entities </w:t>
      </w:r>
      <w:r w:rsidR="00881F83" w:rsidRPr="00EE235F">
        <w:rPr>
          <w:rFonts w:ascii="Times" w:hAnsi="Times" w:cs="Times New Roman"/>
        </w:rPr>
        <w:t>tend to define basic eligibility requirements, but the screening of applicants is left to the regional and provincial implementers. While many of the participants may be appropriately selected, the absence of specificity in selection processes may lead to less than ideal beneficiaries and potential regional capture. This is also linked to the lack of targeting and no selectivity mentioned earlier, which can make capture more likely.</w:t>
      </w:r>
    </w:p>
    <w:p w14:paraId="38FF7E70" w14:textId="77777777" w:rsidR="006F79A0" w:rsidRPr="00EE235F" w:rsidRDefault="006F79A0" w:rsidP="006F79A0">
      <w:pPr>
        <w:pStyle w:val="ListParagraph"/>
        <w:ind w:left="360"/>
        <w:jc w:val="both"/>
        <w:rPr>
          <w:rFonts w:ascii="Times" w:hAnsi="Times" w:cs="Times New Roman"/>
        </w:rPr>
      </w:pPr>
    </w:p>
    <w:p w14:paraId="67DF2D1D" w14:textId="3CA2695A" w:rsidR="00881F83" w:rsidRDefault="00881F83" w:rsidP="001665D6">
      <w:pPr>
        <w:pStyle w:val="ListParagraph"/>
        <w:numPr>
          <w:ilvl w:val="0"/>
          <w:numId w:val="48"/>
        </w:numPr>
        <w:jc w:val="both"/>
        <w:rPr>
          <w:rFonts w:ascii="Times" w:hAnsi="Times" w:cs="Times New Roman"/>
        </w:rPr>
      </w:pPr>
      <w:r w:rsidRPr="00294954">
        <w:rPr>
          <w:rFonts w:ascii="Times" w:hAnsi="Times" w:cs="Times New Roman"/>
          <w:b/>
        </w:rPr>
        <w:t>Information management is fragmented, as the mechanism for collection of operational information are varied and the information remains placed in different databases</w:t>
      </w:r>
      <w:r w:rsidRPr="00B43345">
        <w:rPr>
          <w:rFonts w:ascii="Times" w:hAnsi="Times" w:cs="Times New Roman"/>
        </w:rPr>
        <w:t xml:space="preserve">. Both DTI and </w:t>
      </w:r>
      <w:proofErr w:type="spellStart"/>
      <w:r w:rsidRPr="00B43345">
        <w:rPr>
          <w:rFonts w:ascii="Times" w:hAnsi="Times" w:cs="Times New Roman"/>
        </w:rPr>
        <w:t>DoST</w:t>
      </w:r>
      <w:proofErr w:type="spellEnd"/>
      <w:r w:rsidRPr="00B43345">
        <w:rPr>
          <w:rFonts w:ascii="Times" w:hAnsi="Times" w:cs="Times New Roman"/>
        </w:rPr>
        <w:t xml:space="preserve"> need to invest in an integrated information management system that allows for both: monitoring and management of applications. The use of personal computer or mobile applications and other personal software that may not be secure remains pre, and it is likely to be very inefficient. This is not good practice and an integrated and secure information system is required.</w:t>
      </w:r>
    </w:p>
    <w:p w14:paraId="3DB0734B" w14:textId="77777777" w:rsidR="006F79A0" w:rsidRPr="00B43345" w:rsidRDefault="006F79A0" w:rsidP="006F79A0">
      <w:pPr>
        <w:pStyle w:val="ListParagraph"/>
        <w:ind w:left="360"/>
        <w:jc w:val="both"/>
        <w:rPr>
          <w:rFonts w:ascii="Times" w:hAnsi="Times" w:cs="Times New Roman"/>
        </w:rPr>
      </w:pPr>
    </w:p>
    <w:p w14:paraId="68D6F2E2" w14:textId="723CBCD1" w:rsidR="00881F83" w:rsidRDefault="00881F83" w:rsidP="001665D6">
      <w:pPr>
        <w:pStyle w:val="ListParagraph"/>
        <w:numPr>
          <w:ilvl w:val="0"/>
          <w:numId w:val="48"/>
        </w:numPr>
        <w:jc w:val="both"/>
        <w:rPr>
          <w:rFonts w:ascii="Times" w:hAnsi="Times" w:cs="Times New Roman"/>
        </w:rPr>
      </w:pPr>
      <w:r w:rsidRPr="00294954">
        <w:rPr>
          <w:rFonts w:ascii="Times" w:hAnsi="Times" w:cs="Times New Roman"/>
          <w:b/>
        </w:rPr>
        <w:t>The program closure procedures are good practice</w:t>
      </w:r>
      <w:r w:rsidRPr="00B43345">
        <w:rPr>
          <w:rFonts w:ascii="Times" w:hAnsi="Times" w:cs="Times New Roman"/>
        </w:rPr>
        <w:t>, as by law most programs must collect performance information from beneficiaries beyond the end of the support program. It is critical that it is implemented</w:t>
      </w:r>
      <w:r w:rsidR="005E0FB7">
        <w:rPr>
          <w:rFonts w:ascii="Times" w:hAnsi="Times" w:cs="Times New Roman"/>
        </w:rPr>
        <w:t>,</w:t>
      </w:r>
      <w:r w:rsidRPr="00B43345">
        <w:rPr>
          <w:rFonts w:ascii="Times" w:hAnsi="Times" w:cs="Times New Roman"/>
        </w:rPr>
        <w:t xml:space="preserve"> given that some of the desired outcomes are likely to materialize only in the medium and long run. </w:t>
      </w:r>
    </w:p>
    <w:p w14:paraId="7B5F5999" w14:textId="77777777" w:rsidR="00B43345" w:rsidRPr="00FF6DF5" w:rsidRDefault="00B43345" w:rsidP="00B43345">
      <w:pPr>
        <w:pStyle w:val="Heading3"/>
      </w:pPr>
      <w:bookmarkStart w:id="103" w:name="_Toc10740062"/>
      <w:bookmarkStart w:id="104" w:name="_Toc12503537"/>
      <w:r>
        <w:t>Governance</w:t>
      </w:r>
      <w:bookmarkEnd w:id="103"/>
      <w:bookmarkEnd w:id="104"/>
    </w:p>
    <w:p w14:paraId="13FD305B" w14:textId="24D52247" w:rsidR="00881F83" w:rsidRDefault="00881F83" w:rsidP="001665D6">
      <w:pPr>
        <w:pStyle w:val="ListParagraph"/>
        <w:numPr>
          <w:ilvl w:val="0"/>
          <w:numId w:val="48"/>
        </w:numPr>
        <w:jc w:val="both"/>
        <w:rPr>
          <w:rFonts w:ascii="Times" w:hAnsi="Times" w:cs="Times New Roman"/>
        </w:rPr>
      </w:pPr>
      <w:r w:rsidRPr="00294954">
        <w:rPr>
          <w:rFonts w:ascii="Times" w:hAnsi="Times" w:cs="Times New Roman"/>
          <w:b/>
        </w:rPr>
        <w:t>The lack of awareness of the external conditioning factors to the effectiveness of the program can create blind spots for program managers</w:t>
      </w:r>
      <w:r w:rsidRPr="00B43345">
        <w:rPr>
          <w:rFonts w:ascii="Times" w:hAnsi="Times" w:cs="Times New Roman"/>
        </w:rPr>
        <w:t xml:space="preserve">. Often programs need to adapt to address the key constraints to the outcomes -i.e. how issues of the ecosystem can affect startups. The separation between design and implementation, without effective coordination may exacerbate this problem. </w:t>
      </w:r>
    </w:p>
    <w:p w14:paraId="1F90C25B" w14:textId="77777777" w:rsidR="006F79A0" w:rsidRDefault="006F79A0" w:rsidP="006F79A0">
      <w:pPr>
        <w:pStyle w:val="ListParagraph"/>
        <w:ind w:left="360"/>
        <w:jc w:val="both"/>
        <w:rPr>
          <w:rFonts w:ascii="Times" w:hAnsi="Times" w:cs="Times New Roman"/>
        </w:rPr>
      </w:pPr>
    </w:p>
    <w:p w14:paraId="4B4C8075" w14:textId="42ABB27A" w:rsidR="00881F83" w:rsidRDefault="00881F83" w:rsidP="001665D6">
      <w:pPr>
        <w:pStyle w:val="ListParagraph"/>
        <w:numPr>
          <w:ilvl w:val="0"/>
          <w:numId w:val="48"/>
        </w:numPr>
        <w:jc w:val="both"/>
        <w:rPr>
          <w:rFonts w:ascii="Times" w:hAnsi="Times" w:cs="Times New Roman"/>
        </w:rPr>
      </w:pPr>
      <w:r w:rsidRPr="00294954">
        <w:rPr>
          <w:rFonts w:ascii="Times" w:hAnsi="Times" w:cs="Times New Roman"/>
          <w:b/>
        </w:rPr>
        <w:t>Coordination across departments is weak</w:t>
      </w:r>
      <w:r w:rsidRPr="00B43345">
        <w:rPr>
          <w:rFonts w:ascii="Times" w:hAnsi="Times" w:cs="Times New Roman"/>
        </w:rPr>
        <w:t xml:space="preserve">. This is critical for cross-cutting issues such as innovation. More opportunities for exchanging experiences are needed, across DTI and </w:t>
      </w:r>
      <w:proofErr w:type="spellStart"/>
      <w:r w:rsidRPr="00B43345">
        <w:rPr>
          <w:rFonts w:ascii="Times" w:hAnsi="Times" w:cs="Times New Roman"/>
        </w:rPr>
        <w:t>DoST</w:t>
      </w:r>
      <w:proofErr w:type="spellEnd"/>
      <w:r w:rsidRPr="00B43345">
        <w:rPr>
          <w:rFonts w:ascii="Times" w:hAnsi="Times" w:cs="Times New Roman"/>
        </w:rPr>
        <w:t xml:space="preserve">, and within agencies between central and regional units. This should be a formal mechanism to share experiences, and not </w:t>
      </w:r>
      <w:r w:rsidRPr="00B43345">
        <w:rPr>
          <w:rFonts w:ascii="Times" w:hAnsi="Times" w:cs="Times New Roman"/>
          <w:i/>
        </w:rPr>
        <w:t>ad hoc</w:t>
      </w:r>
      <w:r w:rsidRPr="00B43345">
        <w:rPr>
          <w:rFonts w:ascii="Times" w:hAnsi="Times" w:cs="Times New Roman"/>
        </w:rPr>
        <w:t xml:space="preserve">. </w:t>
      </w:r>
    </w:p>
    <w:p w14:paraId="4FEACD35" w14:textId="5F3CBCB1" w:rsidR="00341045" w:rsidRDefault="00341045" w:rsidP="00341045">
      <w:pPr>
        <w:pStyle w:val="Heading2"/>
      </w:pPr>
      <w:bookmarkStart w:id="105" w:name="_Toc10740063"/>
      <w:bookmarkStart w:id="106" w:name="_Toc12503538"/>
      <w:r>
        <w:t>Improving Program Performance</w:t>
      </w:r>
      <w:bookmarkEnd w:id="105"/>
      <w:bookmarkEnd w:id="106"/>
    </w:p>
    <w:p w14:paraId="381FAF23" w14:textId="77777777" w:rsidR="00341045" w:rsidRPr="00FF6DF5" w:rsidRDefault="00341045" w:rsidP="001665D6">
      <w:pPr>
        <w:pStyle w:val="ListParagraph"/>
        <w:numPr>
          <w:ilvl w:val="0"/>
          <w:numId w:val="48"/>
        </w:numPr>
        <w:jc w:val="both"/>
        <w:rPr>
          <w:rFonts w:ascii="Times" w:hAnsi="Times" w:cs="Times New Roman"/>
        </w:rPr>
      </w:pPr>
      <w:r w:rsidRPr="00704B67">
        <w:rPr>
          <w:rFonts w:ascii="Times" w:hAnsi="Times" w:cs="Times New Roman"/>
          <w:b/>
        </w:rPr>
        <w:t>The functional review finds that there is significant room for improving the quality of design, implementation of governance processes to make public support to MSMEs more impactful</w:t>
      </w:r>
      <w:r w:rsidRPr="00FF6DF5">
        <w:rPr>
          <w:rFonts w:ascii="Times" w:hAnsi="Times" w:cs="Times New Roman"/>
        </w:rPr>
        <w:t xml:space="preserve">. Design practices present the widest room for improvement and most of the problems are systemic and, hence, require a </w:t>
      </w:r>
      <w:r>
        <w:rPr>
          <w:rFonts w:ascii="Times" w:hAnsi="Times" w:cs="Times New Roman"/>
        </w:rPr>
        <w:t xml:space="preserve">government-wide </w:t>
      </w:r>
      <w:r w:rsidRPr="00FF6DF5">
        <w:rPr>
          <w:rFonts w:ascii="Times" w:hAnsi="Times" w:cs="Times New Roman"/>
        </w:rPr>
        <w:t>solution.</w:t>
      </w:r>
      <w:r>
        <w:rPr>
          <w:rFonts w:ascii="Times" w:hAnsi="Times" w:cs="Times New Roman"/>
        </w:rPr>
        <w:t xml:space="preserve"> </w:t>
      </w:r>
      <w:r w:rsidRPr="00FF6DF5">
        <w:rPr>
          <w:rFonts w:ascii="Times" w:hAnsi="Times" w:cs="Times New Roman"/>
        </w:rPr>
        <w:t xml:space="preserve">There are four </w:t>
      </w:r>
      <w:r>
        <w:rPr>
          <w:rFonts w:ascii="Times" w:hAnsi="Times" w:cs="Times New Roman"/>
        </w:rPr>
        <w:t xml:space="preserve">areas </w:t>
      </w:r>
      <w:r w:rsidRPr="00FF6DF5">
        <w:rPr>
          <w:rFonts w:ascii="Times" w:hAnsi="Times" w:cs="Times New Roman"/>
        </w:rPr>
        <w:t>that deserve further attention going forward to improve the quality of MSME policymaking in the Philippines:</w:t>
      </w:r>
    </w:p>
    <w:p w14:paraId="328EAD94" w14:textId="7D899366" w:rsidR="00341045" w:rsidRDefault="00341045" w:rsidP="00341045">
      <w:pPr>
        <w:pStyle w:val="ListParagraph"/>
        <w:numPr>
          <w:ilvl w:val="0"/>
          <w:numId w:val="25"/>
        </w:numPr>
        <w:spacing w:after="0"/>
        <w:jc w:val="both"/>
        <w:rPr>
          <w:rFonts w:ascii="Times" w:hAnsi="Times" w:cs="Times New Roman"/>
        </w:rPr>
      </w:pPr>
      <w:r w:rsidRPr="00294954">
        <w:rPr>
          <w:rFonts w:ascii="Times" w:hAnsi="Times" w:cs="Times New Roman"/>
          <w:b/>
        </w:rPr>
        <w:t>A more targeted approach to select MSMEs is needed</w:t>
      </w:r>
      <w:r w:rsidRPr="00294954">
        <w:rPr>
          <w:rFonts w:ascii="Times" w:hAnsi="Times" w:cs="Times New Roman"/>
        </w:rPr>
        <w:t xml:space="preserve">. The current selection criteria mostly include all MSMEs, which translates into a very broad selection of beneficiaries. This leads to a loss scope of action, which can undermine the impact of the programs. The </w:t>
      </w:r>
      <w:proofErr w:type="spellStart"/>
      <w:r w:rsidRPr="00294954">
        <w:rPr>
          <w:rFonts w:ascii="Times" w:hAnsi="Times" w:cs="Times New Roman"/>
        </w:rPr>
        <w:t>GoP</w:t>
      </w:r>
      <w:proofErr w:type="spellEnd"/>
      <w:r w:rsidRPr="00294954">
        <w:rPr>
          <w:rFonts w:ascii="Times" w:hAnsi="Times" w:cs="Times New Roman"/>
        </w:rPr>
        <w:t xml:space="preserve"> needs to provide more nuanced targeting based on the type of beneficiaries and market failure to be addressed to ensure additionality and achieve greater impact. For example, by focusing interventions to work with firms that present increased growth, innovation or export potential.</w:t>
      </w:r>
    </w:p>
    <w:p w14:paraId="21E8BDBF" w14:textId="77777777" w:rsidR="005B33F9" w:rsidRPr="005B33F9" w:rsidRDefault="005B33F9" w:rsidP="005B33F9">
      <w:pPr>
        <w:pStyle w:val="ListParagraph"/>
        <w:spacing w:after="0"/>
        <w:jc w:val="both"/>
        <w:rPr>
          <w:rFonts w:ascii="Times" w:hAnsi="Times" w:cs="Times New Roman"/>
          <w:sz w:val="16"/>
        </w:rPr>
      </w:pPr>
    </w:p>
    <w:p w14:paraId="26A5D4C5" w14:textId="512DD97D" w:rsidR="00341045" w:rsidRPr="00294954" w:rsidRDefault="00341045" w:rsidP="00341045">
      <w:pPr>
        <w:pStyle w:val="ListParagraph"/>
        <w:numPr>
          <w:ilvl w:val="0"/>
          <w:numId w:val="25"/>
        </w:numPr>
        <w:spacing w:after="0"/>
        <w:jc w:val="both"/>
        <w:rPr>
          <w:rFonts w:ascii="Times" w:hAnsi="Times" w:cs="Times New Roman"/>
        </w:rPr>
      </w:pPr>
      <w:r w:rsidRPr="00294954">
        <w:rPr>
          <w:rFonts w:ascii="Times" w:hAnsi="Times" w:cs="Times New Roman"/>
          <w:b/>
        </w:rPr>
        <w:t>Excessive focus on execution compromises focus on achieving additionality of impact.</w:t>
      </w:r>
      <w:r w:rsidRPr="00294954">
        <w:rPr>
          <w:rFonts w:ascii="Times" w:hAnsi="Times" w:cs="Times New Roman"/>
        </w:rPr>
        <w:t xml:space="preserve"> The pressure for budget execution is high, and often makes better targeting of potential beneficiaries and adaptation of programs difficult, given the need to disburse funds. The priority should not be on whether the funds are used as planned, but on whether the additionality of private investments is achieved. Therefore, the focus should be</w:t>
      </w:r>
      <w:r w:rsidR="00C8256A">
        <w:rPr>
          <w:rFonts w:ascii="Times" w:hAnsi="Times" w:cs="Times New Roman"/>
        </w:rPr>
        <w:t xml:space="preserve"> on </w:t>
      </w:r>
      <w:r w:rsidRPr="00294954">
        <w:rPr>
          <w:rFonts w:ascii="Times" w:hAnsi="Times" w:cs="Times New Roman"/>
        </w:rPr>
        <w:t xml:space="preserve">impact additionality from the use of public resources. </w:t>
      </w:r>
    </w:p>
    <w:p w14:paraId="146AFEE3" w14:textId="77777777" w:rsidR="005B33F9" w:rsidRPr="005B33F9" w:rsidRDefault="005B33F9" w:rsidP="005B33F9">
      <w:pPr>
        <w:pStyle w:val="ListParagraph"/>
        <w:spacing w:after="0"/>
        <w:jc w:val="both"/>
        <w:rPr>
          <w:rFonts w:ascii="Times" w:hAnsi="Times" w:cs="Times New Roman"/>
          <w:sz w:val="16"/>
        </w:rPr>
      </w:pPr>
    </w:p>
    <w:p w14:paraId="42E0406A" w14:textId="78C40E71" w:rsidR="00341045" w:rsidRPr="00294954" w:rsidRDefault="00341045" w:rsidP="00341045">
      <w:pPr>
        <w:pStyle w:val="ListParagraph"/>
        <w:numPr>
          <w:ilvl w:val="0"/>
          <w:numId w:val="25"/>
        </w:numPr>
        <w:spacing w:after="0"/>
        <w:jc w:val="both"/>
        <w:rPr>
          <w:rFonts w:ascii="Times" w:hAnsi="Times" w:cs="Times New Roman"/>
        </w:rPr>
      </w:pPr>
      <w:r w:rsidRPr="00294954">
        <w:rPr>
          <w:rFonts w:ascii="Times" w:hAnsi="Times" w:cs="Times New Roman"/>
          <w:b/>
        </w:rPr>
        <w:t xml:space="preserve">Decentralization of implementation should also feed the design of new programs. </w:t>
      </w:r>
      <w:r w:rsidRPr="00294954">
        <w:rPr>
          <w:rFonts w:ascii="Times" w:hAnsi="Times" w:cs="Times New Roman"/>
        </w:rPr>
        <w:t xml:space="preserve">While the decision from central units to decentralize implementation is commendable, program design would benefit from increased inputs and participation from the regional stakeholders, both government agencies and from the private sector.  </w:t>
      </w:r>
    </w:p>
    <w:p w14:paraId="73E040F1" w14:textId="77777777" w:rsidR="005B33F9" w:rsidRPr="005B33F9" w:rsidRDefault="005B33F9" w:rsidP="005B33F9">
      <w:pPr>
        <w:pStyle w:val="ListParagraph"/>
        <w:spacing w:after="0"/>
        <w:jc w:val="both"/>
        <w:rPr>
          <w:rFonts w:ascii="Times" w:hAnsi="Times" w:cs="Times New Roman"/>
          <w:sz w:val="16"/>
        </w:rPr>
      </w:pPr>
    </w:p>
    <w:p w14:paraId="3013FAD9" w14:textId="67C10B6D" w:rsidR="00341045" w:rsidRPr="00294954" w:rsidRDefault="00341045" w:rsidP="00341045">
      <w:pPr>
        <w:pStyle w:val="ListParagraph"/>
        <w:numPr>
          <w:ilvl w:val="0"/>
          <w:numId w:val="25"/>
        </w:numPr>
        <w:spacing w:after="0"/>
        <w:jc w:val="both"/>
        <w:rPr>
          <w:rFonts w:ascii="Times" w:hAnsi="Times" w:cs="Times New Roman"/>
        </w:rPr>
      </w:pPr>
      <w:r w:rsidRPr="00294954">
        <w:rPr>
          <w:rFonts w:ascii="Times" w:hAnsi="Times" w:cs="Times New Roman"/>
          <w:b/>
        </w:rPr>
        <w:t>Enhanced coordination mechanisms between implementing agencies and between program implementation units would improve effectiveness of MSME policy interventions</w:t>
      </w:r>
      <w:r w:rsidRPr="00294954">
        <w:rPr>
          <w:rFonts w:ascii="Times" w:hAnsi="Times" w:cs="Times New Roman"/>
        </w:rPr>
        <w:t xml:space="preserve">. While there is reasonable coordination within agencies, coordination between agencies could be significantly improved, especially at the management level of individual programs. It is critical to create these spaces of coordination between program management units and managers, more generally. This can be achieved by creating working groups for agency personnel, who work on cross-cutting issues, such as development of startups and business scale-up, innovation, technology transfer or export promotion.  These are issues that require both DTI and </w:t>
      </w:r>
      <w:proofErr w:type="spellStart"/>
      <w:r w:rsidRPr="00294954">
        <w:rPr>
          <w:rFonts w:ascii="Times" w:hAnsi="Times" w:cs="Times New Roman"/>
        </w:rPr>
        <w:t>DoST</w:t>
      </w:r>
      <w:proofErr w:type="spellEnd"/>
      <w:r w:rsidRPr="00294954">
        <w:rPr>
          <w:rFonts w:ascii="Times" w:hAnsi="Times" w:cs="Times New Roman"/>
        </w:rPr>
        <w:t xml:space="preserve"> to work together, to deliver interventions in an integrated manner. It is not </w:t>
      </w:r>
      <w:proofErr w:type="gramStart"/>
      <w:r w:rsidRPr="00294954">
        <w:rPr>
          <w:rFonts w:ascii="Times" w:hAnsi="Times" w:cs="Times New Roman"/>
        </w:rPr>
        <w:t>sufficient</w:t>
      </w:r>
      <w:proofErr w:type="gramEnd"/>
      <w:r w:rsidRPr="00294954">
        <w:rPr>
          <w:rFonts w:ascii="Times" w:hAnsi="Times" w:cs="Times New Roman"/>
        </w:rPr>
        <w:t xml:space="preserve"> to simply strive for avoiding duplication, it is required to fully integrate programs by, for example, sending beneficiaries graduated from a program to another, under the management of the other institution.</w:t>
      </w:r>
    </w:p>
    <w:p w14:paraId="098B3698" w14:textId="77777777" w:rsidR="00341045" w:rsidRPr="00FF6DF5" w:rsidRDefault="00341045" w:rsidP="00341045">
      <w:pPr>
        <w:pStyle w:val="ListParagraph"/>
        <w:spacing w:after="0"/>
        <w:jc w:val="both"/>
        <w:rPr>
          <w:rFonts w:ascii="Times" w:hAnsi="Times" w:cs="Times New Roman"/>
        </w:rPr>
      </w:pPr>
    </w:p>
    <w:p w14:paraId="3C787CDF" w14:textId="72B6FF56" w:rsidR="00F06176" w:rsidRDefault="00341045" w:rsidP="008436DF">
      <w:pPr>
        <w:pStyle w:val="ListParagraph"/>
        <w:numPr>
          <w:ilvl w:val="0"/>
          <w:numId w:val="48"/>
        </w:numPr>
        <w:jc w:val="both"/>
        <w:rPr>
          <w:rFonts w:asciiTheme="majorHAnsi" w:eastAsiaTheme="majorEastAsia" w:hAnsiTheme="majorHAnsi" w:cstheme="majorBidi"/>
          <w:color w:val="2F5496" w:themeColor="accent1" w:themeShade="BF"/>
          <w:sz w:val="32"/>
          <w:szCs w:val="32"/>
        </w:rPr>
      </w:pPr>
      <w:r w:rsidRPr="00294954">
        <w:rPr>
          <w:rFonts w:ascii="Times" w:hAnsi="Times" w:cs="Times New Roman"/>
          <w:b/>
        </w:rPr>
        <w:t xml:space="preserve">Addressing some of these issues is critical to enhance the returns to public support and achieve </w:t>
      </w:r>
      <w:r w:rsidR="00544235">
        <w:rPr>
          <w:rFonts w:ascii="Times" w:hAnsi="Times" w:cs="Times New Roman"/>
          <w:b/>
        </w:rPr>
        <w:t>sustained</w:t>
      </w:r>
      <w:r w:rsidRPr="00294954">
        <w:rPr>
          <w:rFonts w:ascii="Times" w:hAnsi="Times" w:cs="Times New Roman"/>
          <w:b/>
        </w:rPr>
        <w:t xml:space="preserve"> growth and employment</w:t>
      </w:r>
      <w:r w:rsidRPr="00FF6DF5">
        <w:rPr>
          <w:rFonts w:ascii="Times" w:hAnsi="Times" w:cs="Times New Roman"/>
        </w:rPr>
        <w:t xml:space="preserve">. A first step to adapt these practices is to learn from best performing programs. This can be done easily with internal workshops. The second step is to implement and invest in systemic processes, such as templates, procedures and information systems. This requires some investment from the agencies, and it should be done jointly to avoid </w:t>
      </w:r>
      <w:r w:rsidRPr="008D737E">
        <w:rPr>
          <w:rFonts w:ascii="Times" w:hAnsi="Times" w:cs="Times New Roman"/>
        </w:rPr>
        <w:t xml:space="preserve">further fragmentation of processes within government. </w:t>
      </w:r>
      <w:r w:rsidR="00F36B20" w:rsidRPr="008D737E">
        <w:t>More detailed recommendations are included in Annex 6.</w:t>
      </w:r>
      <w:r w:rsidR="00F36B20">
        <w:t xml:space="preserve"> </w:t>
      </w:r>
    </w:p>
    <w:p w14:paraId="377F5AF6" w14:textId="77777777" w:rsidR="00371853" w:rsidRPr="00D56140" w:rsidRDefault="00371853" w:rsidP="00371853">
      <w:pPr>
        <w:spacing w:after="0" w:line="240" w:lineRule="auto"/>
        <w:rPr>
          <w:rFonts w:asciiTheme="majorHAnsi" w:eastAsiaTheme="majorEastAsia" w:hAnsiTheme="majorHAnsi" w:cstheme="majorBidi"/>
          <w:color w:val="2F5496" w:themeColor="accent1" w:themeShade="BF"/>
          <w:sz w:val="32"/>
          <w:szCs w:val="32"/>
        </w:rPr>
      </w:pPr>
    </w:p>
    <w:p w14:paraId="0F538E9E" w14:textId="004D56B1" w:rsidR="006B6DD2" w:rsidRDefault="006B6DD2">
      <w:pPr>
        <w:rPr>
          <w:rFonts w:eastAsia="Calibri" w:cs="Times New Roman"/>
          <w:color w:val="333333"/>
        </w:rPr>
      </w:pPr>
      <w:r w:rsidRPr="00D56140">
        <w:rPr>
          <w:rFonts w:asciiTheme="majorHAnsi" w:eastAsiaTheme="majorEastAsia" w:hAnsiTheme="majorHAnsi" w:cstheme="majorBidi"/>
          <w:color w:val="2F5496" w:themeColor="accent1" w:themeShade="BF"/>
          <w:sz w:val="32"/>
          <w:szCs w:val="32"/>
        </w:rPr>
        <mc:AlternateContent>
          <mc:Choice Requires="wps">
            <w:drawing>
              <wp:anchor distT="45720" distB="45720" distL="114300" distR="114300" simplePos="0" relativeHeight="251672576" behindDoc="0" locked="0" layoutInCell="1" allowOverlap="1" wp14:anchorId="05EF3425" wp14:editId="675C46A6">
                <wp:simplePos x="0" y="0"/>
                <wp:positionH relativeFrom="margin">
                  <wp:align>right</wp:align>
                </wp:positionH>
                <wp:positionV relativeFrom="paragraph">
                  <wp:posOffset>342555</wp:posOffset>
                </wp:positionV>
                <wp:extent cx="5925820" cy="4316730"/>
                <wp:effectExtent l="0" t="0" r="17780" b="2667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4317357"/>
                        </a:xfrm>
                        <a:prstGeom prst="rect">
                          <a:avLst/>
                        </a:prstGeom>
                        <a:solidFill>
                          <a:srgbClr val="FFFFFF"/>
                        </a:solidFill>
                        <a:ln w="9525">
                          <a:solidFill>
                            <a:srgbClr val="000000"/>
                          </a:solidFill>
                          <a:miter lim="800000"/>
                          <a:headEnd/>
                          <a:tailEnd/>
                        </a:ln>
                      </wps:spPr>
                      <wps:txbx>
                        <w:txbxContent>
                          <w:p w14:paraId="0F4D476C" w14:textId="176A320C" w:rsidR="006A439E" w:rsidRPr="00D56140" w:rsidRDefault="006A439E" w:rsidP="006B6DD2">
                            <w:pPr>
                              <w:jc w:val="center"/>
                              <w:rPr>
                                <w:rFonts w:cs="Times New Roman"/>
                                <w:b/>
                              </w:rPr>
                            </w:pPr>
                            <w:r w:rsidRPr="00D56140">
                              <w:rPr>
                                <w:rFonts w:cs="Times New Roman"/>
                                <w:b/>
                              </w:rPr>
                              <w:t xml:space="preserve"> Startup Support Institutions - Incubators, Accelerators, Venture Capital Financing and Networking </w:t>
                            </w:r>
                          </w:p>
                          <w:p w14:paraId="22B9A2C6" w14:textId="77777777" w:rsidR="006A439E" w:rsidRPr="00D56140" w:rsidRDefault="006A439E" w:rsidP="006B6DD2">
                            <w:pPr>
                              <w:jc w:val="both"/>
                              <w:rPr>
                                <w:rFonts w:cs="Times New Roman"/>
                              </w:rPr>
                            </w:pPr>
                            <w:r w:rsidRPr="00D56140">
                              <w:rPr>
                                <w:rFonts w:cs="Times New Roman"/>
                                <w:b/>
                                <w:i/>
                              </w:rPr>
                              <w:t>Incubators:</w:t>
                            </w:r>
                            <w:r w:rsidRPr="00D56140">
                              <w:rPr>
                                <w:rFonts w:cs="Times New Roman"/>
                                <w:i/>
                              </w:rPr>
                              <w:t xml:space="preserve"> </w:t>
                            </w:r>
                            <w:r w:rsidRPr="00D56140">
                              <w:rPr>
                                <w:rFonts w:cs="Times New Roman"/>
                              </w:rPr>
                              <w:t xml:space="preserve">are programs targeted towards startups with an existing business idea, product or concept. They offer startups support services in business development, infrastructure and professional networks as well as follow-up financing (investors, accelerators etc.). </w:t>
                            </w:r>
                            <w:r w:rsidRPr="00D56140">
                              <w:rPr>
                                <w:rFonts w:cs="Times New Roman"/>
                                <w:lang w:val="vi-VN"/>
                              </w:rPr>
                              <w:t>Incubator business models vary depending on their nature (nonprofit or for-profit). Incubator programs typically last for 1-3 years.</w:t>
                            </w:r>
                          </w:p>
                          <w:p w14:paraId="46A643AC" w14:textId="77777777" w:rsidR="006A439E" w:rsidRPr="00D56140" w:rsidRDefault="006A439E" w:rsidP="006B6DD2">
                            <w:pPr>
                              <w:jc w:val="both"/>
                              <w:rPr>
                                <w:rFonts w:cs="Times New Roman"/>
                                <w:i/>
                                <w:iCs/>
                              </w:rPr>
                            </w:pPr>
                            <w:r w:rsidRPr="00D56140">
                              <w:rPr>
                                <w:rFonts w:cs="Times New Roman"/>
                                <w:b/>
                                <w:i/>
                                <w:iCs/>
                              </w:rPr>
                              <w:t>Accelerators</w:t>
                            </w:r>
                            <w:r w:rsidRPr="00D56140">
                              <w:rPr>
                                <w:rFonts w:cs="Times New Roman"/>
                                <w:i/>
                                <w:iCs/>
                              </w:rPr>
                              <w:t xml:space="preserve">: </w:t>
                            </w:r>
                            <w:r w:rsidRPr="00D56140">
                              <w:rPr>
                                <w:rFonts w:cs="Times New Roman"/>
                              </w:rPr>
                              <w:t xml:space="preserve">are startup support programs targeted at already established and skilled teams with a strong, preferably international growth expectation. The accelerators usually provide startup companies with program events, intensive mentoring and pre-seed investment in exchange for equity in the companies. </w:t>
                            </w:r>
                          </w:p>
                          <w:p w14:paraId="737EEABC" w14:textId="77777777" w:rsidR="006A439E" w:rsidRPr="00D56140" w:rsidRDefault="006A439E" w:rsidP="006B6DD2">
                            <w:pPr>
                              <w:jc w:val="both"/>
                              <w:rPr>
                                <w:rFonts w:eastAsia="Times New Roman" w:cs="Times New Roman"/>
                              </w:rPr>
                            </w:pPr>
                            <w:r w:rsidRPr="00D56140">
                              <w:rPr>
                                <w:rFonts w:cs="Times New Roman"/>
                                <w:b/>
                                <w:i/>
                                <w:iCs/>
                              </w:rPr>
                              <w:t xml:space="preserve">Venture capital: </w:t>
                            </w:r>
                            <w:r w:rsidRPr="00D56140">
                              <w:rPr>
                                <w:rFonts w:cs="Times New Roman"/>
                              </w:rPr>
                              <w:t xml:space="preserve">refers to equity investments made for launch and early development of startups (seed) or expansion of established firms. For </w:t>
                            </w:r>
                            <w:r w:rsidRPr="00D56140">
                              <w:rPr>
                                <w:rFonts w:eastAsia="Times New Roman" w:cs="Times New Roman"/>
                              </w:rPr>
                              <w:t>early stage,</w:t>
                            </w:r>
                            <w:r w:rsidRPr="00D56140">
                              <w:rPr>
                                <w:rFonts w:cs="Times New Roman"/>
                              </w:rPr>
                              <w:t xml:space="preserve"> </w:t>
                            </w:r>
                            <w:r w:rsidRPr="00D56140">
                              <w:rPr>
                                <w:rFonts w:eastAsia="Times New Roman" w:cs="Times New Roman"/>
                              </w:rPr>
                              <w:t>seed funding is used to take a startup from idea to the first steps, such as product development or market research. Seed rounds are among the first rounds of funding a company will receive, generally while the company is young and working to gain traction. Round sizes range between $10k–$2M.</w:t>
                            </w:r>
                          </w:p>
                          <w:p w14:paraId="6700128D" w14:textId="77777777" w:rsidR="006A439E" w:rsidRPr="00D56140" w:rsidRDefault="006A439E" w:rsidP="006B6DD2">
                            <w:pPr>
                              <w:jc w:val="both"/>
                              <w:rPr>
                                <w:rFonts w:eastAsia="Times New Roman" w:cs="Times New Roman"/>
                              </w:rPr>
                            </w:pPr>
                            <w:r w:rsidRPr="00D56140">
                              <w:rPr>
                                <w:rFonts w:eastAsia="Times New Roman" w:cs="Times New Roman"/>
                                <w:b/>
                                <w:i/>
                              </w:rPr>
                              <w:t>Angel investors:</w:t>
                            </w:r>
                            <w:r w:rsidRPr="00D56140">
                              <w:rPr>
                                <w:rFonts w:eastAsia="Times New Roman" w:cs="Times New Roman"/>
                              </w:rPr>
                              <w:t xml:space="preserve"> is a private individual, often of high net worth, and usually with business experience, who directly invests part of his or her personal assets in new and growing private businesses. Business angels can invest individually or as part of a syndicate where one angel typically takes the lead role</w:t>
                            </w:r>
                          </w:p>
                          <w:p w14:paraId="08D48690" w14:textId="77777777" w:rsidR="006A439E" w:rsidRPr="00D56140" w:rsidRDefault="006A439E" w:rsidP="006B6DD2">
                            <w:pPr>
                              <w:jc w:val="both"/>
                              <w:rPr>
                                <w:rFonts w:cs="Times New Roman"/>
                                <w:i/>
                                <w:iCs/>
                              </w:rPr>
                            </w:pPr>
                            <w:r w:rsidRPr="00D56140">
                              <w:rPr>
                                <w:rFonts w:cs="Times New Roman"/>
                                <w:b/>
                                <w:i/>
                                <w:iCs/>
                              </w:rPr>
                              <w:t>Networking events:</w:t>
                            </w:r>
                            <w:r w:rsidRPr="00D56140">
                              <w:rPr>
                                <w:rFonts w:cs="Times New Roman"/>
                                <w:i/>
                                <w:iCs/>
                              </w:rPr>
                              <w:t xml:space="preserve"> </w:t>
                            </w:r>
                            <w:r w:rsidRPr="00D56140">
                              <w:rPr>
                                <w:rFonts w:cs="Times New Roman"/>
                              </w:rPr>
                              <w:t xml:space="preserve">Hackathons, meetups and other startup events comprise of </w:t>
                            </w:r>
                            <w:proofErr w:type="gramStart"/>
                            <w:r w:rsidRPr="00D56140">
                              <w:rPr>
                                <w:rFonts w:cs="Times New Roman"/>
                              </w:rPr>
                              <w:t>a number of</w:t>
                            </w:r>
                            <w:proofErr w:type="gramEnd"/>
                            <w:r w:rsidRPr="00D56140">
                              <w:rPr>
                                <w:rFonts w:cs="Times New Roman"/>
                              </w:rPr>
                              <w:t xml:space="preserve"> occasions for startups to meet other ventures, entrepreneurs and other startup-minded people. The duration of these events tends to be short, typically from a few hours to one weekend. </w:t>
                            </w:r>
                          </w:p>
                          <w:p w14:paraId="5C3B05E5" w14:textId="77777777" w:rsidR="006A439E" w:rsidRDefault="006A439E" w:rsidP="006B6DD2">
                            <w:pPr>
                              <w:jc w:val="both"/>
                              <w:rPr>
                                <w:rFonts w:cs="Times New Roman"/>
                                <w:sz w:val="18"/>
                                <w:szCs w:val="18"/>
                              </w:rPr>
                            </w:pPr>
                          </w:p>
                          <w:p w14:paraId="5F5E1C3F" w14:textId="77777777" w:rsidR="006A439E" w:rsidRDefault="006A439E" w:rsidP="006B6DD2">
                            <w:pPr>
                              <w:jc w:val="both"/>
                              <w:rPr>
                                <w:rFonts w:ascii="Arial Narrow" w:hAnsi="Arial Narrow"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F3425" id="Text Box 30" o:spid="_x0000_s1029" type="#_x0000_t202" style="position:absolute;margin-left:415.4pt;margin-top:26.95pt;width:466.6pt;height:339.9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ltIwIAAEcEAAAOAAAAZHJzL2Uyb0RvYy54bWysU9uO2yAQfa/Uf0C8N861Saw4q222qSpt&#10;L9JuPwBjHKMCQ4HETr9+B+xN09tLVR4QwwyHM2dmNjedVuQknJdgCjoZjSkRhkMlzaGgXx73r1aU&#10;+MBMxRQYUdCz8PRm+/LFprW5mEIDqhKOIIjxeWsL2oRg8yzzvBGa+RFYYdBZg9MsoOkOWeVYi+ha&#10;ZdPx+HXWgqusAy68x9u73km3Cb+uBQ+f6tqLQFRBkVtIu0t7Gfdsu2H5wTHbSD7QYP/AQjNp8NML&#10;1B0LjByd/A1KS+7AQx1GHHQGdS25SDlgNpPxL9k8NMyKlAuK4+1FJv//YPnH02dHZFXQGcpjmMYa&#10;PYoukDfQEbxCfVrrcwx7sBgYOrzHOqdcvb0H/tUTA7uGmYO4dQ7aRrAK+U3iy+zqaY/jI0jZfoAK&#10;/2HHAAmoq52O4qEcBNGRyPlSm8iF4+ViPV2spuji6JvPJsvZYpn+YPnzc+t8eCdAk3goqMPiJ3h2&#10;uvch0mH5c0j8zYOS1V4qlQx3KHfKkRPDRtmnNaD/FKYMaQu6XkwXvQJ/hRin9ScILQN2vJK6oKtL&#10;EMujbm9NlfoxMKn6M1JWZhAyaterGLqyGwpTQnVGSR30nY2TiIcG3HdKWuzqgvpvR+YEJeq9wbKs&#10;J/N5HINkzBfLKKi79pTXHmY4QhU0UNIfdyGNThTMwC2Wr5ZJ2FjnnsnAFbs16T1MVhyHaztF/Zj/&#10;7RMAAAD//wMAUEsDBBQABgAIAAAAIQBS8ZKF3gAAAAcBAAAPAAAAZHJzL2Rvd25yZXYueG1sTI/B&#10;TsMwEETvSPyDtUhcUOtQQ9OEbCqEBKI3aBFc3dhNIux1sN00/D3mBMfRjGbeVOvJGjZqH3pHCNfz&#10;DJimxqmeWoS33eNsBSxESUoaRxrhWwdY1+dnlSyVO9GrHrexZamEQikRuhiHkvPQdNrKMHeDpuQd&#10;nLcyJulbrrw8pXJr+CLLltzKntJCJwf90Onmc3u0CKub5/EjbMTLe7M8mCJe5ePTl0e8vJju74BF&#10;PcW/MPziJ3SoE9PeHUkFZhDSkYhwKwpgyS2EWADbI+RC5MDriv/nr38AAAD//wMAUEsBAi0AFAAG&#10;AAgAAAAhALaDOJL+AAAA4QEAABMAAAAAAAAAAAAAAAAAAAAAAFtDb250ZW50X1R5cGVzXS54bWxQ&#10;SwECLQAUAAYACAAAACEAOP0h/9YAAACUAQAACwAAAAAAAAAAAAAAAAAvAQAAX3JlbHMvLnJlbHNQ&#10;SwECLQAUAAYACAAAACEAQWcJbSMCAABHBAAADgAAAAAAAAAAAAAAAAAuAgAAZHJzL2Uyb0RvYy54&#10;bWxQSwECLQAUAAYACAAAACEAUvGShd4AAAAHAQAADwAAAAAAAAAAAAAAAAB9BAAAZHJzL2Rvd25y&#10;ZXYueG1sUEsFBgAAAAAEAAQA8wAAAIgFAAAAAA==&#10;">
                <v:textbox>
                  <w:txbxContent>
                    <w:p w14:paraId="0F4D476C" w14:textId="176A320C" w:rsidR="006A439E" w:rsidRPr="00D56140" w:rsidRDefault="006A439E" w:rsidP="006B6DD2">
                      <w:pPr>
                        <w:jc w:val="center"/>
                        <w:rPr>
                          <w:rFonts w:cs="Times New Roman"/>
                          <w:b/>
                        </w:rPr>
                      </w:pPr>
                      <w:r w:rsidRPr="00D56140">
                        <w:rPr>
                          <w:rFonts w:cs="Times New Roman"/>
                          <w:b/>
                        </w:rPr>
                        <w:t xml:space="preserve"> Startup Support Institutions - Incubators, Accelerators, Venture Capital Financing and Networking </w:t>
                      </w:r>
                    </w:p>
                    <w:p w14:paraId="22B9A2C6" w14:textId="77777777" w:rsidR="006A439E" w:rsidRPr="00D56140" w:rsidRDefault="006A439E" w:rsidP="006B6DD2">
                      <w:pPr>
                        <w:jc w:val="both"/>
                        <w:rPr>
                          <w:rFonts w:cs="Times New Roman"/>
                        </w:rPr>
                      </w:pPr>
                      <w:r w:rsidRPr="00D56140">
                        <w:rPr>
                          <w:rFonts w:cs="Times New Roman"/>
                          <w:b/>
                          <w:i/>
                        </w:rPr>
                        <w:t>Incubators:</w:t>
                      </w:r>
                      <w:r w:rsidRPr="00D56140">
                        <w:rPr>
                          <w:rFonts w:cs="Times New Roman"/>
                          <w:i/>
                        </w:rPr>
                        <w:t xml:space="preserve"> </w:t>
                      </w:r>
                      <w:r w:rsidRPr="00D56140">
                        <w:rPr>
                          <w:rFonts w:cs="Times New Roman"/>
                        </w:rPr>
                        <w:t xml:space="preserve">are programs targeted towards startups with an existing business idea, product or concept. They offer startups support services in business development, infrastructure and professional networks as well as follow-up financing (investors, accelerators etc.). </w:t>
                      </w:r>
                      <w:r w:rsidRPr="00D56140">
                        <w:rPr>
                          <w:rFonts w:cs="Times New Roman"/>
                          <w:lang w:val="vi-VN"/>
                        </w:rPr>
                        <w:t>Incubator business models vary depending on their nature (nonprofit or for-profit). Incubator programs typically last for 1-3 years.</w:t>
                      </w:r>
                    </w:p>
                    <w:p w14:paraId="46A643AC" w14:textId="77777777" w:rsidR="006A439E" w:rsidRPr="00D56140" w:rsidRDefault="006A439E" w:rsidP="006B6DD2">
                      <w:pPr>
                        <w:jc w:val="both"/>
                        <w:rPr>
                          <w:rFonts w:cs="Times New Roman"/>
                          <w:i/>
                          <w:iCs/>
                        </w:rPr>
                      </w:pPr>
                      <w:r w:rsidRPr="00D56140">
                        <w:rPr>
                          <w:rFonts w:cs="Times New Roman"/>
                          <w:b/>
                          <w:i/>
                          <w:iCs/>
                        </w:rPr>
                        <w:t>Accelerators</w:t>
                      </w:r>
                      <w:r w:rsidRPr="00D56140">
                        <w:rPr>
                          <w:rFonts w:cs="Times New Roman"/>
                          <w:i/>
                          <w:iCs/>
                        </w:rPr>
                        <w:t xml:space="preserve">: </w:t>
                      </w:r>
                      <w:r w:rsidRPr="00D56140">
                        <w:rPr>
                          <w:rFonts w:cs="Times New Roman"/>
                        </w:rPr>
                        <w:t xml:space="preserve">are startup support programs targeted at already established and skilled teams with a strong, preferably international growth expectation. The accelerators usually provide startup companies with program events, intensive mentoring and pre-seed investment in exchange for equity in the companies. </w:t>
                      </w:r>
                    </w:p>
                    <w:p w14:paraId="737EEABC" w14:textId="77777777" w:rsidR="006A439E" w:rsidRPr="00D56140" w:rsidRDefault="006A439E" w:rsidP="006B6DD2">
                      <w:pPr>
                        <w:jc w:val="both"/>
                        <w:rPr>
                          <w:rFonts w:eastAsia="Times New Roman" w:cs="Times New Roman"/>
                        </w:rPr>
                      </w:pPr>
                      <w:r w:rsidRPr="00D56140">
                        <w:rPr>
                          <w:rFonts w:cs="Times New Roman"/>
                          <w:b/>
                          <w:i/>
                          <w:iCs/>
                        </w:rPr>
                        <w:t xml:space="preserve">Venture capital: </w:t>
                      </w:r>
                      <w:r w:rsidRPr="00D56140">
                        <w:rPr>
                          <w:rFonts w:cs="Times New Roman"/>
                        </w:rPr>
                        <w:t xml:space="preserve">refers to equity investments made for launch and early development of startups (seed) or expansion of established firms. For </w:t>
                      </w:r>
                      <w:r w:rsidRPr="00D56140">
                        <w:rPr>
                          <w:rFonts w:eastAsia="Times New Roman" w:cs="Times New Roman"/>
                        </w:rPr>
                        <w:t>early stage,</w:t>
                      </w:r>
                      <w:r w:rsidRPr="00D56140">
                        <w:rPr>
                          <w:rFonts w:cs="Times New Roman"/>
                        </w:rPr>
                        <w:t xml:space="preserve"> </w:t>
                      </w:r>
                      <w:r w:rsidRPr="00D56140">
                        <w:rPr>
                          <w:rFonts w:eastAsia="Times New Roman" w:cs="Times New Roman"/>
                        </w:rPr>
                        <w:t>seed funding is used to take a startup from idea to the first steps, such as product development or market research. Seed rounds are among the first rounds of funding a company will receive, generally while the company is young and working to gain traction. Round sizes range between $10k–$2M.</w:t>
                      </w:r>
                    </w:p>
                    <w:p w14:paraId="6700128D" w14:textId="77777777" w:rsidR="006A439E" w:rsidRPr="00D56140" w:rsidRDefault="006A439E" w:rsidP="006B6DD2">
                      <w:pPr>
                        <w:jc w:val="both"/>
                        <w:rPr>
                          <w:rFonts w:eastAsia="Times New Roman" w:cs="Times New Roman"/>
                        </w:rPr>
                      </w:pPr>
                      <w:r w:rsidRPr="00D56140">
                        <w:rPr>
                          <w:rFonts w:eastAsia="Times New Roman" w:cs="Times New Roman"/>
                          <w:b/>
                          <w:i/>
                        </w:rPr>
                        <w:t>Angel investors:</w:t>
                      </w:r>
                      <w:r w:rsidRPr="00D56140">
                        <w:rPr>
                          <w:rFonts w:eastAsia="Times New Roman" w:cs="Times New Roman"/>
                        </w:rPr>
                        <w:t xml:space="preserve"> is a private individual, often of high net worth, and usually with business experience, who directly invests part of his or her personal assets in new and growing private businesses. Business angels can invest individually or as part of a syndicate where one angel typically takes the lead role</w:t>
                      </w:r>
                    </w:p>
                    <w:p w14:paraId="08D48690" w14:textId="77777777" w:rsidR="006A439E" w:rsidRPr="00D56140" w:rsidRDefault="006A439E" w:rsidP="006B6DD2">
                      <w:pPr>
                        <w:jc w:val="both"/>
                        <w:rPr>
                          <w:rFonts w:cs="Times New Roman"/>
                          <w:i/>
                          <w:iCs/>
                        </w:rPr>
                      </w:pPr>
                      <w:r w:rsidRPr="00D56140">
                        <w:rPr>
                          <w:rFonts w:cs="Times New Roman"/>
                          <w:b/>
                          <w:i/>
                          <w:iCs/>
                        </w:rPr>
                        <w:t>Networking events:</w:t>
                      </w:r>
                      <w:r w:rsidRPr="00D56140">
                        <w:rPr>
                          <w:rFonts w:cs="Times New Roman"/>
                          <w:i/>
                          <w:iCs/>
                        </w:rPr>
                        <w:t xml:space="preserve"> </w:t>
                      </w:r>
                      <w:r w:rsidRPr="00D56140">
                        <w:rPr>
                          <w:rFonts w:cs="Times New Roman"/>
                        </w:rPr>
                        <w:t xml:space="preserve">Hackathons, meetups and other startup events comprise of </w:t>
                      </w:r>
                      <w:proofErr w:type="gramStart"/>
                      <w:r w:rsidRPr="00D56140">
                        <w:rPr>
                          <w:rFonts w:cs="Times New Roman"/>
                        </w:rPr>
                        <w:t>a number of</w:t>
                      </w:r>
                      <w:proofErr w:type="gramEnd"/>
                      <w:r w:rsidRPr="00D56140">
                        <w:rPr>
                          <w:rFonts w:cs="Times New Roman"/>
                        </w:rPr>
                        <w:t xml:space="preserve"> occasions for startups to meet other ventures, entrepreneurs and other startup-minded people. The duration of these events tends to be short, typically from a few hours to one weekend. </w:t>
                      </w:r>
                    </w:p>
                    <w:p w14:paraId="5C3B05E5" w14:textId="77777777" w:rsidR="006A439E" w:rsidRDefault="006A439E" w:rsidP="006B6DD2">
                      <w:pPr>
                        <w:jc w:val="both"/>
                        <w:rPr>
                          <w:rFonts w:cs="Times New Roman"/>
                          <w:sz w:val="18"/>
                          <w:szCs w:val="18"/>
                        </w:rPr>
                      </w:pPr>
                    </w:p>
                    <w:p w14:paraId="5F5E1C3F" w14:textId="77777777" w:rsidR="006A439E" w:rsidRDefault="006A439E" w:rsidP="006B6DD2">
                      <w:pPr>
                        <w:jc w:val="both"/>
                        <w:rPr>
                          <w:rFonts w:ascii="Arial Narrow" w:hAnsi="Arial Narrow" w:cs="Times New Roman"/>
                          <w:sz w:val="20"/>
                          <w:szCs w:val="20"/>
                        </w:rPr>
                      </w:pPr>
                    </w:p>
                  </w:txbxContent>
                </v:textbox>
                <w10:wrap type="square" anchorx="margin"/>
              </v:shape>
            </w:pict>
          </mc:Fallback>
        </mc:AlternateContent>
      </w:r>
      <w:r w:rsidR="00AA4947" w:rsidRPr="00D56140">
        <w:rPr>
          <w:rFonts w:asciiTheme="majorHAnsi" w:eastAsiaTheme="majorEastAsia" w:hAnsiTheme="majorHAnsi" w:cstheme="majorBidi"/>
          <w:color w:val="2F5496" w:themeColor="accent1" w:themeShade="BF"/>
          <w:sz w:val="32"/>
          <w:szCs w:val="32"/>
        </w:rPr>
        <w:t>Annex 1</w:t>
      </w:r>
      <w:r>
        <w:rPr>
          <w:rFonts w:eastAsia="Calibri" w:cs="Times New Roman"/>
          <w:color w:val="333333"/>
        </w:rPr>
        <w:br w:type="page"/>
      </w:r>
    </w:p>
    <w:p w14:paraId="0EE9BEA0" w14:textId="77777777" w:rsidR="006B6DD2" w:rsidRDefault="006B6DD2" w:rsidP="00371853">
      <w:pPr>
        <w:spacing w:after="0" w:line="276" w:lineRule="auto"/>
        <w:jc w:val="both"/>
        <w:rPr>
          <w:rFonts w:eastAsia="Calibri" w:cs="Times New Roman"/>
          <w:color w:val="333333"/>
        </w:rPr>
      </w:pPr>
    </w:p>
    <w:p w14:paraId="656AC2C2" w14:textId="564B5E6F" w:rsidR="006B6DD2" w:rsidRPr="00E32960" w:rsidRDefault="006B6DD2" w:rsidP="006B6DD2">
      <w:pPr>
        <w:pStyle w:val="Heading1"/>
      </w:pPr>
      <w:bookmarkStart w:id="107" w:name="_Toc10740065"/>
      <w:bookmarkStart w:id="108" w:name="_Toc12503539"/>
      <w:r w:rsidRPr="00371853">
        <w:t xml:space="preserve">Annex </w:t>
      </w:r>
      <w:r w:rsidR="00D56140">
        <w:t>2</w:t>
      </w:r>
      <w:r w:rsidRPr="00371853">
        <w:t xml:space="preserve">. </w:t>
      </w:r>
      <w:r w:rsidRPr="00E32960">
        <w:t xml:space="preserve">Entrepreneurship Ecosystem Diagnostic </w:t>
      </w:r>
      <w:r>
        <w:t xml:space="preserve">(EED) </w:t>
      </w:r>
      <w:r w:rsidRPr="00E32960">
        <w:t>To</w:t>
      </w:r>
      <w:r>
        <w:t>olkit</w:t>
      </w:r>
      <w:bookmarkEnd w:id="107"/>
      <w:bookmarkEnd w:id="108"/>
    </w:p>
    <w:p w14:paraId="075DC954" w14:textId="77777777" w:rsidR="006B6DD2" w:rsidRDefault="006B6DD2" w:rsidP="00371853">
      <w:pPr>
        <w:spacing w:after="0" w:line="276" w:lineRule="auto"/>
        <w:jc w:val="both"/>
        <w:rPr>
          <w:rFonts w:eastAsia="Calibri" w:cs="Times New Roman"/>
          <w:color w:val="333333"/>
        </w:rPr>
      </w:pPr>
    </w:p>
    <w:p w14:paraId="30770100" w14:textId="77777777" w:rsidR="006B6DD2" w:rsidRDefault="006B6DD2" w:rsidP="00371853">
      <w:pPr>
        <w:spacing w:after="0" w:line="276" w:lineRule="auto"/>
        <w:jc w:val="both"/>
        <w:rPr>
          <w:rFonts w:eastAsia="Calibri" w:cs="Times New Roman"/>
          <w:color w:val="333333"/>
        </w:rPr>
      </w:pPr>
    </w:p>
    <w:p w14:paraId="2BD15FEB" w14:textId="54ED40E6" w:rsidR="00371853" w:rsidRDefault="00371853" w:rsidP="00371853">
      <w:pPr>
        <w:spacing w:after="0" w:line="276" w:lineRule="auto"/>
        <w:jc w:val="both"/>
        <w:rPr>
          <w:rFonts w:eastAsia="Calibri" w:cs="Times New Roman"/>
          <w:color w:val="333333"/>
        </w:rPr>
      </w:pPr>
      <w:r>
        <w:rPr>
          <w:rFonts w:eastAsia="Calibri" w:cs="Times New Roman"/>
          <w:color w:val="333333"/>
        </w:rPr>
        <w:t>The EED toolkit relies on a framework used to assess 1) the current environment, 2) strengths &amp; successes, 3) weaknesses &amp; barriers, and 4) opportunities for growth across the six domains of an entrepreneurship ecosystem identified by the Babson Entrepreneurship Ecosystem Project: policy, financial capital, markets, culture, human capital, and supports.</w:t>
      </w:r>
      <w:r>
        <w:rPr>
          <w:rFonts w:eastAsia="Calibri" w:cs="Times New Roman"/>
          <w:vertAlign w:val="superscript"/>
        </w:rPr>
        <w:footnoteReference w:id="16"/>
      </w:r>
      <w:r>
        <w:rPr>
          <w:rFonts w:eastAsia="Calibri" w:cs="Times New Roman"/>
          <w:color w:val="333333"/>
        </w:rPr>
        <w:t xml:space="preserve"> </w:t>
      </w:r>
    </w:p>
    <w:p w14:paraId="1A5977F7" w14:textId="77777777" w:rsidR="00371853" w:rsidRDefault="00371853" w:rsidP="00371853">
      <w:pPr>
        <w:numPr>
          <w:ilvl w:val="0"/>
          <w:numId w:val="39"/>
        </w:numPr>
        <w:spacing w:after="60" w:line="276" w:lineRule="auto"/>
        <w:jc w:val="both"/>
        <w:rPr>
          <w:rFonts w:eastAsiaTheme="minorEastAsia" w:cs="Times New Roman"/>
        </w:rPr>
      </w:pPr>
      <w:r>
        <w:rPr>
          <w:rFonts w:eastAsia="Calibri" w:cs="Times New Roman"/>
          <w:u w:val="single"/>
        </w:rPr>
        <w:t>Policy</w:t>
      </w:r>
      <w:r>
        <w:rPr>
          <w:rFonts w:eastAsia="Calibri" w:cs="Times New Roman"/>
        </w:rPr>
        <w:t xml:space="preserve"> – Laws and regulations affecting digital entrepreneurship.</w:t>
      </w:r>
    </w:p>
    <w:p w14:paraId="755BFE0B" w14:textId="77777777" w:rsidR="00371853" w:rsidRDefault="00371853" w:rsidP="00371853">
      <w:pPr>
        <w:numPr>
          <w:ilvl w:val="0"/>
          <w:numId w:val="39"/>
        </w:numPr>
        <w:spacing w:after="60" w:line="276" w:lineRule="auto"/>
        <w:jc w:val="both"/>
        <w:rPr>
          <w:rFonts w:eastAsiaTheme="minorEastAsia" w:cs="Times New Roman"/>
        </w:rPr>
      </w:pPr>
      <w:r>
        <w:rPr>
          <w:rFonts w:eastAsia="Calibri" w:cs="Times New Roman"/>
          <w:u w:val="single"/>
        </w:rPr>
        <w:t xml:space="preserve">Financial Capital </w:t>
      </w:r>
      <w:r>
        <w:rPr>
          <w:rFonts w:eastAsia="Calibri" w:cs="Times New Roman"/>
        </w:rPr>
        <w:t>– Sources of capital available for digital entrepreneurs, including debt, equity, grants and blended financing.</w:t>
      </w:r>
    </w:p>
    <w:p w14:paraId="652DD87E" w14:textId="77777777" w:rsidR="00371853" w:rsidRDefault="00371853" w:rsidP="00371853">
      <w:pPr>
        <w:numPr>
          <w:ilvl w:val="0"/>
          <w:numId w:val="39"/>
        </w:numPr>
        <w:spacing w:after="60" w:line="276" w:lineRule="auto"/>
        <w:jc w:val="both"/>
        <w:rPr>
          <w:rFonts w:eastAsiaTheme="minorEastAsia" w:cs="Times New Roman"/>
        </w:rPr>
      </w:pPr>
      <w:r>
        <w:rPr>
          <w:rFonts w:eastAsia="Calibri" w:cs="Times New Roman"/>
          <w:u w:val="single"/>
        </w:rPr>
        <w:t xml:space="preserve">Markets </w:t>
      </w:r>
      <w:r>
        <w:rPr>
          <w:rFonts w:eastAsia="Calibri" w:cs="Times New Roman"/>
        </w:rPr>
        <w:t>– Existence of early customers and distribution channels and connectivity of entrepreneurial networks.</w:t>
      </w:r>
    </w:p>
    <w:p w14:paraId="2AD73437" w14:textId="77777777" w:rsidR="00371853" w:rsidRDefault="00371853" w:rsidP="00371853">
      <w:pPr>
        <w:numPr>
          <w:ilvl w:val="0"/>
          <w:numId w:val="39"/>
        </w:numPr>
        <w:spacing w:after="60" w:line="276" w:lineRule="auto"/>
        <w:jc w:val="both"/>
        <w:rPr>
          <w:rFonts w:eastAsiaTheme="minorEastAsia" w:cs="Times New Roman"/>
        </w:rPr>
      </w:pPr>
      <w:r>
        <w:rPr>
          <w:rFonts w:eastAsia="Calibri" w:cs="Times New Roman"/>
          <w:u w:val="single"/>
        </w:rPr>
        <w:t xml:space="preserve">Culture </w:t>
      </w:r>
      <w:r>
        <w:rPr>
          <w:rFonts w:eastAsia="Calibri" w:cs="Times New Roman"/>
        </w:rPr>
        <w:t>– Societal attitudes toward entrepreneurship and availability of role models.</w:t>
      </w:r>
    </w:p>
    <w:p w14:paraId="1CFADEAD" w14:textId="77777777" w:rsidR="00371853" w:rsidRDefault="00371853" w:rsidP="00371853">
      <w:pPr>
        <w:numPr>
          <w:ilvl w:val="0"/>
          <w:numId w:val="39"/>
        </w:numPr>
        <w:spacing w:after="60" w:line="276" w:lineRule="auto"/>
        <w:jc w:val="both"/>
        <w:rPr>
          <w:rFonts w:eastAsiaTheme="minorEastAsia" w:cs="Times New Roman"/>
        </w:rPr>
      </w:pPr>
      <w:r>
        <w:rPr>
          <w:rFonts w:eastAsia="Calibri" w:cs="Times New Roman"/>
          <w:u w:val="single"/>
        </w:rPr>
        <w:t xml:space="preserve">Human Capital </w:t>
      </w:r>
      <w:r>
        <w:rPr>
          <w:rFonts w:eastAsia="Calibri" w:cs="Times New Roman"/>
        </w:rPr>
        <w:t>– State of educational institutions and access to skilled labor.</w:t>
      </w:r>
    </w:p>
    <w:p w14:paraId="5F3D4B44" w14:textId="77777777" w:rsidR="00371853" w:rsidRDefault="00371853" w:rsidP="00371853">
      <w:pPr>
        <w:numPr>
          <w:ilvl w:val="0"/>
          <w:numId w:val="39"/>
        </w:numPr>
        <w:spacing w:after="60" w:line="276" w:lineRule="auto"/>
        <w:jc w:val="both"/>
        <w:rPr>
          <w:rFonts w:eastAsiaTheme="minorEastAsia" w:cs="Times New Roman"/>
        </w:rPr>
      </w:pPr>
      <w:r>
        <w:rPr>
          <w:rFonts w:eastAsia="Calibri" w:cs="Times New Roman"/>
          <w:u w:val="single"/>
        </w:rPr>
        <w:t xml:space="preserve">Supports </w:t>
      </w:r>
      <w:r>
        <w:rPr>
          <w:rFonts w:eastAsia="Calibri" w:cs="Times New Roman"/>
        </w:rPr>
        <w:t>– Infrastructure and support professional services available through incubators and accelerator including entrepreneur friendly associations and other non-governmental institutions.</w:t>
      </w:r>
    </w:p>
    <w:p w14:paraId="4D7D674A" w14:textId="77777777" w:rsidR="00371853" w:rsidRDefault="00371853" w:rsidP="00371853">
      <w:pPr>
        <w:spacing w:after="60" w:line="276" w:lineRule="auto"/>
        <w:jc w:val="both"/>
        <w:rPr>
          <w:rFonts w:eastAsiaTheme="minorEastAsia" w:cs="Times New Roman"/>
        </w:rPr>
      </w:pPr>
      <w:r>
        <w:rPr>
          <w:rFonts w:eastAsiaTheme="minorEastAsia" w:cs="Times New Roman"/>
        </w:rPr>
        <w:t xml:space="preserve">More specifically, the table below includes specific indicators that are relevant to each domain. </w:t>
      </w:r>
    </w:p>
    <w:p w14:paraId="5EF057D3" w14:textId="77777777" w:rsidR="00371853" w:rsidRDefault="00371853" w:rsidP="00371853">
      <w:pPr>
        <w:spacing w:after="0" w:line="240" w:lineRule="auto"/>
        <w:rPr>
          <w:rFonts w:eastAsiaTheme="minorEastAsia" w:cs="Times New Roman"/>
        </w:rPr>
      </w:pPr>
    </w:p>
    <w:tbl>
      <w:tblPr>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1"/>
        <w:gridCol w:w="1358"/>
        <w:gridCol w:w="1540"/>
        <w:gridCol w:w="1406"/>
        <w:gridCol w:w="1633"/>
        <w:gridCol w:w="1662"/>
      </w:tblGrid>
      <w:tr w:rsidR="00371853" w14:paraId="0E46AA95" w14:textId="77777777" w:rsidTr="006146E4">
        <w:trPr>
          <w:trHeight w:val="480"/>
        </w:trPr>
        <w:tc>
          <w:tcPr>
            <w:tcW w:w="1760" w:type="dxa"/>
            <w:tcBorders>
              <w:top w:val="single" w:sz="4" w:space="0" w:color="000000"/>
              <w:left w:val="single" w:sz="4" w:space="0" w:color="000000"/>
              <w:bottom w:val="single" w:sz="4" w:space="0" w:color="000000"/>
              <w:right w:val="single" w:sz="4" w:space="0" w:color="000000"/>
            </w:tcBorders>
            <w:shd w:val="clear" w:color="auto" w:fill="45AE95"/>
            <w:vAlign w:val="center"/>
            <w:hideMark/>
          </w:tcPr>
          <w:p w14:paraId="4566209B" w14:textId="77777777" w:rsidR="00371853" w:rsidRDefault="00371853" w:rsidP="006146E4">
            <w:pPr>
              <w:spacing w:after="0" w:line="240" w:lineRule="auto"/>
              <w:jc w:val="center"/>
              <w:rPr>
                <w:rFonts w:eastAsiaTheme="minorEastAsia" w:cs="Times New Roman"/>
              </w:rPr>
            </w:pPr>
            <w:r>
              <w:rPr>
                <w:rFonts w:eastAsia="Calibri" w:cs="Times New Roman"/>
                <w:b/>
              </w:rPr>
              <w:t>Policy</w:t>
            </w:r>
          </w:p>
        </w:tc>
        <w:tc>
          <w:tcPr>
            <w:tcW w:w="1357" w:type="dxa"/>
            <w:tcBorders>
              <w:top w:val="single" w:sz="4" w:space="0" w:color="000000"/>
              <w:left w:val="single" w:sz="4" w:space="0" w:color="000000"/>
              <w:bottom w:val="single" w:sz="4" w:space="0" w:color="000000"/>
              <w:right w:val="single" w:sz="4" w:space="0" w:color="000000"/>
            </w:tcBorders>
            <w:shd w:val="clear" w:color="auto" w:fill="A3C73A"/>
            <w:vAlign w:val="center"/>
            <w:hideMark/>
          </w:tcPr>
          <w:p w14:paraId="79FDA3CF" w14:textId="77777777" w:rsidR="00371853" w:rsidRDefault="00371853" w:rsidP="006146E4">
            <w:pPr>
              <w:spacing w:after="0" w:line="240" w:lineRule="auto"/>
              <w:jc w:val="center"/>
              <w:rPr>
                <w:rFonts w:eastAsiaTheme="minorEastAsia" w:cs="Times New Roman"/>
              </w:rPr>
            </w:pPr>
            <w:r>
              <w:rPr>
                <w:rFonts w:eastAsia="Calibri" w:cs="Times New Roman"/>
                <w:b/>
              </w:rPr>
              <w:t>Financial Capital</w:t>
            </w:r>
          </w:p>
        </w:tc>
        <w:tc>
          <w:tcPr>
            <w:tcW w:w="1539" w:type="dxa"/>
            <w:tcBorders>
              <w:top w:val="single" w:sz="4" w:space="0" w:color="000000"/>
              <w:left w:val="single" w:sz="4" w:space="0" w:color="000000"/>
              <w:bottom w:val="single" w:sz="4" w:space="0" w:color="000000"/>
              <w:right w:val="single" w:sz="4" w:space="0" w:color="000000"/>
            </w:tcBorders>
            <w:shd w:val="clear" w:color="auto" w:fill="EEC500"/>
            <w:vAlign w:val="center"/>
            <w:hideMark/>
          </w:tcPr>
          <w:p w14:paraId="128243AC" w14:textId="77777777" w:rsidR="00371853" w:rsidRDefault="00371853" w:rsidP="006146E4">
            <w:pPr>
              <w:spacing w:after="0" w:line="240" w:lineRule="auto"/>
              <w:jc w:val="center"/>
              <w:rPr>
                <w:rFonts w:eastAsiaTheme="minorEastAsia" w:cs="Times New Roman"/>
              </w:rPr>
            </w:pPr>
            <w:r>
              <w:rPr>
                <w:rFonts w:eastAsia="Calibri" w:cs="Times New Roman"/>
                <w:b/>
              </w:rPr>
              <w:t>Markets</w:t>
            </w:r>
          </w:p>
        </w:tc>
        <w:tc>
          <w:tcPr>
            <w:tcW w:w="1405" w:type="dxa"/>
            <w:tcBorders>
              <w:top w:val="single" w:sz="4" w:space="0" w:color="000000"/>
              <w:left w:val="single" w:sz="4" w:space="0" w:color="000000"/>
              <w:bottom w:val="single" w:sz="4" w:space="0" w:color="000000"/>
              <w:right w:val="single" w:sz="4" w:space="0" w:color="000000"/>
            </w:tcBorders>
            <w:shd w:val="clear" w:color="auto" w:fill="F49424"/>
            <w:vAlign w:val="center"/>
            <w:hideMark/>
          </w:tcPr>
          <w:p w14:paraId="2A6AE08C" w14:textId="77777777" w:rsidR="00371853" w:rsidRDefault="00371853" w:rsidP="006146E4">
            <w:pPr>
              <w:spacing w:after="0" w:line="240" w:lineRule="auto"/>
              <w:jc w:val="center"/>
              <w:rPr>
                <w:rFonts w:eastAsiaTheme="minorEastAsia" w:cs="Times New Roman"/>
              </w:rPr>
            </w:pPr>
            <w:r>
              <w:rPr>
                <w:rFonts w:eastAsia="Calibri" w:cs="Times New Roman"/>
                <w:b/>
              </w:rPr>
              <w:t>Culture</w:t>
            </w:r>
          </w:p>
        </w:tc>
        <w:tc>
          <w:tcPr>
            <w:tcW w:w="1632" w:type="dxa"/>
            <w:tcBorders>
              <w:top w:val="single" w:sz="4" w:space="0" w:color="000000"/>
              <w:left w:val="single" w:sz="4" w:space="0" w:color="000000"/>
              <w:bottom w:val="single" w:sz="4" w:space="0" w:color="000000"/>
              <w:right w:val="single" w:sz="4" w:space="0" w:color="000000"/>
            </w:tcBorders>
            <w:shd w:val="clear" w:color="auto" w:fill="EC5D47"/>
            <w:vAlign w:val="center"/>
            <w:hideMark/>
          </w:tcPr>
          <w:p w14:paraId="61352423" w14:textId="77777777" w:rsidR="00371853" w:rsidRDefault="00371853" w:rsidP="006146E4">
            <w:pPr>
              <w:spacing w:after="0" w:line="240" w:lineRule="auto"/>
              <w:jc w:val="center"/>
              <w:rPr>
                <w:rFonts w:eastAsiaTheme="minorEastAsia" w:cs="Times New Roman"/>
              </w:rPr>
            </w:pPr>
            <w:r>
              <w:rPr>
                <w:rFonts w:eastAsia="Calibri" w:cs="Times New Roman"/>
                <w:b/>
              </w:rPr>
              <w:t>Human Capital</w:t>
            </w:r>
          </w:p>
        </w:tc>
        <w:tc>
          <w:tcPr>
            <w:tcW w:w="1661" w:type="dxa"/>
            <w:tcBorders>
              <w:top w:val="single" w:sz="4" w:space="0" w:color="000000"/>
              <w:left w:val="single" w:sz="4" w:space="0" w:color="000000"/>
              <w:bottom w:val="single" w:sz="4" w:space="0" w:color="000000"/>
              <w:right w:val="single" w:sz="4" w:space="0" w:color="000000"/>
            </w:tcBorders>
            <w:shd w:val="clear" w:color="auto" w:fill="A6554B"/>
            <w:vAlign w:val="center"/>
            <w:hideMark/>
          </w:tcPr>
          <w:p w14:paraId="4EB84548" w14:textId="77777777" w:rsidR="00371853" w:rsidRDefault="00371853" w:rsidP="006146E4">
            <w:pPr>
              <w:spacing w:after="0" w:line="240" w:lineRule="auto"/>
              <w:jc w:val="center"/>
              <w:rPr>
                <w:rFonts w:eastAsiaTheme="minorEastAsia" w:cs="Times New Roman"/>
              </w:rPr>
            </w:pPr>
            <w:r>
              <w:rPr>
                <w:rFonts w:eastAsia="Calibri" w:cs="Times New Roman"/>
                <w:b/>
              </w:rPr>
              <w:t>Infrastructure and Supports</w:t>
            </w:r>
          </w:p>
        </w:tc>
      </w:tr>
      <w:tr w:rsidR="00371853" w14:paraId="49E600B7" w14:textId="77777777" w:rsidTr="006146E4">
        <w:trPr>
          <w:trHeight w:val="3400"/>
        </w:trPr>
        <w:tc>
          <w:tcPr>
            <w:tcW w:w="1760" w:type="dxa"/>
            <w:tcBorders>
              <w:top w:val="single" w:sz="4" w:space="0" w:color="000000"/>
              <w:left w:val="single" w:sz="4" w:space="0" w:color="000000"/>
              <w:bottom w:val="single" w:sz="4" w:space="0" w:color="000000"/>
              <w:right w:val="single" w:sz="4" w:space="0" w:color="000000"/>
            </w:tcBorders>
            <w:hideMark/>
          </w:tcPr>
          <w:p w14:paraId="480ADE49" w14:textId="77777777" w:rsidR="00371853" w:rsidRDefault="00371853" w:rsidP="006146E4">
            <w:pPr>
              <w:numPr>
                <w:ilvl w:val="0"/>
                <w:numId w:val="40"/>
              </w:numPr>
              <w:spacing w:after="0" w:line="240" w:lineRule="auto"/>
              <w:ind w:left="115" w:hanging="141"/>
              <w:contextualSpacing/>
              <w:rPr>
                <w:rFonts w:eastAsia="Calibri" w:cs="Times New Roman"/>
              </w:rPr>
            </w:pPr>
            <w:r>
              <w:rPr>
                <w:rFonts w:eastAsia="Calibri" w:cs="Times New Roman"/>
              </w:rPr>
              <w:t>R&amp;D Environment &amp; Institutions</w:t>
            </w:r>
          </w:p>
          <w:p w14:paraId="63FE6D49" w14:textId="77777777" w:rsidR="00371853" w:rsidRDefault="00371853" w:rsidP="006146E4">
            <w:pPr>
              <w:numPr>
                <w:ilvl w:val="0"/>
                <w:numId w:val="40"/>
              </w:numPr>
              <w:spacing w:after="0" w:line="240" w:lineRule="auto"/>
              <w:ind w:left="115" w:hanging="141"/>
              <w:contextualSpacing/>
              <w:rPr>
                <w:rFonts w:eastAsia="Calibri" w:cs="Times New Roman"/>
              </w:rPr>
            </w:pPr>
            <w:r>
              <w:rPr>
                <w:rFonts w:eastAsia="Calibri" w:cs="Times New Roman"/>
              </w:rPr>
              <w:t>Venture-friendly legislation</w:t>
            </w:r>
          </w:p>
          <w:p w14:paraId="32B37066" w14:textId="77777777" w:rsidR="00371853" w:rsidRDefault="00371853" w:rsidP="006146E4">
            <w:pPr>
              <w:numPr>
                <w:ilvl w:val="0"/>
                <w:numId w:val="40"/>
              </w:numPr>
              <w:spacing w:after="0" w:line="240" w:lineRule="auto"/>
              <w:ind w:left="115" w:hanging="141"/>
              <w:contextualSpacing/>
              <w:rPr>
                <w:rFonts w:eastAsia="Calibri" w:cs="Times New Roman"/>
              </w:rPr>
            </w:pPr>
            <w:r>
              <w:rPr>
                <w:rFonts w:eastAsia="Calibri" w:cs="Times New Roman"/>
              </w:rPr>
              <w:t>Taxation</w:t>
            </w:r>
          </w:p>
          <w:p w14:paraId="28EBBB98" w14:textId="77777777" w:rsidR="00371853" w:rsidRDefault="00371853" w:rsidP="006146E4">
            <w:pPr>
              <w:numPr>
                <w:ilvl w:val="0"/>
                <w:numId w:val="40"/>
              </w:numPr>
              <w:spacing w:after="0" w:line="240" w:lineRule="auto"/>
              <w:ind w:left="115" w:hanging="141"/>
              <w:contextualSpacing/>
              <w:rPr>
                <w:rFonts w:eastAsia="Calibri" w:cs="Times New Roman"/>
              </w:rPr>
            </w:pPr>
            <w:r>
              <w:rPr>
                <w:rFonts w:eastAsia="Calibri" w:cs="Times New Roman"/>
              </w:rPr>
              <w:t>Foreign business friendliness</w:t>
            </w:r>
          </w:p>
          <w:p w14:paraId="76887515" w14:textId="77777777" w:rsidR="00371853" w:rsidRDefault="00371853" w:rsidP="006146E4">
            <w:pPr>
              <w:numPr>
                <w:ilvl w:val="0"/>
                <w:numId w:val="40"/>
              </w:numPr>
              <w:spacing w:after="0" w:line="240" w:lineRule="auto"/>
              <w:ind w:left="115" w:hanging="141"/>
              <w:contextualSpacing/>
              <w:rPr>
                <w:rFonts w:eastAsia="Calibri" w:cs="Times New Roman"/>
              </w:rPr>
            </w:pPr>
            <w:r>
              <w:rPr>
                <w:rFonts w:eastAsia="Calibri" w:cs="Times New Roman"/>
              </w:rPr>
              <w:t>Digital industry support and incentives</w:t>
            </w:r>
          </w:p>
          <w:p w14:paraId="6C008FAD" w14:textId="77777777" w:rsidR="00371853" w:rsidRDefault="00371853" w:rsidP="006146E4">
            <w:pPr>
              <w:numPr>
                <w:ilvl w:val="0"/>
                <w:numId w:val="40"/>
              </w:numPr>
              <w:spacing w:after="0" w:line="240" w:lineRule="auto"/>
              <w:ind w:left="115" w:hanging="141"/>
              <w:contextualSpacing/>
              <w:rPr>
                <w:rFonts w:eastAsia="Calibri" w:cs="Times New Roman"/>
              </w:rPr>
            </w:pPr>
            <w:r>
              <w:rPr>
                <w:rFonts w:eastAsia="Calibri" w:cs="Times New Roman"/>
              </w:rPr>
              <w:t>Entrepreneurship strategy and regulatory framework incentives (e.g. tax benefits)</w:t>
            </w:r>
          </w:p>
        </w:tc>
        <w:tc>
          <w:tcPr>
            <w:tcW w:w="1357" w:type="dxa"/>
            <w:tcBorders>
              <w:top w:val="single" w:sz="4" w:space="0" w:color="000000"/>
              <w:left w:val="single" w:sz="4" w:space="0" w:color="000000"/>
              <w:bottom w:val="single" w:sz="4" w:space="0" w:color="000000"/>
              <w:right w:val="single" w:sz="4" w:space="0" w:color="000000"/>
            </w:tcBorders>
            <w:hideMark/>
          </w:tcPr>
          <w:p w14:paraId="6C94D329"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Angel Investors</w:t>
            </w:r>
          </w:p>
          <w:p w14:paraId="2475BAB7"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Venture Capital/Private Equity</w:t>
            </w:r>
          </w:p>
          <w:p w14:paraId="5388CAD5"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Debt Finance</w:t>
            </w:r>
          </w:p>
          <w:p w14:paraId="41DA2ABD"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Capital Markets</w:t>
            </w:r>
          </w:p>
          <w:p w14:paraId="69A67AEF"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Foreign investment</w:t>
            </w:r>
          </w:p>
        </w:tc>
        <w:tc>
          <w:tcPr>
            <w:tcW w:w="1539" w:type="dxa"/>
            <w:tcBorders>
              <w:top w:val="single" w:sz="4" w:space="0" w:color="000000"/>
              <w:left w:val="single" w:sz="4" w:space="0" w:color="000000"/>
              <w:bottom w:val="single" w:sz="4" w:space="0" w:color="000000"/>
              <w:right w:val="single" w:sz="4" w:space="0" w:color="000000"/>
            </w:tcBorders>
            <w:hideMark/>
          </w:tcPr>
          <w:p w14:paraId="32C720B4"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Availability and pricing of digital devices and platforms</w:t>
            </w:r>
          </w:p>
          <w:p w14:paraId="1C3E793A"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Availability and pricing of Internet access</w:t>
            </w:r>
          </w:p>
          <w:p w14:paraId="23BD65C3"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Digital commerce channels and value chains</w:t>
            </w:r>
          </w:p>
          <w:p w14:paraId="33F5AC74"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Financial inclusion levels</w:t>
            </w:r>
          </w:p>
        </w:tc>
        <w:tc>
          <w:tcPr>
            <w:tcW w:w="1405" w:type="dxa"/>
            <w:tcBorders>
              <w:top w:val="single" w:sz="4" w:space="0" w:color="000000"/>
              <w:left w:val="single" w:sz="4" w:space="0" w:color="000000"/>
              <w:bottom w:val="single" w:sz="4" w:space="0" w:color="000000"/>
              <w:right w:val="single" w:sz="4" w:space="0" w:color="000000"/>
            </w:tcBorders>
            <w:hideMark/>
          </w:tcPr>
          <w:p w14:paraId="72E5A3F9"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Business activity (esp. in creative sectors)</w:t>
            </w:r>
          </w:p>
          <w:p w14:paraId="6ED06C62"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Attitudes toward entrepreneurship</w:t>
            </w:r>
          </w:p>
          <w:p w14:paraId="4CDADF37"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Risk tolerance</w:t>
            </w:r>
          </w:p>
          <w:p w14:paraId="03B22550"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Confidence</w:t>
            </w:r>
          </w:p>
          <w:p w14:paraId="644E29DA"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Social media attention</w:t>
            </w:r>
          </w:p>
          <w:p w14:paraId="25A88E74"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Role models</w:t>
            </w:r>
          </w:p>
        </w:tc>
        <w:tc>
          <w:tcPr>
            <w:tcW w:w="1632" w:type="dxa"/>
            <w:tcBorders>
              <w:top w:val="single" w:sz="4" w:space="0" w:color="000000"/>
              <w:left w:val="single" w:sz="4" w:space="0" w:color="000000"/>
              <w:bottom w:val="single" w:sz="4" w:space="0" w:color="000000"/>
              <w:right w:val="single" w:sz="4" w:space="0" w:color="000000"/>
            </w:tcBorders>
            <w:hideMark/>
          </w:tcPr>
          <w:p w14:paraId="4E6DAE17"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Availability of software developers</w:t>
            </w:r>
          </w:p>
          <w:p w14:paraId="60BC79CD"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Skill-levels of developers</w:t>
            </w:r>
          </w:p>
          <w:p w14:paraId="39999852"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Managerial and organizational skill levels</w:t>
            </w:r>
          </w:p>
          <w:p w14:paraId="54755C60"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Creative skills</w:t>
            </w:r>
          </w:p>
          <w:p w14:paraId="3565BFDE"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General availability of skilled labor</w:t>
            </w:r>
          </w:p>
        </w:tc>
        <w:tc>
          <w:tcPr>
            <w:tcW w:w="1661" w:type="dxa"/>
            <w:tcBorders>
              <w:top w:val="single" w:sz="4" w:space="0" w:color="000000"/>
              <w:left w:val="single" w:sz="4" w:space="0" w:color="000000"/>
              <w:bottom w:val="single" w:sz="4" w:space="0" w:color="000000"/>
              <w:right w:val="single" w:sz="4" w:space="0" w:color="000000"/>
            </w:tcBorders>
          </w:tcPr>
          <w:p w14:paraId="1B7E7E31"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Internet speed</w:t>
            </w:r>
          </w:p>
          <w:p w14:paraId="5EBBEFC5"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Energy</w:t>
            </w:r>
          </w:p>
          <w:p w14:paraId="6AEA4DD4"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Transportation &amp; logistics</w:t>
            </w:r>
          </w:p>
          <w:p w14:paraId="39B8A21F"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Tech hubs, co-working places, incubators, and accelerators</w:t>
            </w:r>
          </w:p>
          <w:p w14:paraId="7B304C82"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Professional (social) networks</w:t>
            </w:r>
          </w:p>
          <w:p w14:paraId="06F421D9"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Entrepreneur-friendly associations</w:t>
            </w:r>
          </w:p>
          <w:p w14:paraId="5EC336CE" w14:textId="77777777" w:rsidR="00371853" w:rsidRDefault="00371853" w:rsidP="006146E4">
            <w:pPr>
              <w:numPr>
                <w:ilvl w:val="0"/>
                <w:numId w:val="40"/>
              </w:numPr>
              <w:spacing w:after="0" w:line="240" w:lineRule="auto"/>
              <w:ind w:left="159" w:hanging="136"/>
              <w:contextualSpacing/>
              <w:rPr>
                <w:rFonts w:eastAsia="Calibri" w:cs="Times New Roman"/>
              </w:rPr>
            </w:pPr>
            <w:r>
              <w:rPr>
                <w:rFonts w:eastAsia="Calibri" w:cs="Times New Roman"/>
              </w:rPr>
              <w:t>Events and conferences</w:t>
            </w:r>
          </w:p>
          <w:p w14:paraId="021A66CA" w14:textId="77777777" w:rsidR="00371853" w:rsidRDefault="00371853" w:rsidP="006146E4">
            <w:pPr>
              <w:spacing w:after="0" w:line="288" w:lineRule="auto"/>
              <w:contextualSpacing/>
              <w:rPr>
                <w:rFonts w:eastAsia="Calibri" w:cs="Times New Roman"/>
              </w:rPr>
            </w:pPr>
          </w:p>
        </w:tc>
      </w:tr>
    </w:tbl>
    <w:p w14:paraId="17B64234" w14:textId="77777777" w:rsidR="00371853" w:rsidRDefault="00371853" w:rsidP="00371853">
      <w:pPr>
        <w:spacing w:after="0"/>
        <w:jc w:val="both"/>
        <w:rPr>
          <w:rFonts w:cs="Times New Roman"/>
          <w:b/>
          <w:lang w:val="vi-VN"/>
        </w:rPr>
      </w:pPr>
    </w:p>
    <w:p w14:paraId="46168794" w14:textId="77777777" w:rsidR="00371853" w:rsidRPr="00E32960" w:rsidRDefault="00371853" w:rsidP="00371853"/>
    <w:p w14:paraId="4EFC39DA" w14:textId="6D320097" w:rsidR="00B52DEF" w:rsidRDefault="00931647" w:rsidP="00931647">
      <w:pPr>
        <w:pStyle w:val="Heading1"/>
      </w:pPr>
      <w:bookmarkStart w:id="109" w:name="_Toc10740066"/>
      <w:bookmarkStart w:id="110" w:name="_Toc12503540"/>
      <w:r>
        <w:t xml:space="preserve">Annex </w:t>
      </w:r>
      <w:r w:rsidR="00A40252">
        <w:t>3</w:t>
      </w:r>
      <w:r w:rsidR="00113A9D">
        <w:t xml:space="preserve">. </w:t>
      </w:r>
      <w:r w:rsidR="00B52DEF" w:rsidRPr="00B52DEF">
        <w:t xml:space="preserve">Plans and laws focused on MSMEs </w:t>
      </w:r>
      <w:r w:rsidR="00DC236B">
        <w:t xml:space="preserve">and </w:t>
      </w:r>
      <w:r w:rsidR="00DC236B" w:rsidRPr="00DC236B">
        <w:t xml:space="preserve">Entrepreneurship </w:t>
      </w:r>
      <w:r w:rsidR="00B52DEF" w:rsidRPr="00B52DEF">
        <w:t>in the Philippines</w:t>
      </w:r>
      <w:bookmarkEnd w:id="109"/>
      <w:bookmarkEnd w:id="110"/>
    </w:p>
    <w:p w14:paraId="142EB6E0" w14:textId="77777777" w:rsidR="009242C7" w:rsidRDefault="009242C7" w:rsidP="00B52DEF">
      <w:pPr>
        <w:spacing w:after="0" w:line="240" w:lineRule="auto"/>
        <w:jc w:val="both"/>
        <w:rPr>
          <w:rFonts w:ascii="Times" w:eastAsia="PMingLiU" w:hAnsi="Times" w:cs="Arial"/>
          <w:lang w:eastAsia="zh-TW"/>
        </w:rPr>
      </w:pPr>
    </w:p>
    <w:p w14:paraId="7CEF02E3" w14:textId="77777777" w:rsidR="00B52DEF" w:rsidRPr="00DC236B" w:rsidRDefault="00B52DEF" w:rsidP="00B52DEF">
      <w:pPr>
        <w:spacing w:after="0" w:line="240" w:lineRule="auto"/>
        <w:jc w:val="both"/>
        <w:rPr>
          <w:rFonts w:ascii="Times" w:eastAsia="PMingLiU" w:hAnsi="Times" w:cs="Arial"/>
          <w:b/>
          <w:lang w:eastAsia="zh-TW"/>
        </w:rPr>
      </w:pPr>
      <w:r w:rsidRPr="00DC236B">
        <w:rPr>
          <w:rFonts w:ascii="Times" w:eastAsia="PMingLiU" w:hAnsi="Times" w:cs="Arial"/>
          <w:b/>
          <w:lang w:eastAsia="zh-TW"/>
        </w:rPr>
        <w:t>National Development Plans</w:t>
      </w:r>
    </w:p>
    <w:tbl>
      <w:tblPr>
        <w:tblStyle w:val="TableGrid"/>
        <w:tblW w:w="0" w:type="auto"/>
        <w:tblLook w:val="04A0" w:firstRow="1" w:lastRow="0" w:firstColumn="1" w:lastColumn="0" w:noHBand="0" w:noVBand="1"/>
      </w:tblPr>
      <w:tblGrid>
        <w:gridCol w:w="2245"/>
        <w:gridCol w:w="7105"/>
      </w:tblGrid>
      <w:tr w:rsidR="00B52DEF" w:rsidRPr="00FF6DF5" w14:paraId="051D7C05" w14:textId="77777777" w:rsidTr="006146E4">
        <w:tc>
          <w:tcPr>
            <w:tcW w:w="2245" w:type="dxa"/>
          </w:tcPr>
          <w:p w14:paraId="784EBBF7" w14:textId="77777777" w:rsidR="00B52DEF" w:rsidRPr="00FF6DF5" w:rsidRDefault="00B52DEF" w:rsidP="006146E4">
            <w:pPr>
              <w:jc w:val="both"/>
              <w:rPr>
                <w:rFonts w:ascii="Times" w:hAnsi="Times" w:cs="Arial"/>
                <w:b/>
              </w:rPr>
            </w:pPr>
            <w:r w:rsidRPr="00FF6DF5">
              <w:rPr>
                <w:rFonts w:ascii="Times" w:hAnsi="Times" w:cs="Arial"/>
                <w:b/>
              </w:rPr>
              <w:t>Policy</w:t>
            </w:r>
          </w:p>
        </w:tc>
        <w:tc>
          <w:tcPr>
            <w:tcW w:w="7105" w:type="dxa"/>
          </w:tcPr>
          <w:p w14:paraId="7F8DFC85" w14:textId="77777777" w:rsidR="00B52DEF" w:rsidRPr="00FF6DF5" w:rsidRDefault="00B52DEF" w:rsidP="006146E4">
            <w:pPr>
              <w:jc w:val="both"/>
              <w:rPr>
                <w:rFonts w:ascii="Times" w:hAnsi="Times" w:cs="Arial"/>
                <w:b/>
              </w:rPr>
            </w:pPr>
            <w:r w:rsidRPr="00FF6DF5">
              <w:rPr>
                <w:rFonts w:ascii="Times" w:hAnsi="Times" w:cs="Arial"/>
                <w:b/>
              </w:rPr>
              <w:t>Description</w:t>
            </w:r>
          </w:p>
        </w:tc>
      </w:tr>
      <w:tr w:rsidR="00B52DEF" w:rsidRPr="00FF6DF5" w14:paraId="396B79AA" w14:textId="77777777" w:rsidTr="006146E4">
        <w:tc>
          <w:tcPr>
            <w:tcW w:w="2245" w:type="dxa"/>
          </w:tcPr>
          <w:p w14:paraId="572B8F7A" w14:textId="77777777" w:rsidR="00B52DEF" w:rsidRPr="00FF6DF5" w:rsidRDefault="00B52DEF" w:rsidP="006146E4">
            <w:pPr>
              <w:jc w:val="both"/>
              <w:rPr>
                <w:rFonts w:ascii="Times" w:hAnsi="Times" w:cs="Arial"/>
              </w:rPr>
            </w:pPr>
            <w:r w:rsidRPr="00FF6DF5">
              <w:rPr>
                <w:rFonts w:ascii="Times" w:hAnsi="Times" w:cs="Arial"/>
              </w:rPr>
              <w:t>Philippine Development Plan 2017-2022 (national)</w:t>
            </w:r>
          </w:p>
        </w:tc>
        <w:tc>
          <w:tcPr>
            <w:tcW w:w="7105" w:type="dxa"/>
          </w:tcPr>
          <w:p w14:paraId="3D2C15FC" w14:textId="77777777" w:rsidR="00B52DEF" w:rsidRPr="00FF6DF5" w:rsidRDefault="00B52DEF" w:rsidP="006146E4">
            <w:pPr>
              <w:jc w:val="both"/>
              <w:rPr>
                <w:rFonts w:ascii="Times" w:hAnsi="Times" w:cs="Arial"/>
              </w:rPr>
            </w:pPr>
            <w:r w:rsidRPr="00FF6DF5">
              <w:rPr>
                <w:rFonts w:ascii="Times" w:hAnsi="Times" w:cs="Arial"/>
              </w:rPr>
              <w:t xml:space="preserve">- As part of supporting government’s goal of “inequality-reducing transformation”, MSMEs development is anchored on “expanding economic opportunities in industry and services through </w:t>
            </w:r>
            <w:proofErr w:type="spellStart"/>
            <w:r w:rsidRPr="00FF6DF5">
              <w:rPr>
                <w:rFonts w:ascii="Times" w:hAnsi="Times" w:cs="Arial"/>
                <w:i/>
              </w:rPr>
              <w:t>Trabaho</w:t>
            </w:r>
            <w:proofErr w:type="spellEnd"/>
            <w:r w:rsidRPr="00FF6DF5">
              <w:rPr>
                <w:rFonts w:ascii="Times" w:hAnsi="Times" w:cs="Arial"/>
                <w:i/>
              </w:rPr>
              <w:t xml:space="preserve"> at </w:t>
            </w:r>
            <w:proofErr w:type="spellStart"/>
            <w:r w:rsidRPr="00FF6DF5">
              <w:rPr>
                <w:rFonts w:ascii="Times" w:hAnsi="Times" w:cs="Arial"/>
                <w:i/>
              </w:rPr>
              <w:t>Negosyo</w:t>
            </w:r>
            <w:proofErr w:type="spellEnd"/>
            <w:r w:rsidRPr="00FF6DF5">
              <w:rPr>
                <w:rFonts w:ascii="Times" w:hAnsi="Times" w:cs="Arial"/>
              </w:rPr>
              <w:t>”</w:t>
            </w:r>
          </w:p>
          <w:p w14:paraId="5F543624" w14:textId="77777777" w:rsidR="00B52DEF" w:rsidRPr="00FF6DF5" w:rsidRDefault="00B52DEF" w:rsidP="00B52DEF">
            <w:pPr>
              <w:numPr>
                <w:ilvl w:val="0"/>
                <w:numId w:val="28"/>
              </w:numPr>
              <w:jc w:val="both"/>
              <w:rPr>
                <w:rFonts w:ascii="Times" w:hAnsi="Times" w:cs="Arial"/>
              </w:rPr>
            </w:pPr>
            <w:r w:rsidRPr="00FF6DF5">
              <w:rPr>
                <w:rFonts w:ascii="Times" w:hAnsi="Times" w:cs="Arial"/>
              </w:rPr>
              <w:t>Government programs supporting this goal include (a) improving backbone services (e.g., telecommunications, logistics) to facilitate MSME access to markets, (b) improving access to production networks, such as supporting linkages between MSMEs and large enterprises for GVC participation, (c) increasing financial access, (d) enhancing financial literacy through trainings, (c) assessing implementation of MSME laws</w:t>
            </w:r>
          </w:p>
          <w:p w14:paraId="3CADFBDD" w14:textId="77777777" w:rsidR="00B52DEF" w:rsidRPr="00FF6DF5" w:rsidRDefault="00B52DEF" w:rsidP="006146E4">
            <w:pPr>
              <w:jc w:val="both"/>
              <w:rPr>
                <w:rFonts w:ascii="Times" w:hAnsi="Times" w:cs="Arial"/>
              </w:rPr>
            </w:pPr>
            <w:r w:rsidRPr="00FF6DF5">
              <w:rPr>
                <w:rFonts w:ascii="Times" w:hAnsi="Times" w:cs="Arial"/>
              </w:rPr>
              <w:t xml:space="preserve">- As part of supporting government’s goal of “increasing growth potential”, MSMEs development, especially in the technology sector, is anchored on “providing support mechanisms for startups and </w:t>
            </w:r>
            <w:proofErr w:type="gramStart"/>
            <w:r w:rsidRPr="00FF6DF5">
              <w:rPr>
                <w:rFonts w:ascii="Times" w:hAnsi="Times" w:cs="Arial"/>
              </w:rPr>
              <w:t>MSMEs  in</w:t>
            </w:r>
            <w:proofErr w:type="gramEnd"/>
            <w:r w:rsidRPr="00FF6DF5">
              <w:rPr>
                <w:rFonts w:ascii="Times" w:hAnsi="Times" w:cs="Arial"/>
              </w:rPr>
              <w:t xml:space="preserve"> the regions”</w:t>
            </w:r>
          </w:p>
          <w:p w14:paraId="79A41FA1" w14:textId="77777777" w:rsidR="00B52DEF" w:rsidRPr="00FF6DF5" w:rsidRDefault="00B52DEF" w:rsidP="00B52DEF">
            <w:pPr>
              <w:numPr>
                <w:ilvl w:val="0"/>
                <w:numId w:val="28"/>
              </w:numPr>
              <w:jc w:val="both"/>
              <w:rPr>
                <w:rFonts w:ascii="Times" w:hAnsi="Times" w:cs="Arial"/>
              </w:rPr>
            </w:pPr>
            <w:r w:rsidRPr="00FF6DF5">
              <w:rPr>
                <w:rFonts w:ascii="Times" w:hAnsi="Times" w:cs="Arial"/>
              </w:rPr>
              <w:t>Government programs supporting this goal include (a) Small Enterprise Technology Upgrading Program, (b) Shared Service Facilities, (c) Startup Ecosystem Development Program, (d) creation of incubation centers and a “startup economic zone” (to connect start-ups with industries, including MNCs and other markets)</w:t>
            </w:r>
          </w:p>
          <w:p w14:paraId="285E553B" w14:textId="77777777" w:rsidR="00B52DEF" w:rsidRPr="00FF6DF5" w:rsidRDefault="00B52DEF" w:rsidP="006146E4">
            <w:pPr>
              <w:jc w:val="both"/>
              <w:rPr>
                <w:rFonts w:ascii="Times" w:hAnsi="Times" w:cs="Arial"/>
              </w:rPr>
            </w:pPr>
            <w:r w:rsidRPr="00FF6DF5">
              <w:rPr>
                <w:rFonts w:ascii="Times" w:hAnsi="Times" w:cs="Arial"/>
              </w:rPr>
              <w:t>- As part of supporting government’s goals of both “inequality-reducing transformation” and “increasing growth potential”, open trade policies will be pursued, such as encouraging businesses, especially MSMEs, “to maximize export opportunities and increase the utilization of preferential trading agreements”</w:t>
            </w:r>
          </w:p>
          <w:p w14:paraId="45F88815" w14:textId="77777777" w:rsidR="00B52DEF" w:rsidRPr="00FF6DF5" w:rsidRDefault="00B52DEF" w:rsidP="00B52DEF">
            <w:pPr>
              <w:numPr>
                <w:ilvl w:val="0"/>
                <w:numId w:val="28"/>
              </w:numPr>
              <w:jc w:val="both"/>
              <w:rPr>
                <w:rFonts w:ascii="Times" w:hAnsi="Times" w:cs="Arial"/>
              </w:rPr>
            </w:pPr>
            <w:r w:rsidRPr="00FF6DF5">
              <w:rPr>
                <w:rFonts w:ascii="Times" w:hAnsi="Times" w:cs="Arial"/>
              </w:rPr>
              <w:t>Government programs include (a) advocacy and capacity building programs for potential exporters, (b) provision of “comprehensive support packages for priority sectors with comparative advantage”, (c) promoting MSMEs as “either as a supplier or service provider to foreign investors during investment and trade promotion events and as possible technology partners through technology license agreements”</w:t>
            </w:r>
          </w:p>
          <w:p w14:paraId="6A896AB0" w14:textId="77777777" w:rsidR="00B52DEF" w:rsidRPr="00FF6DF5" w:rsidRDefault="00B52DEF" w:rsidP="006146E4">
            <w:pPr>
              <w:jc w:val="both"/>
              <w:rPr>
                <w:rFonts w:ascii="Times" w:hAnsi="Times" w:cs="Arial"/>
              </w:rPr>
            </w:pPr>
            <w:r w:rsidRPr="00FF6DF5">
              <w:rPr>
                <w:rFonts w:ascii="Times" w:hAnsi="Times" w:cs="Arial"/>
              </w:rPr>
              <w:t xml:space="preserve">- </w:t>
            </w:r>
            <w:proofErr w:type="gramStart"/>
            <w:r w:rsidRPr="00FF6DF5">
              <w:rPr>
                <w:rFonts w:ascii="Times" w:hAnsi="Times" w:cs="Arial"/>
              </w:rPr>
              <w:t>Also</w:t>
            </w:r>
            <w:proofErr w:type="gramEnd"/>
            <w:r w:rsidRPr="00FF6DF5">
              <w:rPr>
                <w:rFonts w:ascii="Times" w:hAnsi="Times" w:cs="Arial"/>
              </w:rPr>
              <w:t xml:space="preserve"> as part of supporting government’s goals of both “inequality-reducing transformation” and “increasing growth potential”, the plan also mentioned a “level playing field through National Competition Policy”, including for MSMEs </w:t>
            </w:r>
          </w:p>
          <w:p w14:paraId="34CED2B5" w14:textId="77777777" w:rsidR="00B52DEF" w:rsidRPr="00FF6DF5" w:rsidRDefault="00B52DEF" w:rsidP="00B52DEF">
            <w:pPr>
              <w:numPr>
                <w:ilvl w:val="0"/>
                <w:numId w:val="28"/>
              </w:numPr>
              <w:jc w:val="both"/>
              <w:rPr>
                <w:rFonts w:ascii="Times" w:hAnsi="Times" w:cs="Arial"/>
              </w:rPr>
            </w:pPr>
            <w:r w:rsidRPr="00FF6DF5">
              <w:rPr>
                <w:rFonts w:ascii="Times" w:hAnsi="Times" w:cs="Arial"/>
              </w:rPr>
              <w:t>Government policies to support this objective include: “(a) diminishing anti-competitive practices; (b) reducing barriers to entry; and (c) reducing limits to entrepreneurship to allow micro, small and medium enterprises to thrive”</w:t>
            </w:r>
          </w:p>
          <w:p w14:paraId="7D762B63" w14:textId="77777777" w:rsidR="00B52DEF" w:rsidRPr="00FF6DF5" w:rsidRDefault="00B52DEF" w:rsidP="006146E4">
            <w:pPr>
              <w:jc w:val="both"/>
              <w:rPr>
                <w:rFonts w:ascii="Times" w:hAnsi="Times" w:cs="Arial"/>
              </w:rPr>
            </w:pPr>
            <w:r w:rsidRPr="00FF6DF5">
              <w:rPr>
                <w:rFonts w:ascii="Times" w:hAnsi="Times" w:cs="Arial"/>
              </w:rPr>
              <w:t>- Other support that cuts across sectors, including MSMEs, is on “simplification of government transactions” (i.e., simplification of “rules and procedures that are burdensome to MSMEs”)</w:t>
            </w:r>
          </w:p>
        </w:tc>
      </w:tr>
      <w:tr w:rsidR="00B52DEF" w:rsidRPr="00FF6DF5" w14:paraId="336A53A6" w14:textId="77777777" w:rsidTr="006146E4">
        <w:tc>
          <w:tcPr>
            <w:tcW w:w="2245" w:type="dxa"/>
          </w:tcPr>
          <w:p w14:paraId="6B273C9B" w14:textId="77777777" w:rsidR="00B52DEF" w:rsidRPr="00FF6DF5" w:rsidRDefault="00B52DEF" w:rsidP="006146E4">
            <w:pPr>
              <w:jc w:val="both"/>
              <w:rPr>
                <w:rFonts w:ascii="Times" w:hAnsi="Times" w:cs="Arial"/>
              </w:rPr>
            </w:pPr>
            <w:r w:rsidRPr="00FF6DF5">
              <w:rPr>
                <w:rFonts w:ascii="Times" w:hAnsi="Times" w:cs="Arial"/>
              </w:rPr>
              <w:t>MSME Development Plan 2017-2022 (national, enacted in April 2018)</w:t>
            </w:r>
          </w:p>
        </w:tc>
        <w:tc>
          <w:tcPr>
            <w:tcW w:w="7105" w:type="dxa"/>
          </w:tcPr>
          <w:p w14:paraId="5B4CFBF2" w14:textId="77777777" w:rsidR="00B52DEF" w:rsidRPr="00FF6DF5" w:rsidRDefault="00B52DEF" w:rsidP="006146E4">
            <w:pPr>
              <w:jc w:val="both"/>
              <w:rPr>
                <w:rFonts w:ascii="Times" w:hAnsi="Times" w:cs="Arial"/>
              </w:rPr>
            </w:pPr>
            <w:r w:rsidRPr="00FF6DF5">
              <w:rPr>
                <w:rFonts w:ascii="Times" w:hAnsi="Times" w:cs="Arial"/>
              </w:rPr>
              <w:t>The MSME Development Plan 2017-2022 lays out a vision for a “more globally competitive, regionally integrated, nationally resilient, highly sustainable and productive and innovative, and dynamic MSME sector performing as one of the most effective drivers of inclusive Philippine economic growth. The Plan includes three focus areas which are critical in attaining the vision for 2022: (i) Business Environment with emphasis on improving the business regulatory requirements and procedures as well as maximizing access to finance; (ii) Business Capacity with the aim of strengthening human capital development and improving innovation and technological competitiveness of MSMEs to transform and create new business models and enterprises; and (iii) Business Opportunities with the aim of broadening access to markets.  The focus areas will be underpinned by 5 themes: (i) business climate; (ii) access to finance; (iii) Human capital development; (iv) technology and innovation; and (v) access to market.</w:t>
            </w:r>
          </w:p>
        </w:tc>
      </w:tr>
      <w:tr w:rsidR="00B52DEF" w:rsidRPr="00FF6DF5" w14:paraId="0C1002C3" w14:textId="77777777" w:rsidTr="006146E4">
        <w:tc>
          <w:tcPr>
            <w:tcW w:w="2245" w:type="dxa"/>
          </w:tcPr>
          <w:p w14:paraId="1117CDE4" w14:textId="77777777" w:rsidR="00B52DEF" w:rsidRPr="00FF6DF5" w:rsidRDefault="00B52DEF" w:rsidP="006146E4">
            <w:pPr>
              <w:jc w:val="both"/>
              <w:rPr>
                <w:rFonts w:ascii="Times" w:hAnsi="Times" w:cs="Arial"/>
              </w:rPr>
            </w:pPr>
            <w:r w:rsidRPr="00FF6DF5">
              <w:rPr>
                <w:rFonts w:ascii="Times" w:hAnsi="Times" w:cs="Arial"/>
              </w:rPr>
              <w:t>DTI’s 7Ms for MSME Development</w:t>
            </w:r>
          </w:p>
          <w:p w14:paraId="59425B59" w14:textId="77777777" w:rsidR="00B52DEF" w:rsidRPr="00FF6DF5" w:rsidRDefault="00B52DEF" w:rsidP="006146E4">
            <w:pPr>
              <w:jc w:val="both"/>
              <w:rPr>
                <w:rFonts w:ascii="Times" w:hAnsi="Times" w:cs="Arial"/>
              </w:rPr>
            </w:pPr>
          </w:p>
          <w:p w14:paraId="61B75606" w14:textId="77777777" w:rsidR="00B52DEF" w:rsidRPr="00FF6DF5" w:rsidRDefault="00B52DEF" w:rsidP="006146E4">
            <w:pPr>
              <w:jc w:val="both"/>
              <w:rPr>
                <w:rFonts w:ascii="Times" w:hAnsi="Times" w:cs="Arial"/>
              </w:rPr>
            </w:pPr>
          </w:p>
        </w:tc>
        <w:tc>
          <w:tcPr>
            <w:tcW w:w="7105" w:type="dxa"/>
          </w:tcPr>
          <w:p w14:paraId="516C0536" w14:textId="77777777" w:rsidR="00B52DEF" w:rsidRPr="00FF6DF5" w:rsidRDefault="00B52DEF" w:rsidP="006146E4">
            <w:pPr>
              <w:spacing w:line="256" w:lineRule="auto"/>
              <w:jc w:val="both"/>
              <w:rPr>
                <w:rFonts w:ascii="Times" w:eastAsia="Calibri" w:hAnsi="Times" w:cs="Arial"/>
              </w:rPr>
            </w:pPr>
            <w:r w:rsidRPr="00FF6DF5">
              <w:rPr>
                <w:rFonts w:ascii="Times" w:eastAsia="Calibri" w:hAnsi="Times" w:cs="Arial"/>
              </w:rPr>
              <w:t>The DTI’s seven Ms describe the elements of the approach and framework for enabling the country’s small enterprises. These include:</w:t>
            </w:r>
          </w:p>
          <w:p w14:paraId="3810CB13" w14:textId="77777777" w:rsidR="00B52DEF" w:rsidRPr="00FF6DF5" w:rsidRDefault="00B52DEF" w:rsidP="00B52DEF">
            <w:pPr>
              <w:pStyle w:val="ListParagraph"/>
              <w:numPr>
                <w:ilvl w:val="0"/>
                <w:numId w:val="28"/>
              </w:numPr>
              <w:spacing w:line="256" w:lineRule="auto"/>
              <w:jc w:val="both"/>
              <w:rPr>
                <w:rFonts w:ascii="Times" w:eastAsia="Calibri" w:hAnsi="Times" w:cs="Arial"/>
              </w:rPr>
            </w:pPr>
            <w:r w:rsidRPr="00FF6DF5">
              <w:rPr>
                <w:rFonts w:ascii="Times" w:eastAsia="Calibri" w:hAnsi="Times" w:cs="Arial"/>
              </w:rPr>
              <w:t xml:space="preserve">MINDSET–calls for a paradigm shift esp. for micro and small </w:t>
            </w:r>
            <w:proofErr w:type="spellStart"/>
            <w:r w:rsidRPr="00FF6DF5">
              <w:rPr>
                <w:rFonts w:ascii="Times" w:eastAsia="Calibri" w:hAnsi="Times" w:cs="Arial"/>
              </w:rPr>
              <w:t>entreprens</w:t>
            </w:r>
            <w:proofErr w:type="spellEnd"/>
            <w:r w:rsidRPr="00FF6DF5">
              <w:rPr>
                <w:rFonts w:ascii="Times" w:eastAsia="Calibri" w:hAnsi="Times" w:cs="Arial"/>
              </w:rPr>
              <w:t xml:space="preserve">. A mindset that embraces innovation, service and continuous improvement. </w:t>
            </w:r>
            <w:proofErr w:type="gramStart"/>
            <w:r w:rsidRPr="00FF6DF5">
              <w:rPr>
                <w:rFonts w:ascii="Times" w:eastAsia="Calibri" w:hAnsi="Times" w:cs="Arial"/>
              </w:rPr>
              <w:t>Specifically</w:t>
            </w:r>
            <w:proofErr w:type="gramEnd"/>
            <w:r w:rsidRPr="00FF6DF5">
              <w:rPr>
                <w:rFonts w:ascii="Times" w:eastAsia="Calibri" w:hAnsi="Times" w:cs="Arial"/>
              </w:rPr>
              <w:t xml:space="preserve"> DTI’s </w:t>
            </w:r>
            <w:proofErr w:type="spellStart"/>
            <w:r w:rsidRPr="00FF6DF5">
              <w:rPr>
                <w:rFonts w:ascii="Times" w:eastAsia="Calibri" w:hAnsi="Times" w:cs="Arial"/>
              </w:rPr>
              <w:t>Negosyo</w:t>
            </w:r>
            <w:proofErr w:type="spellEnd"/>
            <w:r w:rsidRPr="00FF6DF5">
              <w:rPr>
                <w:rFonts w:ascii="Times" w:eastAsia="Calibri" w:hAnsi="Times" w:cs="Arial"/>
              </w:rPr>
              <w:t xml:space="preserve"> Center seminars, the SME Roving Academy (SMERA) and the </w:t>
            </w:r>
            <w:proofErr w:type="spellStart"/>
            <w:r w:rsidRPr="00FF6DF5">
              <w:rPr>
                <w:rFonts w:ascii="Times" w:eastAsia="Calibri" w:hAnsi="Times" w:cs="Arial"/>
              </w:rPr>
              <w:t>Kapatid</w:t>
            </w:r>
            <w:proofErr w:type="spellEnd"/>
            <w:r w:rsidRPr="00FF6DF5">
              <w:rPr>
                <w:rFonts w:ascii="Times" w:eastAsia="Calibri" w:hAnsi="Times" w:cs="Arial"/>
              </w:rPr>
              <w:t xml:space="preserve"> Mentor ME program can promote an entrepreneurial mindset that is success- and innovation-driven, collaborative, and proactive.</w:t>
            </w:r>
          </w:p>
          <w:p w14:paraId="774B654D" w14:textId="77777777" w:rsidR="00B52DEF" w:rsidRPr="00FF6DF5" w:rsidRDefault="00B52DEF" w:rsidP="00B52DEF">
            <w:pPr>
              <w:pStyle w:val="ListParagraph"/>
              <w:numPr>
                <w:ilvl w:val="0"/>
                <w:numId w:val="28"/>
              </w:numPr>
              <w:spacing w:line="256" w:lineRule="auto"/>
              <w:jc w:val="both"/>
              <w:rPr>
                <w:rFonts w:ascii="Times" w:eastAsia="Calibri" w:hAnsi="Times" w:cs="Arial"/>
              </w:rPr>
            </w:pPr>
            <w:r w:rsidRPr="00FF6DF5">
              <w:rPr>
                <w:rFonts w:ascii="Times" w:eastAsia="Calibri" w:hAnsi="Times" w:cs="Arial"/>
              </w:rPr>
              <w:t xml:space="preserve">MASTERY–of the technical and financial aspects of the business. For instance, </w:t>
            </w:r>
            <w:proofErr w:type="spellStart"/>
            <w:r w:rsidRPr="00FF6DF5">
              <w:rPr>
                <w:rFonts w:ascii="Times" w:eastAsia="Calibri" w:hAnsi="Times" w:cs="Arial"/>
              </w:rPr>
              <w:t>Negosyo</w:t>
            </w:r>
            <w:proofErr w:type="spellEnd"/>
            <w:r w:rsidRPr="00FF6DF5">
              <w:rPr>
                <w:rFonts w:ascii="Times" w:eastAsia="Calibri" w:hAnsi="Times" w:cs="Arial"/>
              </w:rPr>
              <w:t xml:space="preserve"> Centers, can teach </w:t>
            </w:r>
            <w:proofErr w:type="spellStart"/>
            <w:r w:rsidRPr="00FF6DF5">
              <w:rPr>
                <w:rFonts w:ascii="Times" w:eastAsia="Calibri" w:hAnsi="Times" w:cs="Arial"/>
              </w:rPr>
              <w:t>MSMes</w:t>
            </w:r>
            <w:proofErr w:type="spellEnd"/>
            <w:r w:rsidRPr="00FF6DF5">
              <w:rPr>
                <w:rFonts w:ascii="Times" w:eastAsia="Calibri" w:hAnsi="Times" w:cs="Arial"/>
              </w:rPr>
              <w:t xml:space="preserve"> to master the know-how &amp; how of entrepreneurship, from how to set up a business, basic rules of spotting market opportunities, finding your product positioning and differentiation, product development, market development, basic business finance and plan preparation, as well as developing a system for continuous innovation.</w:t>
            </w:r>
          </w:p>
          <w:p w14:paraId="227A2D2A" w14:textId="77777777" w:rsidR="00B52DEF" w:rsidRPr="00FF6DF5" w:rsidRDefault="00B52DEF" w:rsidP="00B52DEF">
            <w:pPr>
              <w:pStyle w:val="ListParagraph"/>
              <w:numPr>
                <w:ilvl w:val="0"/>
                <w:numId w:val="28"/>
              </w:numPr>
              <w:spacing w:line="256" w:lineRule="auto"/>
              <w:jc w:val="both"/>
              <w:rPr>
                <w:rFonts w:ascii="Times" w:eastAsia="Calibri" w:hAnsi="Times" w:cs="Arial"/>
              </w:rPr>
            </w:pPr>
            <w:r w:rsidRPr="00FF6DF5">
              <w:rPr>
                <w:rFonts w:ascii="Times" w:eastAsia="Calibri" w:hAnsi="Times" w:cs="Arial"/>
              </w:rPr>
              <w:t xml:space="preserve">MENTORING–We provide you with continuous business guidance in partnership with the private sector members like Go </w:t>
            </w:r>
            <w:proofErr w:type="spellStart"/>
            <w:r w:rsidRPr="00FF6DF5">
              <w:rPr>
                <w:rFonts w:ascii="Times" w:eastAsia="Calibri" w:hAnsi="Times" w:cs="Arial"/>
              </w:rPr>
              <w:t>Negosyo</w:t>
            </w:r>
            <w:proofErr w:type="spellEnd"/>
            <w:r w:rsidRPr="00FF6DF5">
              <w:rPr>
                <w:rFonts w:ascii="Times" w:eastAsia="Calibri" w:hAnsi="Times" w:cs="Arial"/>
              </w:rPr>
              <w:t xml:space="preserve">, PCCI, PFA, AFFI, and FFCCCII, thanks to programs like </w:t>
            </w:r>
            <w:proofErr w:type="spellStart"/>
            <w:r w:rsidRPr="00FF6DF5">
              <w:rPr>
                <w:rFonts w:ascii="Times" w:eastAsia="Calibri" w:hAnsi="Times" w:cs="Arial"/>
              </w:rPr>
              <w:t>Kapatid</w:t>
            </w:r>
            <w:proofErr w:type="spellEnd"/>
            <w:r w:rsidRPr="00FF6DF5">
              <w:rPr>
                <w:rFonts w:ascii="Times" w:eastAsia="Calibri" w:hAnsi="Times" w:cs="Arial"/>
              </w:rPr>
              <w:t xml:space="preserve"> Mentor ME. Experience coaching and mentoring of industry experts and large corporations on different aspects of business operations for free!</w:t>
            </w:r>
          </w:p>
          <w:p w14:paraId="44237734" w14:textId="77777777" w:rsidR="00B52DEF" w:rsidRPr="00FF6DF5" w:rsidRDefault="00B52DEF" w:rsidP="00B52DEF">
            <w:pPr>
              <w:pStyle w:val="ListParagraph"/>
              <w:numPr>
                <w:ilvl w:val="0"/>
                <w:numId w:val="28"/>
              </w:numPr>
              <w:spacing w:line="256" w:lineRule="auto"/>
              <w:jc w:val="both"/>
              <w:rPr>
                <w:rFonts w:ascii="Times" w:eastAsia="Calibri" w:hAnsi="Times" w:cs="Arial"/>
              </w:rPr>
            </w:pPr>
            <w:r w:rsidRPr="00FF6DF5">
              <w:rPr>
                <w:rFonts w:ascii="Times" w:eastAsia="Calibri" w:hAnsi="Times" w:cs="Arial"/>
              </w:rPr>
              <w:t>MONEY–We give you access to funding through DTI’s P3 microfinance program—in cooperation with SB Corp.—or connect you to micro finance institutions (MFIs) to help you out with financing, whether you’re setting up a business or if you want to expand.</w:t>
            </w:r>
          </w:p>
          <w:p w14:paraId="1FA0E2A7" w14:textId="77777777" w:rsidR="00B52DEF" w:rsidRPr="00FF6DF5" w:rsidRDefault="00B52DEF" w:rsidP="00B52DEF">
            <w:pPr>
              <w:pStyle w:val="ListParagraph"/>
              <w:numPr>
                <w:ilvl w:val="0"/>
                <w:numId w:val="28"/>
              </w:numPr>
              <w:spacing w:line="256" w:lineRule="auto"/>
              <w:jc w:val="both"/>
              <w:rPr>
                <w:rFonts w:ascii="Times" w:eastAsia="Calibri" w:hAnsi="Times" w:cs="Arial"/>
              </w:rPr>
            </w:pPr>
            <w:r w:rsidRPr="00FF6DF5">
              <w:rPr>
                <w:rFonts w:ascii="Times" w:eastAsia="Calibri" w:hAnsi="Times" w:cs="Arial"/>
              </w:rPr>
              <w:t>MACHINE– We equip you not only with the must-have knowledge on equipment and right tools to ensure quality production under the Shared Services Facility (SSF) program, you can also use these to level up your production and increase productivity. With innovation, you and your fellow entrepreneurs can produce more products more efficiently.</w:t>
            </w:r>
          </w:p>
          <w:p w14:paraId="7A23F58F" w14:textId="77777777" w:rsidR="00B52DEF" w:rsidRPr="00FF6DF5" w:rsidRDefault="00B52DEF" w:rsidP="00B52DEF">
            <w:pPr>
              <w:pStyle w:val="ListParagraph"/>
              <w:numPr>
                <w:ilvl w:val="0"/>
                <w:numId w:val="28"/>
              </w:numPr>
              <w:spacing w:line="256" w:lineRule="auto"/>
              <w:jc w:val="both"/>
              <w:rPr>
                <w:rFonts w:ascii="Times" w:eastAsia="Calibri" w:hAnsi="Times" w:cs="Arial"/>
              </w:rPr>
            </w:pPr>
            <w:r w:rsidRPr="00FF6DF5">
              <w:rPr>
                <w:rFonts w:ascii="Times" w:eastAsia="Calibri" w:hAnsi="Times" w:cs="Arial"/>
              </w:rPr>
              <w:t xml:space="preserve">MARKET ACCESS–We help you promote your products through provincial and national trade fairs, OTOP (One-Town, One Product) shows, Go </w:t>
            </w:r>
            <w:proofErr w:type="spellStart"/>
            <w:r w:rsidRPr="00FF6DF5">
              <w:rPr>
                <w:rFonts w:ascii="Times" w:eastAsia="Calibri" w:hAnsi="Times" w:cs="Arial"/>
              </w:rPr>
              <w:t>Lokal</w:t>
            </w:r>
            <w:proofErr w:type="spellEnd"/>
            <w:r w:rsidRPr="00FF6DF5">
              <w:rPr>
                <w:rFonts w:ascii="Times" w:eastAsia="Calibri" w:hAnsi="Times" w:cs="Arial"/>
              </w:rPr>
              <w:t>! retail store concepts in major malls, and the internationally-recognized FAME exhibits. We can also link your business to big companies or to government so that you can supply them with your products on a continued basis.</w:t>
            </w:r>
          </w:p>
          <w:p w14:paraId="5090676F" w14:textId="77777777" w:rsidR="00B52DEF" w:rsidRPr="00FF6DF5" w:rsidRDefault="00B52DEF" w:rsidP="00B52DEF">
            <w:pPr>
              <w:pStyle w:val="ListParagraph"/>
              <w:numPr>
                <w:ilvl w:val="0"/>
                <w:numId w:val="28"/>
              </w:numPr>
              <w:spacing w:line="256" w:lineRule="auto"/>
              <w:jc w:val="both"/>
              <w:rPr>
                <w:rFonts w:ascii="Times" w:eastAsia="Calibri" w:hAnsi="Times" w:cs="Arial"/>
              </w:rPr>
            </w:pPr>
            <w:r w:rsidRPr="00FF6DF5">
              <w:rPr>
                <w:rFonts w:ascii="Times" w:eastAsia="Calibri" w:hAnsi="Times" w:cs="Arial"/>
              </w:rPr>
              <w:t xml:space="preserve">MODELS OF NEGOSYO–We give you different business ideas to help you get into business, from traditional enterprises to direct selling and franchising. We also teach you livelihood skills like baking, soap-making, etc. At our </w:t>
            </w:r>
            <w:proofErr w:type="spellStart"/>
            <w:r w:rsidRPr="00FF6DF5">
              <w:rPr>
                <w:rFonts w:ascii="Times" w:eastAsia="Calibri" w:hAnsi="Times" w:cs="Arial"/>
              </w:rPr>
              <w:t>Negosyo</w:t>
            </w:r>
            <w:proofErr w:type="spellEnd"/>
            <w:r w:rsidRPr="00FF6DF5">
              <w:rPr>
                <w:rFonts w:ascii="Times" w:eastAsia="Calibri" w:hAnsi="Times" w:cs="Arial"/>
              </w:rPr>
              <w:t xml:space="preserve"> Centers, there’s more than one way to do business. MSMEs need to have ties with bigger guys to create synergies, which are essential in matching and innovating products and services.</w:t>
            </w:r>
          </w:p>
          <w:p w14:paraId="4EDCEA29" w14:textId="77777777" w:rsidR="00B52DEF" w:rsidRPr="00FF6DF5" w:rsidRDefault="00B52DEF" w:rsidP="00B52DEF">
            <w:pPr>
              <w:pStyle w:val="ListParagraph"/>
              <w:numPr>
                <w:ilvl w:val="0"/>
                <w:numId w:val="28"/>
              </w:numPr>
              <w:spacing w:line="256" w:lineRule="auto"/>
              <w:jc w:val="both"/>
              <w:rPr>
                <w:rFonts w:ascii="Times" w:eastAsia="Calibri" w:hAnsi="Times" w:cs="Arial"/>
              </w:rPr>
            </w:pPr>
          </w:p>
        </w:tc>
      </w:tr>
      <w:tr w:rsidR="00B52DEF" w:rsidRPr="00FF6DF5" w14:paraId="2282EE92" w14:textId="77777777" w:rsidTr="006146E4">
        <w:tc>
          <w:tcPr>
            <w:tcW w:w="2245" w:type="dxa"/>
          </w:tcPr>
          <w:p w14:paraId="5D469A7A" w14:textId="77777777" w:rsidR="00B52DEF" w:rsidRPr="00FF6DF5" w:rsidRDefault="00B52DEF" w:rsidP="006146E4">
            <w:pPr>
              <w:jc w:val="both"/>
              <w:rPr>
                <w:rFonts w:ascii="Times" w:hAnsi="Times" w:cs="Arial"/>
              </w:rPr>
            </w:pPr>
            <w:r w:rsidRPr="00FF6DF5">
              <w:rPr>
                <w:rFonts w:ascii="Times" w:hAnsi="Times" w:cs="Arial"/>
              </w:rPr>
              <w:t>Startup Ecosystem Development Program (SEDP) 2016-2021</w:t>
            </w:r>
          </w:p>
        </w:tc>
        <w:tc>
          <w:tcPr>
            <w:tcW w:w="7105" w:type="dxa"/>
          </w:tcPr>
          <w:p w14:paraId="78A11787" w14:textId="77777777" w:rsidR="00B52DEF" w:rsidRPr="00FF6DF5" w:rsidRDefault="00B52DEF" w:rsidP="006146E4">
            <w:pPr>
              <w:spacing w:line="256" w:lineRule="auto"/>
              <w:jc w:val="both"/>
              <w:rPr>
                <w:rFonts w:ascii="Times" w:hAnsi="Times" w:cs="Arial"/>
              </w:rPr>
            </w:pPr>
            <w:r w:rsidRPr="00FF6DF5">
              <w:rPr>
                <w:rFonts w:ascii="Times" w:hAnsi="Times" w:cs="Arial"/>
              </w:rPr>
              <w:t xml:space="preserve">This is a 5-point program created by DTI to strengthen collaborative networks among MSMEs and create innovative startups towards growth and job creation. The action points include: </w:t>
            </w:r>
          </w:p>
          <w:p w14:paraId="571094BF" w14:textId="77777777" w:rsidR="00B52DEF" w:rsidRPr="00FF6DF5" w:rsidRDefault="00B52DEF" w:rsidP="00B52DEF">
            <w:pPr>
              <w:pStyle w:val="ListParagraph"/>
              <w:numPr>
                <w:ilvl w:val="0"/>
                <w:numId w:val="28"/>
              </w:numPr>
              <w:spacing w:line="256" w:lineRule="auto"/>
              <w:jc w:val="both"/>
              <w:rPr>
                <w:rFonts w:ascii="Times" w:hAnsi="Times" w:cs="Arial"/>
              </w:rPr>
            </w:pPr>
            <w:r w:rsidRPr="00FF6DF5">
              <w:rPr>
                <w:rFonts w:ascii="Times" w:hAnsi="Times" w:cs="Arial"/>
              </w:rPr>
              <w:t xml:space="preserve">increasing culture and collaboration; </w:t>
            </w:r>
          </w:p>
          <w:p w14:paraId="32274339" w14:textId="77777777" w:rsidR="00B52DEF" w:rsidRPr="00FF6DF5" w:rsidRDefault="00B52DEF" w:rsidP="00B52DEF">
            <w:pPr>
              <w:pStyle w:val="ListParagraph"/>
              <w:numPr>
                <w:ilvl w:val="0"/>
                <w:numId w:val="28"/>
              </w:numPr>
              <w:spacing w:line="256" w:lineRule="auto"/>
              <w:jc w:val="both"/>
              <w:rPr>
                <w:rFonts w:ascii="Times" w:hAnsi="Times" w:cs="Arial"/>
              </w:rPr>
            </w:pPr>
            <w:r w:rsidRPr="00FF6DF5">
              <w:rPr>
                <w:rFonts w:ascii="Times" w:hAnsi="Times" w:cs="Arial"/>
              </w:rPr>
              <w:t xml:space="preserve">addressing legal and regulatory barriers; </w:t>
            </w:r>
          </w:p>
          <w:p w14:paraId="274AA166" w14:textId="77777777" w:rsidR="00B52DEF" w:rsidRPr="00FF6DF5" w:rsidRDefault="00B52DEF" w:rsidP="00B52DEF">
            <w:pPr>
              <w:pStyle w:val="ListParagraph"/>
              <w:numPr>
                <w:ilvl w:val="0"/>
                <w:numId w:val="28"/>
              </w:numPr>
              <w:spacing w:line="256" w:lineRule="auto"/>
              <w:jc w:val="both"/>
              <w:rPr>
                <w:rFonts w:ascii="Times" w:hAnsi="Times" w:cs="Arial"/>
              </w:rPr>
            </w:pPr>
            <w:r w:rsidRPr="00FF6DF5">
              <w:rPr>
                <w:rFonts w:ascii="Times" w:hAnsi="Times" w:cs="Arial"/>
              </w:rPr>
              <w:t xml:space="preserve">supporting government services, capital and resources; </w:t>
            </w:r>
          </w:p>
          <w:p w14:paraId="751E88AA" w14:textId="77777777" w:rsidR="00B52DEF" w:rsidRPr="00FF6DF5" w:rsidRDefault="00B52DEF" w:rsidP="00B52DEF">
            <w:pPr>
              <w:pStyle w:val="ListParagraph"/>
              <w:numPr>
                <w:ilvl w:val="0"/>
                <w:numId w:val="28"/>
              </w:numPr>
              <w:spacing w:line="256" w:lineRule="auto"/>
              <w:jc w:val="both"/>
              <w:rPr>
                <w:rFonts w:ascii="Times" w:hAnsi="Times" w:cs="Arial"/>
              </w:rPr>
            </w:pPr>
            <w:r w:rsidRPr="00FF6DF5">
              <w:rPr>
                <w:rFonts w:ascii="Times" w:hAnsi="Times" w:cs="Arial"/>
              </w:rPr>
              <w:t xml:space="preserve">creating a national startup business council, and </w:t>
            </w:r>
          </w:p>
          <w:p w14:paraId="2F6DCDF5" w14:textId="77777777" w:rsidR="00B52DEF" w:rsidRPr="00FF6DF5" w:rsidRDefault="00B52DEF" w:rsidP="00B52DEF">
            <w:pPr>
              <w:pStyle w:val="ListParagraph"/>
              <w:numPr>
                <w:ilvl w:val="0"/>
                <w:numId w:val="28"/>
              </w:numPr>
              <w:spacing w:line="256" w:lineRule="auto"/>
              <w:jc w:val="both"/>
              <w:rPr>
                <w:rFonts w:ascii="Times" w:hAnsi="Times" w:cs="Arial"/>
              </w:rPr>
            </w:pPr>
            <w:r w:rsidRPr="00FF6DF5">
              <w:rPr>
                <w:rFonts w:ascii="Times" w:hAnsi="Times" w:cs="Arial"/>
              </w:rPr>
              <w:t>establishing a Philippine startup economic zone.</w:t>
            </w:r>
          </w:p>
        </w:tc>
      </w:tr>
      <w:tr w:rsidR="00B52DEF" w:rsidRPr="00FF6DF5" w14:paraId="6EF32302" w14:textId="77777777" w:rsidTr="006146E4">
        <w:tc>
          <w:tcPr>
            <w:tcW w:w="2245" w:type="dxa"/>
          </w:tcPr>
          <w:p w14:paraId="14072438" w14:textId="77777777" w:rsidR="00B52DEF" w:rsidRPr="00FF6DF5" w:rsidRDefault="00B52DEF" w:rsidP="006146E4">
            <w:pPr>
              <w:jc w:val="both"/>
              <w:rPr>
                <w:rFonts w:ascii="Times" w:hAnsi="Times" w:cs="Arial"/>
              </w:rPr>
            </w:pPr>
          </w:p>
        </w:tc>
        <w:tc>
          <w:tcPr>
            <w:tcW w:w="7105" w:type="dxa"/>
          </w:tcPr>
          <w:p w14:paraId="71052F43" w14:textId="77777777" w:rsidR="00B52DEF" w:rsidRPr="00FF6DF5" w:rsidRDefault="00B52DEF" w:rsidP="00B52DEF">
            <w:pPr>
              <w:numPr>
                <w:ilvl w:val="0"/>
                <w:numId w:val="28"/>
              </w:numPr>
              <w:spacing w:line="256" w:lineRule="auto"/>
              <w:jc w:val="both"/>
              <w:rPr>
                <w:rFonts w:ascii="Times" w:hAnsi="Times" w:cs="Arial"/>
              </w:rPr>
            </w:pPr>
          </w:p>
        </w:tc>
      </w:tr>
      <w:tr w:rsidR="00B52DEF" w:rsidRPr="00FF6DF5" w14:paraId="05F5CF01" w14:textId="77777777" w:rsidTr="006146E4">
        <w:tc>
          <w:tcPr>
            <w:tcW w:w="2245" w:type="dxa"/>
          </w:tcPr>
          <w:p w14:paraId="009305BB" w14:textId="77777777" w:rsidR="00B52DEF" w:rsidRPr="00FF6DF5" w:rsidRDefault="00B52DEF" w:rsidP="006146E4">
            <w:pPr>
              <w:jc w:val="both"/>
              <w:rPr>
                <w:rFonts w:ascii="Times" w:hAnsi="Times" w:cs="Arial"/>
              </w:rPr>
            </w:pPr>
            <w:r w:rsidRPr="00FF6DF5">
              <w:rPr>
                <w:rFonts w:ascii="Times" w:hAnsi="Times" w:cs="Arial"/>
              </w:rPr>
              <w:t>MSME Development Plan 2011-2016 (national)</w:t>
            </w:r>
          </w:p>
        </w:tc>
        <w:tc>
          <w:tcPr>
            <w:tcW w:w="7105" w:type="dxa"/>
          </w:tcPr>
          <w:p w14:paraId="234F901B" w14:textId="77777777" w:rsidR="00B52DEF" w:rsidRPr="00FF6DF5" w:rsidRDefault="00B52DEF" w:rsidP="006146E4">
            <w:pPr>
              <w:jc w:val="both"/>
              <w:rPr>
                <w:rFonts w:ascii="Times" w:hAnsi="Times" w:cs="Arial"/>
              </w:rPr>
            </w:pPr>
            <w:r w:rsidRPr="00FF6DF5">
              <w:rPr>
                <w:rFonts w:ascii="Times" w:hAnsi="Times" w:cs="Arial"/>
              </w:rPr>
              <w:t xml:space="preserve">- This plan is particularly </w:t>
            </w:r>
            <w:bookmarkStart w:id="111" w:name="_Hlk536740792"/>
            <w:r w:rsidRPr="00FF6DF5">
              <w:rPr>
                <w:rFonts w:ascii="Times" w:hAnsi="Times" w:cs="Arial"/>
              </w:rPr>
              <w:t>focused on MSME, with “aims to promote, support, strengthen, and encourage the growth and development of MSMEs in all productive sectors of the economy”</w:t>
            </w:r>
          </w:p>
          <w:p w14:paraId="3E5825FD" w14:textId="77777777" w:rsidR="00B52DEF" w:rsidRPr="00FF6DF5" w:rsidRDefault="00B52DEF" w:rsidP="006146E4">
            <w:pPr>
              <w:jc w:val="both"/>
              <w:rPr>
                <w:rFonts w:ascii="Times" w:hAnsi="Times" w:cs="Arial"/>
              </w:rPr>
            </w:pPr>
            <w:r w:rsidRPr="00FF6DF5">
              <w:rPr>
                <w:rFonts w:ascii="Times" w:hAnsi="Times" w:cs="Arial"/>
              </w:rPr>
              <w:t>- Four major outcomes or result portfolios were identified, including Business Environment (BE), Access to Finance (A2F), Access to Markets (A2M), and Productivity and Efficiency (P&amp;E)</w:t>
            </w:r>
          </w:p>
          <w:bookmarkEnd w:id="111"/>
          <w:p w14:paraId="56B63982" w14:textId="77777777" w:rsidR="00B52DEF" w:rsidRPr="00FF6DF5" w:rsidRDefault="00B52DEF" w:rsidP="00B52DEF">
            <w:pPr>
              <w:numPr>
                <w:ilvl w:val="0"/>
                <w:numId w:val="28"/>
              </w:numPr>
              <w:spacing w:line="256" w:lineRule="auto"/>
              <w:jc w:val="both"/>
              <w:rPr>
                <w:rFonts w:ascii="Times" w:eastAsia="Calibri" w:hAnsi="Times" w:cs="Arial"/>
              </w:rPr>
            </w:pPr>
            <w:r w:rsidRPr="00FF6DF5">
              <w:rPr>
                <w:rFonts w:ascii="Times" w:eastAsia="Calibri" w:hAnsi="Times" w:cs="Arial"/>
              </w:rPr>
              <w:t>BE-related goals for MSMEs include: (a) making cost of doing business affordable, (b) creating institutional support structures, (c) harmonizing MSMEs support at national and local levels, (d) creating an entrepreneurial mindset</w:t>
            </w:r>
          </w:p>
          <w:p w14:paraId="27C90340" w14:textId="77777777" w:rsidR="00B52DEF" w:rsidRPr="00FF6DF5" w:rsidRDefault="00B52DEF" w:rsidP="00B52DEF">
            <w:pPr>
              <w:numPr>
                <w:ilvl w:val="0"/>
                <w:numId w:val="28"/>
              </w:numPr>
              <w:spacing w:line="256" w:lineRule="auto"/>
              <w:jc w:val="both"/>
              <w:rPr>
                <w:rFonts w:ascii="Times" w:eastAsia="Calibri" w:hAnsi="Times" w:cs="Arial"/>
              </w:rPr>
            </w:pPr>
            <w:r w:rsidRPr="00FF6DF5">
              <w:rPr>
                <w:rFonts w:ascii="Times" w:eastAsia="Calibri" w:hAnsi="Times" w:cs="Arial"/>
              </w:rPr>
              <w:t>A2F-related goals include: (a) availability and accessibility of finance-related products and support services (including MSMEs on the countryside, and start-ups), (b) simplified process of obtaining credit, (c) understanding on finance between MSMEs and financial institutions, (d) coordinated finance-related assistance</w:t>
            </w:r>
          </w:p>
          <w:p w14:paraId="658E6B9D" w14:textId="77777777" w:rsidR="00B52DEF" w:rsidRPr="00FF6DF5" w:rsidRDefault="00B52DEF" w:rsidP="00B52DEF">
            <w:pPr>
              <w:numPr>
                <w:ilvl w:val="0"/>
                <w:numId w:val="28"/>
              </w:numPr>
              <w:spacing w:line="256" w:lineRule="auto"/>
              <w:jc w:val="both"/>
              <w:rPr>
                <w:rFonts w:ascii="Times" w:eastAsia="Calibri" w:hAnsi="Times" w:cs="Arial"/>
              </w:rPr>
            </w:pPr>
            <w:r w:rsidRPr="00FF6DF5">
              <w:rPr>
                <w:rFonts w:ascii="Times" w:eastAsia="Calibri" w:hAnsi="Times" w:cs="Arial"/>
              </w:rPr>
              <w:t>A2M-related goals include: (a) local and global market expansion for MSMEs, (b) working marketing support structures, (c) use of value chain approach, IT, and intellectual property systems by MSMEs, (d) coordinated government A2M programs (including One Town, One Product (OTOP) program)</w:t>
            </w:r>
          </w:p>
          <w:p w14:paraId="23C35D2C" w14:textId="77777777" w:rsidR="00B52DEF" w:rsidRPr="00FF6DF5" w:rsidRDefault="00B52DEF" w:rsidP="00B52DEF">
            <w:pPr>
              <w:numPr>
                <w:ilvl w:val="0"/>
                <w:numId w:val="28"/>
              </w:numPr>
              <w:spacing w:line="256" w:lineRule="auto"/>
              <w:jc w:val="both"/>
              <w:rPr>
                <w:rFonts w:ascii="Times" w:eastAsia="Calibri" w:hAnsi="Times" w:cs="Arial"/>
              </w:rPr>
            </w:pPr>
            <w:r w:rsidRPr="00FF6DF5">
              <w:rPr>
                <w:rFonts w:ascii="Times" w:eastAsia="Calibri" w:hAnsi="Times" w:cs="Arial"/>
              </w:rPr>
              <w:t>P&amp;E-related goals include: (a) coordinated productivity enhancement programs and policies, (b) skilled and efficient MSME workforce, (c) internationally compliant MSMEs (quality standards-wise), (d) use of productivity enhancing technologies by MSMEs</w:t>
            </w:r>
          </w:p>
          <w:p w14:paraId="18DA337C" w14:textId="77777777" w:rsidR="00B52DEF" w:rsidRPr="00FF6DF5" w:rsidRDefault="00B52DEF" w:rsidP="00B52DEF">
            <w:pPr>
              <w:numPr>
                <w:ilvl w:val="0"/>
                <w:numId w:val="28"/>
              </w:numPr>
              <w:spacing w:line="256" w:lineRule="auto"/>
              <w:jc w:val="both"/>
              <w:rPr>
                <w:rFonts w:ascii="Times" w:eastAsia="Calibri" w:hAnsi="Times" w:cs="Arial"/>
              </w:rPr>
            </w:pPr>
            <w:r w:rsidRPr="00FF6DF5">
              <w:rPr>
                <w:rFonts w:ascii="Times" w:eastAsia="Calibri" w:hAnsi="Times" w:cs="Arial"/>
              </w:rPr>
              <w:t>All goals advocate gender-responsiveness, and environmental-friendliness of programs</w:t>
            </w:r>
          </w:p>
        </w:tc>
      </w:tr>
      <w:tr w:rsidR="00B52DEF" w:rsidRPr="00FF6DF5" w14:paraId="3A76C7CC" w14:textId="77777777" w:rsidTr="006146E4">
        <w:tc>
          <w:tcPr>
            <w:tcW w:w="2245" w:type="dxa"/>
          </w:tcPr>
          <w:p w14:paraId="4212FA42" w14:textId="77777777" w:rsidR="00B52DEF" w:rsidRPr="00FF6DF5" w:rsidRDefault="00B52DEF" w:rsidP="006146E4">
            <w:pPr>
              <w:jc w:val="both"/>
              <w:rPr>
                <w:rFonts w:ascii="Times" w:hAnsi="Times" w:cs="Arial"/>
              </w:rPr>
            </w:pPr>
          </w:p>
        </w:tc>
        <w:tc>
          <w:tcPr>
            <w:tcW w:w="7105" w:type="dxa"/>
          </w:tcPr>
          <w:p w14:paraId="6D1785D9" w14:textId="77777777" w:rsidR="00B52DEF" w:rsidRPr="00FF6DF5" w:rsidRDefault="00B52DEF" w:rsidP="006146E4">
            <w:pPr>
              <w:spacing w:line="256" w:lineRule="auto"/>
              <w:ind w:left="720"/>
              <w:jc w:val="both"/>
              <w:rPr>
                <w:rFonts w:ascii="Times" w:hAnsi="Times" w:cs="Arial"/>
              </w:rPr>
            </w:pPr>
          </w:p>
        </w:tc>
      </w:tr>
    </w:tbl>
    <w:p w14:paraId="79DBC196" w14:textId="77777777" w:rsidR="00B52DEF" w:rsidRPr="00FF6DF5" w:rsidRDefault="00B52DEF" w:rsidP="00B52DEF">
      <w:pPr>
        <w:spacing w:after="0" w:line="240" w:lineRule="auto"/>
        <w:jc w:val="both"/>
        <w:rPr>
          <w:rFonts w:ascii="Times" w:eastAsia="PMingLiU" w:hAnsi="Times" w:cs="Arial"/>
          <w:lang w:eastAsia="zh-TW"/>
        </w:rPr>
      </w:pPr>
    </w:p>
    <w:p w14:paraId="7E9E8795" w14:textId="77777777" w:rsidR="00B52DEF" w:rsidRPr="00F918A8" w:rsidRDefault="00B52DEF" w:rsidP="00B52DEF">
      <w:pPr>
        <w:spacing w:after="0" w:line="240" w:lineRule="auto"/>
        <w:jc w:val="both"/>
        <w:rPr>
          <w:rFonts w:ascii="Times" w:eastAsia="PMingLiU" w:hAnsi="Times" w:cs="Arial"/>
          <w:b/>
          <w:lang w:eastAsia="zh-TW"/>
        </w:rPr>
      </w:pPr>
      <w:r w:rsidRPr="00F918A8">
        <w:rPr>
          <w:rFonts w:ascii="Times" w:eastAsia="PMingLiU" w:hAnsi="Times" w:cs="Arial"/>
          <w:b/>
          <w:lang w:eastAsia="zh-TW"/>
        </w:rPr>
        <w:t>MSME-focused Laws</w:t>
      </w:r>
    </w:p>
    <w:tbl>
      <w:tblPr>
        <w:tblStyle w:val="TableGrid"/>
        <w:tblW w:w="0" w:type="auto"/>
        <w:tblLook w:val="04A0" w:firstRow="1" w:lastRow="0" w:firstColumn="1" w:lastColumn="0" w:noHBand="0" w:noVBand="1"/>
      </w:tblPr>
      <w:tblGrid>
        <w:gridCol w:w="2245"/>
        <w:gridCol w:w="7105"/>
      </w:tblGrid>
      <w:tr w:rsidR="00B52DEF" w:rsidRPr="00FF6DF5" w14:paraId="506AC65A" w14:textId="77777777" w:rsidTr="006146E4">
        <w:tc>
          <w:tcPr>
            <w:tcW w:w="2245" w:type="dxa"/>
          </w:tcPr>
          <w:p w14:paraId="22C45525" w14:textId="77777777" w:rsidR="00B52DEF" w:rsidRPr="00FF6DF5" w:rsidRDefault="00B52DEF" w:rsidP="006146E4">
            <w:pPr>
              <w:jc w:val="both"/>
              <w:rPr>
                <w:rFonts w:ascii="Times" w:hAnsi="Times" w:cs="Arial"/>
                <w:b/>
              </w:rPr>
            </w:pPr>
            <w:r w:rsidRPr="00FF6DF5">
              <w:rPr>
                <w:rFonts w:ascii="Times" w:hAnsi="Times" w:cs="Arial"/>
                <w:b/>
              </w:rPr>
              <w:t>Name of Law</w:t>
            </w:r>
          </w:p>
        </w:tc>
        <w:tc>
          <w:tcPr>
            <w:tcW w:w="7105" w:type="dxa"/>
          </w:tcPr>
          <w:p w14:paraId="61032336" w14:textId="77777777" w:rsidR="00B52DEF" w:rsidRPr="00FF6DF5" w:rsidRDefault="00B52DEF" w:rsidP="006146E4">
            <w:pPr>
              <w:jc w:val="both"/>
              <w:rPr>
                <w:rFonts w:ascii="Times" w:hAnsi="Times" w:cs="Arial"/>
                <w:b/>
              </w:rPr>
            </w:pPr>
            <w:r w:rsidRPr="00FF6DF5">
              <w:rPr>
                <w:rFonts w:ascii="Times" w:hAnsi="Times" w:cs="Arial"/>
                <w:b/>
              </w:rPr>
              <w:t>Description</w:t>
            </w:r>
          </w:p>
        </w:tc>
      </w:tr>
      <w:tr w:rsidR="00B52DEF" w:rsidRPr="00FF6DF5" w14:paraId="2FB81CFE" w14:textId="77777777" w:rsidTr="006146E4">
        <w:tc>
          <w:tcPr>
            <w:tcW w:w="2245" w:type="dxa"/>
          </w:tcPr>
          <w:p w14:paraId="2B484E94" w14:textId="77777777" w:rsidR="00B52DEF" w:rsidRPr="00FF6DF5" w:rsidRDefault="00B52DEF" w:rsidP="006146E4">
            <w:pPr>
              <w:jc w:val="both"/>
              <w:rPr>
                <w:rFonts w:ascii="Times" w:hAnsi="Times" w:cs="Arial"/>
              </w:rPr>
            </w:pPr>
            <w:r w:rsidRPr="00FF6DF5">
              <w:rPr>
                <w:rFonts w:ascii="Times" w:hAnsi="Times" w:cs="Arial"/>
              </w:rPr>
              <w:t xml:space="preserve">Go </w:t>
            </w:r>
            <w:proofErr w:type="spellStart"/>
            <w:r w:rsidRPr="00FF6DF5">
              <w:rPr>
                <w:rFonts w:ascii="Times" w:hAnsi="Times" w:cs="Arial"/>
              </w:rPr>
              <w:t>Negosyo</w:t>
            </w:r>
            <w:proofErr w:type="spellEnd"/>
            <w:r w:rsidRPr="00FF6DF5">
              <w:rPr>
                <w:rFonts w:ascii="Times" w:hAnsi="Times" w:cs="Arial"/>
              </w:rPr>
              <w:t xml:space="preserve"> Act of 2014 (Republic Act No. 10644)</w:t>
            </w:r>
          </w:p>
        </w:tc>
        <w:tc>
          <w:tcPr>
            <w:tcW w:w="7105" w:type="dxa"/>
          </w:tcPr>
          <w:p w14:paraId="0FFB3C1D" w14:textId="77777777" w:rsidR="00B52DEF" w:rsidRPr="00FF6DF5" w:rsidRDefault="00B52DEF" w:rsidP="006146E4">
            <w:pPr>
              <w:jc w:val="both"/>
              <w:rPr>
                <w:rFonts w:ascii="Times" w:hAnsi="Times" w:cs="Arial"/>
              </w:rPr>
            </w:pPr>
            <w:r w:rsidRPr="00FF6DF5">
              <w:rPr>
                <w:rFonts w:ascii="Times" w:hAnsi="Times" w:cs="Arial"/>
              </w:rPr>
              <w:t xml:space="preserve">Promotes MSME development with aims of job generation and inclusive growth, through (a) establishment of </w:t>
            </w:r>
            <w:proofErr w:type="spellStart"/>
            <w:r w:rsidRPr="00FF6DF5">
              <w:rPr>
                <w:rFonts w:ascii="Times" w:hAnsi="Times" w:cs="Arial"/>
              </w:rPr>
              <w:t>Negosyo</w:t>
            </w:r>
            <w:proofErr w:type="spellEnd"/>
            <w:r w:rsidRPr="00FF6DF5">
              <w:rPr>
                <w:rFonts w:ascii="Times" w:hAnsi="Times" w:cs="Arial"/>
              </w:rPr>
              <w:t xml:space="preserve"> Centers “in all provinces, cities and municipalities”, and (b) creation of Start-up Funds for MSMEs</w:t>
            </w:r>
          </w:p>
          <w:p w14:paraId="343DEECA" w14:textId="77777777" w:rsidR="00B52DEF" w:rsidRPr="00FF6DF5" w:rsidRDefault="00B52DEF" w:rsidP="00B52DEF">
            <w:pPr>
              <w:numPr>
                <w:ilvl w:val="0"/>
                <w:numId w:val="29"/>
              </w:numPr>
              <w:jc w:val="both"/>
              <w:rPr>
                <w:rFonts w:ascii="Times" w:hAnsi="Times" w:cs="Arial"/>
              </w:rPr>
            </w:pPr>
            <w:proofErr w:type="spellStart"/>
            <w:r w:rsidRPr="00FF6DF5">
              <w:rPr>
                <w:rFonts w:ascii="Times" w:hAnsi="Times" w:cs="Arial"/>
              </w:rPr>
              <w:t>Negosyo</w:t>
            </w:r>
            <w:proofErr w:type="spellEnd"/>
            <w:r w:rsidRPr="00FF6DF5">
              <w:rPr>
                <w:rFonts w:ascii="Times" w:hAnsi="Times" w:cs="Arial"/>
              </w:rPr>
              <w:t xml:space="preserve"> Centers promote (a) “ease of doing business and facilitating access to services for MSMEs within its jurisdiction” (such as technology transfer, marketing assistance), (b) coordinate government support programs for MSMEs, (c) disseminate information to MSME entrepreneurs, (d) generate feedback to improve MSME support services</w:t>
            </w:r>
          </w:p>
          <w:p w14:paraId="46FE9572" w14:textId="77777777" w:rsidR="00B52DEF" w:rsidRPr="00FF6DF5" w:rsidRDefault="00B52DEF" w:rsidP="00B52DEF">
            <w:pPr>
              <w:numPr>
                <w:ilvl w:val="0"/>
                <w:numId w:val="29"/>
              </w:numPr>
              <w:jc w:val="both"/>
              <w:rPr>
                <w:rFonts w:ascii="Times" w:hAnsi="Times" w:cs="Arial"/>
              </w:rPr>
            </w:pPr>
            <w:r w:rsidRPr="00FF6DF5">
              <w:rPr>
                <w:rFonts w:ascii="Times" w:hAnsi="Times" w:cs="Arial"/>
              </w:rPr>
              <w:t>Start-up Funds for MSMEs is to be sourced from MSME Development Fund and BMBE Fund, with the goal of providing funding for MSMEs in priority sectors cited in MSMED Plan</w:t>
            </w:r>
          </w:p>
        </w:tc>
      </w:tr>
      <w:tr w:rsidR="00B52DEF" w:rsidRPr="00FF6DF5" w14:paraId="4C43A37C" w14:textId="77777777" w:rsidTr="006146E4">
        <w:tc>
          <w:tcPr>
            <w:tcW w:w="2245" w:type="dxa"/>
          </w:tcPr>
          <w:p w14:paraId="453D094D" w14:textId="77777777" w:rsidR="00B52DEF" w:rsidRPr="00FF6DF5" w:rsidRDefault="00B52DEF" w:rsidP="006146E4">
            <w:pPr>
              <w:jc w:val="both"/>
              <w:rPr>
                <w:rFonts w:ascii="Times" w:hAnsi="Times" w:cs="Arial"/>
              </w:rPr>
            </w:pPr>
            <w:r w:rsidRPr="00FF6DF5">
              <w:rPr>
                <w:rFonts w:ascii="Times" w:hAnsi="Times" w:cs="Arial"/>
              </w:rPr>
              <w:t>Committee Report No. 142 Innovative Startup Act (Senate Bill No. 1532)</w:t>
            </w:r>
          </w:p>
        </w:tc>
        <w:tc>
          <w:tcPr>
            <w:tcW w:w="7105" w:type="dxa"/>
          </w:tcPr>
          <w:p w14:paraId="519A9E52" w14:textId="77777777" w:rsidR="00B52DEF" w:rsidRPr="00FF6DF5" w:rsidRDefault="00B52DEF" w:rsidP="006146E4">
            <w:pPr>
              <w:jc w:val="both"/>
              <w:rPr>
                <w:rFonts w:ascii="Times" w:hAnsi="Times" w:cs="Arial"/>
              </w:rPr>
            </w:pPr>
            <w:r w:rsidRPr="00FF6DF5">
              <w:rPr>
                <w:rFonts w:ascii="Times" w:hAnsi="Times" w:cs="Arial"/>
              </w:rPr>
              <w:t>- An act providing benefits and programs to strengthen, promote, and develop the Philippine startup ecosystem</w:t>
            </w:r>
          </w:p>
          <w:p w14:paraId="33B89757" w14:textId="77777777" w:rsidR="00B52DEF" w:rsidRPr="00FF6DF5" w:rsidRDefault="00B52DEF" w:rsidP="006146E4">
            <w:pPr>
              <w:jc w:val="both"/>
              <w:rPr>
                <w:rFonts w:ascii="Times" w:hAnsi="Times" w:cs="Arial"/>
              </w:rPr>
            </w:pPr>
            <w:r w:rsidRPr="00FF6DF5">
              <w:rPr>
                <w:rFonts w:ascii="Times" w:hAnsi="Times" w:cs="Arial"/>
              </w:rPr>
              <w:t>- This act establishes the Innovative Startup Development Program to provide financial and non-financial support to innovative startups. Support includes easier business registration procedures, R&amp;D grants, fee exemptions from using government equipment and facilities, visa application subsidy for foreign owners, workers, and investors (includes exemption from alien employment permit and creation of innovative startup visas), Intellectual Property of the Philippines-related benefits and incentives, and tax exemptions. Easier business registration processes through (1) waived application fees; refund of fees for the permits and certificates; and expedited processing of permits and certificates. Tax exemptions related to income tax, VAT, withholding tax are for the commercialization of innovative products and services.</w:t>
            </w:r>
          </w:p>
          <w:p w14:paraId="4B92BF7E" w14:textId="77777777" w:rsidR="00B52DEF" w:rsidRPr="00FF6DF5" w:rsidRDefault="00B52DEF" w:rsidP="006146E4">
            <w:pPr>
              <w:jc w:val="both"/>
              <w:rPr>
                <w:rFonts w:ascii="Times" w:hAnsi="Times" w:cs="Arial"/>
              </w:rPr>
            </w:pPr>
            <w:r w:rsidRPr="00FF6DF5">
              <w:rPr>
                <w:rFonts w:ascii="Times" w:hAnsi="Times" w:cs="Arial"/>
              </w:rPr>
              <w:t>-The act also creates a Php10-billlion Innovative Startup Venture Fund which covers initial or supplemental grants for innovative startup recipients (administered under DOST).</w:t>
            </w:r>
          </w:p>
          <w:p w14:paraId="57C92B46" w14:textId="77777777" w:rsidR="00B52DEF" w:rsidRPr="00FF6DF5" w:rsidRDefault="00B52DEF" w:rsidP="006146E4">
            <w:pPr>
              <w:jc w:val="both"/>
              <w:rPr>
                <w:rFonts w:ascii="Times" w:hAnsi="Times" w:cs="Arial"/>
              </w:rPr>
            </w:pPr>
            <w:r w:rsidRPr="00FF6DF5">
              <w:rPr>
                <w:rFonts w:ascii="Times" w:hAnsi="Times" w:cs="Arial"/>
              </w:rPr>
              <w:t>-Innovative startups are defined as “a registered business entity in the Philippine operating for no longer than 60 months from the commencement of their business operation whose core business function involves product, process, or business model innovation…provided that:</w:t>
            </w:r>
          </w:p>
          <w:p w14:paraId="5B8E08D9" w14:textId="77777777" w:rsidR="00B52DEF" w:rsidRPr="00FF6DF5" w:rsidRDefault="00B52DEF" w:rsidP="006146E4">
            <w:pPr>
              <w:jc w:val="both"/>
              <w:rPr>
                <w:rFonts w:ascii="Times" w:hAnsi="Times" w:cs="Arial"/>
              </w:rPr>
            </w:pPr>
            <w:r w:rsidRPr="00FF6DF5">
              <w:rPr>
                <w:rFonts w:ascii="Times" w:hAnsi="Times" w:cs="Arial"/>
              </w:rPr>
              <w:t>i. the innovative product, process, or business model is the primary source of revenue of the business entity;</w:t>
            </w:r>
          </w:p>
          <w:p w14:paraId="72F666AA" w14:textId="77777777" w:rsidR="00B52DEF" w:rsidRPr="00FF6DF5" w:rsidRDefault="00B52DEF" w:rsidP="006146E4">
            <w:pPr>
              <w:jc w:val="both"/>
              <w:rPr>
                <w:rFonts w:ascii="Times" w:hAnsi="Times" w:cs="Arial"/>
              </w:rPr>
            </w:pPr>
            <w:r w:rsidRPr="00FF6DF5">
              <w:rPr>
                <w:rFonts w:ascii="Times" w:hAnsi="Times" w:cs="Arial"/>
              </w:rPr>
              <w:t>ii. the business entity is not a mere end user of the innovative product, process, or business model;</w:t>
            </w:r>
          </w:p>
          <w:p w14:paraId="71CD6EEE" w14:textId="77777777" w:rsidR="00B52DEF" w:rsidRPr="00FF6DF5" w:rsidRDefault="00B52DEF" w:rsidP="006146E4">
            <w:pPr>
              <w:jc w:val="both"/>
              <w:rPr>
                <w:rFonts w:ascii="Times" w:hAnsi="Times" w:cs="Arial"/>
              </w:rPr>
            </w:pPr>
            <w:r w:rsidRPr="00FF6DF5">
              <w:rPr>
                <w:rFonts w:ascii="Times" w:hAnsi="Times" w:cs="Arial"/>
              </w:rPr>
              <w:t>iii. the cost of the business entity for research and development is at least 15% of its total operational cost, or is a licensee or owner of a patent or registered software; and</w:t>
            </w:r>
          </w:p>
          <w:p w14:paraId="7125A54E" w14:textId="77777777" w:rsidR="00B52DEF" w:rsidRPr="00FF6DF5" w:rsidRDefault="00B52DEF" w:rsidP="006146E4">
            <w:pPr>
              <w:jc w:val="both"/>
              <w:rPr>
                <w:rFonts w:ascii="Times" w:hAnsi="Times" w:cs="Arial"/>
              </w:rPr>
            </w:pPr>
            <w:r w:rsidRPr="00FF6DF5">
              <w:rPr>
                <w:rFonts w:ascii="Times" w:hAnsi="Times" w:cs="Arial"/>
              </w:rPr>
              <w:t>iv. the gross annual revenue of the business entity has not exceeded Php50,000,000.”</w:t>
            </w:r>
          </w:p>
        </w:tc>
      </w:tr>
      <w:tr w:rsidR="00B52DEF" w:rsidRPr="00FF6DF5" w14:paraId="59697CB3" w14:textId="77777777" w:rsidTr="006146E4">
        <w:tc>
          <w:tcPr>
            <w:tcW w:w="2245" w:type="dxa"/>
          </w:tcPr>
          <w:p w14:paraId="59E3B984" w14:textId="77777777" w:rsidR="00B52DEF" w:rsidRPr="00FF6DF5" w:rsidRDefault="00B52DEF" w:rsidP="006146E4">
            <w:pPr>
              <w:jc w:val="both"/>
              <w:rPr>
                <w:rFonts w:ascii="Times" w:hAnsi="Times" w:cs="Arial"/>
              </w:rPr>
            </w:pPr>
            <w:r w:rsidRPr="00FF6DF5">
              <w:rPr>
                <w:rFonts w:ascii="Times" w:hAnsi="Times" w:cs="Arial"/>
              </w:rPr>
              <w:t>Magna Carta for MSMEs of 2008 (Republic Act No.9501; original enactment in 1991)</w:t>
            </w:r>
          </w:p>
        </w:tc>
        <w:tc>
          <w:tcPr>
            <w:tcW w:w="7105" w:type="dxa"/>
          </w:tcPr>
          <w:p w14:paraId="1050E542" w14:textId="77777777" w:rsidR="00B52DEF" w:rsidRPr="00FF6DF5" w:rsidRDefault="00B52DEF" w:rsidP="006146E4">
            <w:pPr>
              <w:jc w:val="both"/>
              <w:rPr>
                <w:rFonts w:ascii="Times" w:hAnsi="Times" w:cs="Arial"/>
              </w:rPr>
            </w:pPr>
            <w:r w:rsidRPr="00FF6DF5">
              <w:rPr>
                <w:rFonts w:ascii="Times" w:hAnsi="Times" w:cs="Arial"/>
              </w:rPr>
              <w:t>- Promotes MSME development, particularly rural/</w:t>
            </w:r>
            <w:proofErr w:type="spellStart"/>
            <w:r w:rsidRPr="00FF6DF5">
              <w:rPr>
                <w:rFonts w:ascii="Times" w:hAnsi="Times" w:cs="Arial"/>
              </w:rPr>
              <w:t>agri</w:t>
            </w:r>
            <w:proofErr w:type="spellEnd"/>
            <w:r w:rsidRPr="00FF6DF5">
              <w:rPr>
                <w:rFonts w:ascii="Times" w:hAnsi="Times" w:cs="Arial"/>
              </w:rPr>
              <w:t>-based enterprises, in order to “attain countryside industrialization”, through (a) skills training and development, (b) financial access (including reducing loan requirements, safeguarding credit delivery systems), (c) ensuring fair share of countryside MSMEs in acquiring government contracts and incentives, (d) increasing efficiency and effectiveness of government MSME support services, (e) linkage promotion between small and large enterprises, (f) public-private partnerships on MSMEs development</w:t>
            </w:r>
          </w:p>
          <w:p w14:paraId="0A77C276" w14:textId="77777777" w:rsidR="00B52DEF" w:rsidRPr="00FF6DF5" w:rsidRDefault="00B52DEF" w:rsidP="00B52DEF">
            <w:pPr>
              <w:numPr>
                <w:ilvl w:val="0"/>
                <w:numId w:val="30"/>
              </w:numPr>
              <w:spacing w:line="256" w:lineRule="auto"/>
              <w:jc w:val="both"/>
              <w:rPr>
                <w:rFonts w:ascii="Times" w:eastAsia="Calibri" w:hAnsi="Times" w:cs="Arial"/>
              </w:rPr>
            </w:pPr>
            <w:r w:rsidRPr="00FF6DF5">
              <w:rPr>
                <w:rFonts w:ascii="Times" w:eastAsia="Calibri" w:hAnsi="Times" w:cs="Arial"/>
              </w:rPr>
              <w:t>This law requires enactment of Micro, Small and Medium Enterprises Development Plan (MSMEDP), and creation of the Small Business Guarantee and Finance Corporation (SB Corporation)</w:t>
            </w:r>
          </w:p>
          <w:p w14:paraId="2F6BE629" w14:textId="77777777" w:rsidR="00B52DEF" w:rsidRPr="00FF6DF5" w:rsidRDefault="00B52DEF" w:rsidP="00B52DEF">
            <w:pPr>
              <w:numPr>
                <w:ilvl w:val="0"/>
                <w:numId w:val="30"/>
              </w:numPr>
              <w:spacing w:line="256" w:lineRule="auto"/>
              <w:jc w:val="both"/>
              <w:rPr>
                <w:rFonts w:ascii="Times" w:eastAsia="Calibri" w:hAnsi="Times" w:cs="Arial"/>
              </w:rPr>
            </w:pPr>
            <w:r w:rsidRPr="00FF6DF5">
              <w:rPr>
                <w:rFonts w:ascii="Times" w:eastAsia="Calibri" w:hAnsi="Times" w:cs="Arial"/>
              </w:rPr>
              <w:t>SB Corporation “shall be charged with the primary responsibility of implementing comprehensive policies and programs to assist MSMEs in all areas, including but not limited to finance and information services, training and marketing”</w:t>
            </w:r>
          </w:p>
        </w:tc>
      </w:tr>
      <w:tr w:rsidR="00B52DEF" w:rsidRPr="00FF6DF5" w14:paraId="05BF20D2" w14:textId="77777777" w:rsidTr="006146E4">
        <w:tc>
          <w:tcPr>
            <w:tcW w:w="2245" w:type="dxa"/>
          </w:tcPr>
          <w:p w14:paraId="3EE1B5A5" w14:textId="77777777" w:rsidR="00B52DEF" w:rsidRPr="00FF6DF5" w:rsidRDefault="00B52DEF" w:rsidP="006146E4">
            <w:pPr>
              <w:jc w:val="both"/>
              <w:rPr>
                <w:rFonts w:ascii="Times" w:hAnsi="Times" w:cs="Arial"/>
              </w:rPr>
            </w:pPr>
            <w:r w:rsidRPr="00FF6DF5">
              <w:rPr>
                <w:rFonts w:ascii="Times" w:hAnsi="Times" w:cs="Arial"/>
              </w:rPr>
              <w:t>Barangay Micro</w:t>
            </w:r>
          </w:p>
          <w:p w14:paraId="740253E1" w14:textId="77777777" w:rsidR="00B52DEF" w:rsidRPr="00FF6DF5" w:rsidRDefault="00B52DEF" w:rsidP="006146E4">
            <w:pPr>
              <w:jc w:val="both"/>
              <w:rPr>
                <w:rFonts w:ascii="Times" w:hAnsi="Times" w:cs="Arial"/>
              </w:rPr>
            </w:pPr>
            <w:r w:rsidRPr="00FF6DF5">
              <w:rPr>
                <w:rFonts w:ascii="Times" w:hAnsi="Times" w:cs="Arial"/>
              </w:rPr>
              <w:t>Business Enterprises Act of 2002 (Republic Act No.9178)</w:t>
            </w:r>
          </w:p>
        </w:tc>
        <w:tc>
          <w:tcPr>
            <w:tcW w:w="7105" w:type="dxa"/>
          </w:tcPr>
          <w:p w14:paraId="1858CFE2" w14:textId="77777777" w:rsidR="00B52DEF" w:rsidRPr="00FF6DF5" w:rsidRDefault="00B52DEF" w:rsidP="006146E4">
            <w:pPr>
              <w:jc w:val="both"/>
              <w:rPr>
                <w:rFonts w:ascii="Times" w:hAnsi="Times" w:cs="Arial"/>
              </w:rPr>
            </w:pPr>
            <w:r w:rsidRPr="00FF6DF5">
              <w:rPr>
                <w:rFonts w:ascii="Times" w:hAnsi="Times" w:cs="Arial"/>
              </w:rPr>
              <w:t>- Promotes MSME development (i.e., “formation and growth of barangay micro business enterprises”), by aiming “to integrate micro enterprises in the informal sector into the mainstream economy”</w:t>
            </w:r>
          </w:p>
          <w:p w14:paraId="222BCF5E" w14:textId="77777777" w:rsidR="00B52DEF" w:rsidRPr="00FF6DF5" w:rsidRDefault="00B52DEF" w:rsidP="00B52DEF">
            <w:pPr>
              <w:numPr>
                <w:ilvl w:val="0"/>
                <w:numId w:val="31"/>
              </w:numPr>
              <w:spacing w:line="256" w:lineRule="auto"/>
              <w:jc w:val="both"/>
              <w:rPr>
                <w:rFonts w:ascii="Times" w:eastAsia="Calibri" w:hAnsi="Times" w:cs="Arial"/>
              </w:rPr>
            </w:pPr>
            <w:r w:rsidRPr="00FF6DF5">
              <w:rPr>
                <w:rFonts w:ascii="Times" w:eastAsia="Calibri" w:hAnsi="Times" w:cs="Arial"/>
              </w:rPr>
              <w:t>To support BMBE growth, incentives will be provided. Examples of incentives for registered BMBEs are the following: (a) income tax exemptions, (b) Minimum Wage Law exemption, (c) special credit window priority for BMBE financing, (d) access to BMBE support programs, such as technology transfer, production/management training, and marketing support</w:t>
            </w:r>
          </w:p>
        </w:tc>
      </w:tr>
      <w:tr w:rsidR="00B52DEF" w:rsidRPr="00FF6DF5" w14:paraId="5E6190F0" w14:textId="77777777" w:rsidTr="006146E4">
        <w:tc>
          <w:tcPr>
            <w:tcW w:w="2245" w:type="dxa"/>
          </w:tcPr>
          <w:p w14:paraId="105AB956" w14:textId="77777777" w:rsidR="00B52DEF" w:rsidRPr="00FF6DF5" w:rsidRDefault="00B52DEF" w:rsidP="006146E4">
            <w:pPr>
              <w:jc w:val="both"/>
              <w:rPr>
                <w:rFonts w:ascii="Times" w:hAnsi="Times" w:cs="Arial"/>
              </w:rPr>
            </w:pPr>
            <w:r w:rsidRPr="00FF6DF5">
              <w:rPr>
                <w:rFonts w:ascii="Times" w:hAnsi="Times" w:cs="Arial"/>
              </w:rPr>
              <w:t>Microfinance NGOs Act (Republic Act No.10693)</w:t>
            </w:r>
          </w:p>
        </w:tc>
        <w:tc>
          <w:tcPr>
            <w:tcW w:w="7105" w:type="dxa"/>
          </w:tcPr>
          <w:p w14:paraId="0384CFB1" w14:textId="77777777" w:rsidR="00B52DEF" w:rsidRPr="00FF6DF5" w:rsidRDefault="00B52DEF" w:rsidP="006146E4">
            <w:pPr>
              <w:jc w:val="both"/>
              <w:rPr>
                <w:rFonts w:ascii="Times" w:hAnsi="Times" w:cs="Arial"/>
              </w:rPr>
            </w:pPr>
            <w:r w:rsidRPr="00FF6DF5">
              <w:rPr>
                <w:rFonts w:ascii="Times" w:hAnsi="Times" w:cs="Arial"/>
              </w:rPr>
              <w:t>- Promotes MSME development by supporting microfinance NGOs dealing with microfinance operations for the entrepreneurial poor</w:t>
            </w:r>
          </w:p>
          <w:p w14:paraId="19207CAA" w14:textId="77777777" w:rsidR="00B52DEF" w:rsidRPr="00FF6DF5" w:rsidRDefault="00B52DEF" w:rsidP="00B52DEF">
            <w:pPr>
              <w:numPr>
                <w:ilvl w:val="0"/>
                <w:numId w:val="32"/>
              </w:numPr>
              <w:spacing w:line="256" w:lineRule="auto"/>
              <w:jc w:val="both"/>
              <w:rPr>
                <w:rFonts w:ascii="Times" w:eastAsia="Calibri" w:hAnsi="Times" w:cs="Arial"/>
              </w:rPr>
            </w:pPr>
            <w:r w:rsidRPr="00FF6DF5">
              <w:rPr>
                <w:rFonts w:ascii="Times" w:eastAsia="Calibri" w:hAnsi="Times" w:cs="Arial"/>
              </w:rPr>
              <w:t xml:space="preserve">Stipulates the core programs and services to be delivered by microfinance NGOs, namely (a) microcredit and financial literacy programs, and (b) microcredit and CBU or </w:t>
            </w:r>
            <w:proofErr w:type="spellStart"/>
            <w:r w:rsidRPr="00FF6DF5">
              <w:rPr>
                <w:rFonts w:ascii="Times" w:eastAsia="Calibri" w:hAnsi="Times" w:cs="Arial"/>
              </w:rPr>
              <w:t>microsavings</w:t>
            </w:r>
            <w:proofErr w:type="spellEnd"/>
          </w:p>
          <w:p w14:paraId="0E5B448D" w14:textId="77777777" w:rsidR="00B52DEF" w:rsidRPr="00FF6DF5" w:rsidRDefault="00B52DEF" w:rsidP="00B52DEF">
            <w:pPr>
              <w:numPr>
                <w:ilvl w:val="0"/>
                <w:numId w:val="32"/>
              </w:numPr>
              <w:spacing w:line="256" w:lineRule="auto"/>
              <w:jc w:val="both"/>
              <w:rPr>
                <w:rFonts w:ascii="Times" w:eastAsia="Calibri" w:hAnsi="Times" w:cs="Arial"/>
              </w:rPr>
            </w:pPr>
            <w:r w:rsidRPr="00FF6DF5">
              <w:rPr>
                <w:rFonts w:ascii="Times" w:eastAsia="Calibri" w:hAnsi="Times" w:cs="Arial"/>
              </w:rPr>
              <w:t>Provides microfinance NGOs access to government support services, such as (a) provision of operational and capacity building grants, and (b) low interest loans and guarantee funds</w:t>
            </w:r>
          </w:p>
        </w:tc>
      </w:tr>
      <w:tr w:rsidR="00B52DEF" w:rsidRPr="00FF6DF5" w14:paraId="56A5B66D" w14:textId="77777777" w:rsidTr="006146E4">
        <w:tc>
          <w:tcPr>
            <w:tcW w:w="2245" w:type="dxa"/>
          </w:tcPr>
          <w:p w14:paraId="60023E79" w14:textId="77777777" w:rsidR="00B52DEF" w:rsidRPr="00FF6DF5" w:rsidRDefault="00B52DEF" w:rsidP="006146E4">
            <w:pPr>
              <w:jc w:val="both"/>
              <w:rPr>
                <w:rFonts w:ascii="Times" w:hAnsi="Times" w:cs="Arial"/>
              </w:rPr>
            </w:pPr>
            <w:r w:rsidRPr="00FF6DF5">
              <w:rPr>
                <w:rFonts w:ascii="Times" w:hAnsi="Times" w:cs="Arial"/>
              </w:rPr>
              <w:t>Credit Surety</w:t>
            </w:r>
          </w:p>
          <w:p w14:paraId="51238864" w14:textId="77777777" w:rsidR="00B52DEF" w:rsidRPr="00FF6DF5" w:rsidRDefault="00B52DEF" w:rsidP="006146E4">
            <w:pPr>
              <w:jc w:val="both"/>
              <w:rPr>
                <w:rFonts w:ascii="Times" w:hAnsi="Times" w:cs="Arial"/>
              </w:rPr>
            </w:pPr>
            <w:r w:rsidRPr="00FF6DF5">
              <w:rPr>
                <w:rFonts w:ascii="Times" w:hAnsi="Times" w:cs="Arial"/>
              </w:rPr>
              <w:t>Fund Cooperative Act (Republic Act No.10744)</w:t>
            </w:r>
          </w:p>
        </w:tc>
        <w:tc>
          <w:tcPr>
            <w:tcW w:w="7105" w:type="dxa"/>
          </w:tcPr>
          <w:p w14:paraId="5B343566" w14:textId="77777777" w:rsidR="00B52DEF" w:rsidRPr="00FF6DF5" w:rsidRDefault="00B52DEF" w:rsidP="006146E4">
            <w:pPr>
              <w:jc w:val="both"/>
              <w:rPr>
                <w:rFonts w:ascii="Times" w:hAnsi="Times" w:cs="Arial"/>
                <w:shd w:val="clear" w:color="auto" w:fill="FFFFFF"/>
              </w:rPr>
            </w:pPr>
            <w:r w:rsidRPr="00FF6DF5">
              <w:rPr>
                <w:rFonts w:ascii="Times" w:hAnsi="Times" w:cs="Arial"/>
              </w:rPr>
              <w:t xml:space="preserve">- Promotes MSME development, with aims to </w:t>
            </w:r>
            <w:r w:rsidRPr="00FF6DF5">
              <w:rPr>
                <w:rFonts w:ascii="Times" w:hAnsi="Times" w:cs="Arial"/>
                <w:shd w:val="clear" w:color="auto" w:fill="FFFFFF"/>
              </w:rPr>
              <w:t>“(a) encourage, promote and assist in the creation and organization of CSF Cooperatives; (b) enhance the creditworthiness of MSMEs, cooperatives and NGOs and broaden their access to the credit facilities of banks; (c) sustain the continuous flow of credit in the countryside through the establishment of well and prudently managed CSFs which shall serve as surety covers; (d) build up the capability of cooperatives and NGOs in the areas of credit evaluation, loan and risk management, and good governance principles; (e) generate employment and contribute to the poverty alleviation program of the government through increased investments and economic activities; and (f) strengthen the CDA by providing it with powers and resources to enable it to effectively regulate cooperatives, including CSF Cooperatives”</w:t>
            </w:r>
          </w:p>
          <w:p w14:paraId="7CF1786C" w14:textId="77777777" w:rsidR="00B52DEF" w:rsidRPr="00FF6DF5" w:rsidRDefault="00B52DEF" w:rsidP="00B52DEF">
            <w:pPr>
              <w:numPr>
                <w:ilvl w:val="0"/>
                <w:numId w:val="33"/>
              </w:numPr>
              <w:spacing w:line="256" w:lineRule="auto"/>
              <w:jc w:val="both"/>
              <w:rPr>
                <w:rFonts w:ascii="Times" w:eastAsia="Calibri" w:hAnsi="Times" w:cs="Arial"/>
                <w:shd w:val="clear" w:color="auto" w:fill="FFFFFF"/>
              </w:rPr>
            </w:pPr>
            <w:r w:rsidRPr="00FF6DF5">
              <w:rPr>
                <w:rFonts w:ascii="Times" w:eastAsia="Calibri" w:hAnsi="Times" w:cs="Arial"/>
                <w:shd w:val="clear" w:color="auto" w:fill="FFFFFF"/>
              </w:rPr>
              <w:t>The law creates the Credit Surety Fund (CSF), which acts as a “</w:t>
            </w:r>
            <w:r w:rsidRPr="00FF6DF5">
              <w:rPr>
                <w:rFonts w:ascii="Times" w:eastAsia="Calibri" w:hAnsi="Times" w:cs="Arial"/>
              </w:rPr>
              <w:t>security for loans of MSMEs from banking institutions by providing a surety cover in lieu of acceptable collaterals”</w:t>
            </w:r>
            <w:r w:rsidRPr="00FF6DF5">
              <w:rPr>
                <w:rFonts w:ascii="Times" w:eastAsia="Calibri" w:hAnsi="Times" w:cs="Arial"/>
                <w:shd w:val="clear" w:color="auto" w:fill="FFFFFF"/>
              </w:rPr>
              <w:t xml:space="preserve"> </w:t>
            </w:r>
          </w:p>
        </w:tc>
      </w:tr>
    </w:tbl>
    <w:p w14:paraId="2E5462B8" w14:textId="77777777" w:rsidR="00B52DEF" w:rsidRPr="00FF6DF5" w:rsidRDefault="00B52DEF" w:rsidP="00B52DEF">
      <w:pPr>
        <w:jc w:val="both"/>
        <w:rPr>
          <w:rFonts w:ascii="Times" w:eastAsia="PMingLiU" w:hAnsi="Times" w:cs="Times New Roman"/>
          <w:lang w:eastAsia="zh-TW"/>
        </w:rPr>
      </w:pPr>
    </w:p>
    <w:p w14:paraId="3F793EF2" w14:textId="77777777" w:rsidR="00F918A8" w:rsidRPr="002D22B7" w:rsidRDefault="00F918A8" w:rsidP="00F918A8">
      <w:pPr>
        <w:shd w:val="clear" w:color="auto" w:fill="FFFFFF"/>
        <w:spacing w:before="100" w:beforeAutospacing="1" w:after="100" w:afterAutospacing="1" w:line="256" w:lineRule="auto"/>
        <w:contextualSpacing/>
        <w:jc w:val="both"/>
        <w:rPr>
          <w:rFonts w:cs="Times New Roman"/>
        </w:rPr>
      </w:pPr>
      <w:r w:rsidRPr="002D22B7">
        <w:rPr>
          <w:rFonts w:cs="Times New Roman"/>
        </w:rPr>
        <w:t xml:space="preserve">Plans and action points are only one way in which the government has rolled out support to entrepreneurs. In September of 2016, Senate Bill No. 1532, better known as the Innovative Startup Act was proposed by Senator Paolo </w:t>
      </w:r>
      <w:proofErr w:type="spellStart"/>
      <w:r w:rsidRPr="002D22B7">
        <w:rPr>
          <w:rFonts w:cs="Times New Roman"/>
        </w:rPr>
        <w:t>Benigno</w:t>
      </w:r>
      <w:proofErr w:type="spellEnd"/>
      <w:r w:rsidRPr="002D22B7">
        <w:rPr>
          <w:rFonts w:cs="Times New Roman"/>
        </w:rPr>
        <w:t xml:space="preserve"> "Bam" Aquino IV to help improve the Ease of Business, aiming to increase incentives and eradicate constraints. Eventually, in May 2018, the Innovative Startup Act was unanimously approved in a fundamental step forward towards empowering innovators and entrepreneurs throughout the Philippines. As Senator Bam Aquino stated, this bill will “provide unique and relevant solutions to our problems, from daily hassles, like finding a taxi during rush hour, to improving the delivery of healthcare, providing support for our farmers, and addressing unemployment…with a heart for nation building.”</w:t>
      </w:r>
      <w:r w:rsidRPr="002D22B7">
        <w:rPr>
          <w:rFonts w:cs="Times New Roman"/>
          <w:vertAlign w:val="superscript"/>
        </w:rPr>
        <w:endnoteReference w:id="75"/>
      </w:r>
      <w:r w:rsidRPr="002D22B7">
        <w:rPr>
          <w:rFonts w:cs="Times New Roman"/>
        </w:rPr>
        <w:t xml:space="preserve"> More specifically, the bill aims to encourage and support more innovative startups through financial subsidies like tax breaks and grants, easier business registration procedures and technical assistance and training programs through the Department of Science and Technology (DOST), Department of Information and Communications Technology (DICT), and/or the Department of Trade and Industry (DTI) under an Innovative Startup Development Program</w:t>
      </w:r>
      <w:r w:rsidRPr="002D22B7">
        <w:rPr>
          <w:rFonts w:cs="Times New Roman"/>
          <w:vertAlign w:val="superscript"/>
        </w:rPr>
        <w:endnoteReference w:id="76"/>
      </w:r>
      <w:r w:rsidRPr="002D22B7">
        <w:rPr>
          <w:rFonts w:cs="Times New Roman"/>
        </w:rPr>
        <w:t>. Lastly, it includes a provision for PHP 10bn Innovative Startup Venture Fund that entrepreneurs can apply for. This fund will be administered by the Department of Science and Technology.</w:t>
      </w:r>
    </w:p>
    <w:p w14:paraId="2970A434" w14:textId="77777777" w:rsidR="00F918A8" w:rsidRPr="002D22B7" w:rsidRDefault="00F918A8" w:rsidP="00F918A8">
      <w:pPr>
        <w:shd w:val="clear" w:color="auto" w:fill="FFFFFF"/>
        <w:spacing w:before="100" w:beforeAutospacing="1" w:after="100" w:afterAutospacing="1"/>
        <w:ind w:left="360"/>
        <w:contextualSpacing/>
        <w:jc w:val="both"/>
        <w:rPr>
          <w:rFonts w:cs="Times New Roman"/>
        </w:rPr>
      </w:pPr>
    </w:p>
    <w:p w14:paraId="61583402" w14:textId="77777777" w:rsidR="00F918A8" w:rsidRPr="002D22B7" w:rsidRDefault="00F918A8" w:rsidP="00F918A8">
      <w:pPr>
        <w:shd w:val="clear" w:color="auto" w:fill="FFFFFF"/>
        <w:spacing w:before="100" w:beforeAutospacing="1" w:after="100" w:afterAutospacing="1" w:line="256" w:lineRule="auto"/>
        <w:contextualSpacing/>
        <w:jc w:val="both"/>
        <w:rPr>
          <w:rFonts w:cs="Times New Roman"/>
        </w:rPr>
      </w:pPr>
      <w:r w:rsidRPr="002D22B7">
        <w:rPr>
          <w:rFonts w:cs="Times New Roman"/>
        </w:rPr>
        <w:t xml:space="preserve">Other relevant laws for startups include the Go </w:t>
      </w:r>
      <w:proofErr w:type="spellStart"/>
      <w:r w:rsidRPr="002D22B7">
        <w:rPr>
          <w:rFonts w:cs="Times New Roman"/>
        </w:rPr>
        <w:t>Negosyo</w:t>
      </w:r>
      <w:proofErr w:type="spellEnd"/>
      <w:r w:rsidRPr="002D22B7">
        <w:rPr>
          <w:rFonts w:cs="Times New Roman"/>
        </w:rPr>
        <w:t xml:space="preserve"> Act 2015, which aim to provide “one-stop-shops” all over the Philippines for business registration and development assistance, as well as the 2017 Philippines Innovation Act, which most notably provides tax exemptions for startups.</w:t>
      </w:r>
    </w:p>
    <w:p w14:paraId="0FD017C2" w14:textId="77777777" w:rsidR="00F918A8" w:rsidRPr="002D22B7" w:rsidRDefault="00F918A8" w:rsidP="00F918A8">
      <w:pPr>
        <w:shd w:val="clear" w:color="auto" w:fill="FFFFFF"/>
        <w:spacing w:before="100" w:beforeAutospacing="1" w:after="100" w:afterAutospacing="1"/>
        <w:ind w:left="360"/>
        <w:contextualSpacing/>
        <w:jc w:val="both"/>
        <w:rPr>
          <w:rFonts w:cs="Times New Roman"/>
        </w:rPr>
      </w:pPr>
      <w:r w:rsidRPr="002D22B7">
        <w:rPr>
          <w:rFonts w:cs="Times New Roman"/>
        </w:rPr>
        <w:t xml:space="preserve"> </w:t>
      </w:r>
    </w:p>
    <w:p w14:paraId="5F91B27A" w14:textId="088F49BD" w:rsidR="00F918A8" w:rsidRPr="002D22B7" w:rsidRDefault="00F918A8" w:rsidP="00F918A8">
      <w:pPr>
        <w:shd w:val="clear" w:color="auto" w:fill="FFFFFF"/>
        <w:spacing w:before="100" w:beforeAutospacing="1" w:after="100" w:afterAutospacing="1" w:line="256" w:lineRule="auto"/>
        <w:contextualSpacing/>
        <w:jc w:val="both"/>
        <w:rPr>
          <w:rFonts w:cs="Times New Roman"/>
        </w:rPr>
      </w:pPr>
      <w:r w:rsidRPr="002D22B7">
        <w:rPr>
          <w:rFonts w:cs="Times New Roman"/>
        </w:rPr>
        <w:t xml:space="preserve">Two of the most notable results of all these government measures is 1) Slingshot Philippines, an event bringing together different startup ecosystem players from throughout the country. The first event occurred in July 2015 and had over 1,000 participants in attendance; and 2) </w:t>
      </w:r>
      <w:r w:rsidRPr="002D22B7">
        <w:rPr>
          <w:rFonts w:cs="Times New Roman"/>
          <w:i/>
        </w:rPr>
        <w:t>QBO Innovation Hub</w:t>
      </w:r>
      <w:r w:rsidRPr="002D22B7">
        <w:rPr>
          <w:rFonts w:cs="Times New Roman"/>
        </w:rPr>
        <w:t>, which is a partnership between the public sector (DTI, DOST) and private sector (</w:t>
      </w:r>
      <w:proofErr w:type="spellStart"/>
      <w:r w:rsidRPr="002D22B7">
        <w:rPr>
          <w:rFonts w:cs="Times New Roman"/>
        </w:rPr>
        <w:t>IdeaSpace</w:t>
      </w:r>
      <w:proofErr w:type="spellEnd"/>
      <w:r w:rsidRPr="002D22B7">
        <w:rPr>
          <w:rFonts w:cs="Times New Roman"/>
        </w:rPr>
        <w:t>, JP Morgan) with the chief aim of increasing connections within the ecosystem, such as with entrepreneurs, investors, and universities, to exchange ideas and collaborate on innovative projects.</w:t>
      </w:r>
      <w:r w:rsidRPr="002D22B7">
        <w:rPr>
          <w:rFonts w:cs="Times New Roman"/>
          <w:vertAlign w:val="superscript"/>
        </w:rPr>
        <w:t xml:space="preserve"> </w:t>
      </w:r>
      <w:r w:rsidRPr="002D22B7">
        <w:rPr>
          <w:rFonts w:cs="Times New Roman"/>
          <w:vertAlign w:val="superscript"/>
        </w:rPr>
        <w:endnoteReference w:id="77"/>
      </w:r>
      <w:r w:rsidRPr="002D22B7">
        <w:rPr>
          <w:rFonts w:cs="Times New Roman"/>
        </w:rPr>
        <w:t>.</w:t>
      </w:r>
      <w:r>
        <w:rPr>
          <w:rFonts w:cs="Times New Roman"/>
        </w:rPr>
        <w:t xml:space="preserve"> </w:t>
      </w:r>
      <w:r w:rsidRPr="002D22B7">
        <w:rPr>
          <w:rFonts w:cs="Times New Roman"/>
        </w:rPr>
        <w:t xml:space="preserve">In addition, there are roughly 13 relevant bills or actions taken all with the chief purpose of easing the situation for entrepreneurs (See box 1). </w:t>
      </w:r>
    </w:p>
    <w:p w14:paraId="222412B7" w14:textId="77777777" w:rsidR="00F918A8" w:rsidRDefault="00F918A8" w:rsidP="00F918A8">
      <w:pPr>
        <w:spacing w:line="256" w:lineRule="auto"/>
        <w:contextualSpacing/>
        <w:jc w:val="both"/>
        <w:rPr>
          <w:rFonts w:cs="Times New Roman"/>
        </w:rPr>
      </w:pPr>
    </w:p>
    <w:p w14:paraId="7378DC1E" w14:textId="3B540A83" w:rsidR="00F918A8" w:rsidRPr="002D22B7" w:rsidRDefault="00F918A8" w:rsidP="00F918A8">
      <w:pPr>
        <w:spacing w:line="256" w:lineRule="auto"/>
        <w:contextualSpacing/>
        <w:jc w:val="both"/>
        <w:rPr>
          <w:rFonts w:ascii="Cambria" w:hAnsi="Cambria" w:cs="Tahoma"/>
        </w:rPr>
      </w:pPr>
      <w:r w:rsidRPr="002D22B7">
        <w:rPr>
          <w:rFonts w:asciiTheme="minorHAnsi" w:hAnsiTheme="minorHAnsi"/>
          <w:noProof/>
        </w:rPr>
        <mc:AlternateContent>
          <mc:Choice Requires="wps">
            <w:drawing>
              <wp:anchor distT="0" distB="0" distL="114300" distR="114300" simplePos="0" relativeHeight="251650048" behindDoc="0" locked="0" layoutInCell="1" allowOverlap="1" wp14:anchorId="0E9438DB" wp14:editId="6755DB89">
                <wp:simplePos x="0" y="0"/>
                <wp:positionH relativeFrom="column">
                  <wp:posOffset>-60325</wp:posOffset>
                </wp:positionH>
                <wp:positionV relativeFrom="page">
                  <wp:posOffset>2862580</wp:posOffset>
                </wp:positionV>
                <wp:extent cx="6172835" cy="3185160"/>
                <wp:effectExtent l="0" t="0" r="0" b="0"/>
                <wp:wrapSquare wrapText="bothSides"/>
                <wp:docPr id="117" name="Text Box 117"/>
                <wp:cNvGraphicFramePr/>
                <a:graphic xmlns:a="http://schemas.openxmlformats.org/drawingml/2006/main">
                  <a:graphicData uri="http://schemas.microsoft.com/office/word/2010/wordprocessingShape">
                    <wps:wsp>
                      <wps:cNvSpPr txBox="1"/>
                      <wps:spPr>
                        <a:xfrm>
                          <a:off x="0" y="0"/>
                          <a:ext cx="6172835" cy="3185160"/>
                        </a:xfrm>
                        <a:prstGeom prst="rect">
                          <a:avLst/>
                        </a:prstGeom>
                        <a:noFill/>
                        <a:ln>
                          <a:noFill/>
                        </a:ln>
                        <a:effectLst/>
                      </wps:spPr>
                      <wps:txbx>
                        <w:txbxContent>
                          <w:p w14:paraId="045511A4" w14:textId="77777777" w:rsidR="006A439E" w:rsidRDefault="006A439E" w:rsidP="00F918A8">
                            <w:pPr>
                              <w:pStyle w:val="Heading5"/>
                              <w:rPr>
                                <w:b/>
                              </w:rPr>
                            </w:pPr>
                            <w:r>
                              <w:rPr>
                                <w:b/>
                              </w:rPr>
                              <w:t>Box 1. Existing relevant bills to support entrepreneurs in the Philippines</w:t>
                            </w:r>
                          </w:p>
                          <w:p w14:paraId="4E92624C" w14:textId="77777777" w:rsidR="006A439E" w:rsidRPr="002D22B7" w:rsidRDefault="006A439E" w:rsidP="00F918A8">
                            <w:p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rPr>
                                <w:rFonts w:ascii="Tahoma" w:hAnsi="Tahoma" w:cs="Tahoma"/>
                                <w:color w:val="000000"/>
                                <w:sz w:val="20"/>
                              </w:rPr>
                            </w:pPr>
                            <w:r w:rsidRPr="002D22B7">
                              <w:rPr>
                                <w:rFonts w:ascii="Tahoma" w:hAnsi="Tahoma" w:cs="Tahoma"/>
                                <w:color w:val="000000"/>
                                <w:sz w:val="20"/>
                              </w:rPr>
                              <w:t xml:space="preserve">(either existing or in the pipeline) </w:t>
                            </w:r>
                            <w:r w:rsidRPr="002D22B7">
                              <w:rPr>
                                <w:rFonts w:ascii="Tahoma" w:hAnsi="Tahoma" w:cs="Tahoma"/>
                                <w:i/>
                                <w:color w:val="000000"/>
                                <w:sz w:val="20"/>
                              </w:rPr>
                              <w:t>might</w:t>
                            </w:r>
                            <w:r w:rsidRPr="002D22B7">
                              <w:rPr>
                                <w:rFonts w:ascii="Tahoma" w:hAnsi="Tahoma" w:cs="Tahoma"/>
                                <w:color w:val="000000"/>
                                <w:sz w:val="20"/>
                              </w:rPr>
                              <w:t xml:space="preserve"> include, but is not limited to:</w:t>
                            </w:r>
                          </w:p>
                          <w:p w14:paraId="60D1CD68"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line="240" w:lineRule="auto"/>
                              <w:rPr>
                                <w:rFonts w:cs="Times New Roman"/>
                                <w:color w:val="000000"/>
                                <w:sz w:val="20"/>
                                <w:szCs w:val="20"/>
                              </w:rPr>
                            </w:pPr>
                            <w:r>
                              <w:rPr>
                                <w:rFonts w:cs="Times New Roman"/>
                                <w:color w:val="000000"/>
                                <w:sz w:val="20"/>
                                <w:szCs w:val="20"/>
                              </w:rPr>
                              <w:t>The Innovation Bill</w:t>
                            </w:r>
                          </w:p>
                          <w:p w14:paraId="6BC1F9C7"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line="240" w:lineRule="auto"/>
                              <w:rPr>
                                <w:rFonts w:cs="Times New Roman"/>
                                <w:color w:val="000000"/>
                                <w:sz w:val="20"/>
                                <w:szCs w:val="20"/>
                              </w:rPr>
                            </w:pPr>
                            <w:r>
                              <w:rPr>
                                <w:rFonts w:cs="Times New Roman"/>
                                <w:color w:val="000000"/>
                                <w:sz w:val="20"/>
                                <w:szCs w:val="20"/>
                              </w:rPr>
                              <w:t>Tax Rationalization Bill</w:t>
                            </w:r>
                          </w:p>
                          <w:p w14:paraId="0B982FD2"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line="240" w:lineRule="auto"/>
                              <w:rPr>
                                <w:rFonts w:cs="Times New Roman"/>
                                <w:color w:val="000000"/>
                                <w:sz w:val="20"/>
                                <w:szCs w:val="20"/>
                              </w:rPr>
                            </w:pPr>
                            <w:r>
                              <w:rPr>
                                <w:rFonts w:cs="Times New Roman"/>
                                <w:color w:val="000000"/>
                                <w:sz w:val="20"/>
                                <w:szCs w:val="20"/>
                              </w:rPr>
                              <w:t xml:space="preserve">Start Up Bill </w:t>
                            </w:r>
                          </w:p>
                          <w:p w14:paraId="686F4DC0"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line="240" w:lineRule="auto"/>
                              <w:rPr>
                                <w:rFonts w:cs="Times New Roman"/>
                                <w:color w:val="000000"/>
                                <w:sz w:val="20"/>
                                <w:szCs w:val="20"/>
                              </w:rPr>
                            </w:pPr>
                            <w:r>
                              <w:rPr>
                                <w:rFonts w:cs="Times New Roman"/>
                                <w:color w:val="000000"/>
                                <w:sz w:val="20"/>
                                <w:szCs w:val="20"/>
                              </w:rPr>
                              <w:t>The Youth Entrepreneurship Bill</w:t>
                            </w:r>
                          </w:p>
                          <w:p w14:paraId="11069D03"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line="240" w:lineRule="auto"/>
                              <w:rPr>
                                <w:rFonts w:cs="Times New Roman"/>
                                <w:color w:val="000000"/>
                                <w:sz w:val="20"/>
                                <w:szCs w:val="20"/>
                              </w:rPr>
                            </w:pPr>
                            <w:r>
                              <w:rPr>
                                <w:rFonts w:cs="Times New Roman"/>
                                <w:color w:val="000000"/>
                                <w:sz w:val="20"/>
                                <w:szCs w:val="20"/>
                              </w:rPr>
                              <w:t>Poverty Reduction through Social Entrepreneurship Bill</w:t>
                            </w:r>
                          </w:p>
                          <w:p w14:paraId="45C242E6"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line="240" w:lineRule="auto"/>
                              <w:rPr>
                                <w:rFonts w:cs="Times New Roman"/>
                                <w:color w:val="000000"/>
                                <w:sz w:val="20"/>
                                <w:szCs w:val="20"/>
                              </w:rPr>
                            </w:pPr>
                            <w:r>
                              <w:rPr>
                                <w:rFonts w:cs="Times New Roman"/>
                                <w:color w:val="000000"/>
                                <w:sz w:val="20"/>
                                <w:szCs w:val="20"/>
                              </w:rPr>
                              <w:t>The Competition Act</w:t>
                            </w:r>
                          </w:p>
                          <w:p w14:paraId="488D3DFB"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line="240" w:lineRule="auto"/>
                              <w:rPr>
                                <w:rFonts w:cs="Times New Roman"/>
                                <w:color w:val="000000"/>
                                <w:sz w:val="20"/>
                                <w:szCs w:val="20"/>
                              </w:rPr>
                            </w:pPr>
                            <w:r>
                              <w:rPr>
                                <w:rFonts w:cs="Times New Roman"/>
                                <w:color w:val="000000"/>
                                <w:sz w:val="20"/>
                                <w:szCs w:val="20"/>
                              </w:rPr>
                              <w:t>I</w:t>
                            </w:r>
                            <w:r>
                              <w:rPr>
                                <w:rFonts w:eastAsia="Times New Roman" w:cs="Times New Roman"/>
                                <w:bCs/>
                                <w:color w:val="000000"/>
                                <w:sz w:val="20"/>
                                <w:szCs w:val="20"/>
                                <w:shd w:val="clear" w:color="auto" w:fill="FFFFFF"/>
                              </w:rPr>
                              <w:t xml:space="preserve">nformal Economy Transition Act </w:t>
                            </w:r>
                          </w:p>
                          <w:p w14:paraId="6D8FAA83"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line="240" w:lineRule="auto"/>
                              <w:rPr>
                                <w:rFonts w:cs="Times New Roman"/>
                                <w:color w:val="000000"/>
                                <w:sz w:val="20"/>
                                <w:szCs w:val="20"/>
                              </w:rPr>
                            </w:pPr>
                            <w:r>
                              <w:rPr>
                                <w:rFonts w:eastAsia="Times New Roman" w:cs="Times New Roman"/>
                                <w:bCs/>
                                <w:color w:val="000000"/>
                                <w:sz w:val="20"/>
                                <w:szCs w:val="20"/>
                                <w:shd w:val="clear" w:color="auto" w:fill="FFFFFF"/>
                              </w:rPr>
                              <w:t>Micro, Small, and Medium Enterprises Bill (increasing financing through development banks)</w:t>
                            </w:r>
                          </w:p>
                          <w:p w14:paraId="3B8D45BF"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line="240" w:lineRule="auto"/>
                              <w:rPr>
                                <w:rFonts w:cs="Times New Roman"/>
                                <w:color w:val="000000"/>
                                <w:sz w:val="20"/>
                                <w:szCs w:val="20"/>
                              </w:rPr>
                            </w:pPr>
                            <w:r>
                              <w:rPr>
                                <w:rFonts w:eastAsia="Times New Roman" w:cs="Times New Roman"/>
                                <w:bCs/>
                                <w:color w:val="000000"/>
                                <w:sz w:val="20"/>
                                <w:szCs w:val="20"/>
                                <w:shd w:val="clear" w:color="auto" w:fill="FFFFFF"/>
                              </w:rPr>
                              <w:t>Fast Business Permit Act (attempting to improve the ease of starting a business)</w:t>
                            </w:r>
                          </w:p>
                          <w:p w14:paraId="35B9886E"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line="240" w:lineRule="auto"/>
                              <w:rPr>
                                <w:rFonts w:cs="Times New Roman"/>
                                <w:color w:val="000000"/>
                                <w:sz w:val="20"/>
                                <w:szCs w:val="20"/>
                              </w:rPr>
                            </w:pPr>
                            <w:r>
                              <w:rPr>
                                <w:rFonts w:cs="Times New Roman"/>
                                <w:color w:val="000000"/>
                                <w:sz w:val="20"/>
                                <w:szCs w:val="20"/>
                              </w:rPr>
                              <w:t xml:space="preserve"> Secured Transactions Act </w:t>
                            </w:r>
                          </w:p>
                          <w:p w14:paraId="29B3A7D9"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line="240" w:lineRule="auto"/>
                              <w:rPr>
                                <w:rFonts w:cs="Times New Roman"/>
                                <w:color w:val="000000"/>
                                <w:sz w:val="20"/>
                                <w:szCs w:val="20"/>
                              </w:rPr>
                            </w:pPr>
                            <w:r>
                              <w:rPr>
                                <w:rFonts w:cs="Times New Roman"/>
                                <w:color w:val="000000"/>
                                <w:sz w:val="20"/>
                                <w:szCs w:val="20"/>
                              </w:rPr>
                              <w:t xml:space="preserve"> Retail Liberalization Law </w:t>
                            </w:r>
                          </w:p>
                          <w:p w14:paraId="6C3AF909"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0" w:line="240" w:lineRule="auto"/>
                              <w:rPr>
                                <w:rFonts w:eastAsia="Times New Roman" w:cs="Times New Roman"/>
                                <w:sz w:val="20"/>
                                <w:szCs w:val="20"/>
                              </w:rPr>
                            </w:pPr>
                            <w:r>
                              <w:rPr>
                                <w:rFonts w:eastAsia="Times New Roman" w:cs="Times New Roman"/>
                                <w:color w:val="0A0A0A"/>
                                <w:sz w:val="20"/>
                                <w:szCs w:val="20"/>
                                <w:shd w:val="clear" w:color="auto" w:fill="FEFEFE"/>
                              </w:rPr>
                              <w:t>An Inclusive Innovation Roadmap (DOST &amp; DTI)</w:t>
                            </w:r>
                          </w:p>
                          <w:p w14:paraId="2D70B9DE"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0" w:line="240" w:lineRule="auto"/>
                              <w:rPr>
                                <w:rFonts w:cs="Times New Roman"/>
                                <w:sz w:val="20"/>
                                <w:szCs w:val="20"/>
                              </w:rPr>
                            </w:pPr>
                            <w:r>
                              <w:rPr>
                                <w:rFonts w:cs="Times New Roman"/>
                                <w:sz w:val="20"/>
                                <w:szCs w:val="20"/>
                              </w:rPr>
                              <w:t>Foreign ownership restrictions for companies that operate in certain industries, such as: education, media, banking, and finance. In those cases, 100% of ownership must be Filipino. In other industries the number sits at 40%.</w:t>
                            </w:r>
                          </w:p>
                          <w:p w14:paraId="58974D31" w14:textId="77777777" w:rsidR="006A439E" w:rsidRDefault="006A439E" w:rsidP="00F918A8">
                            <w:p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rPr>
                                <w:rFonts w:asciiTheme="minorHAnsi" w:hAnsiTheme="minorHAnsi"/>
                                <w:sz w:val="16"/>
                                <w:szCs w:val="16"/>
                              </w:rPr>
                            </w:pPr>
                            <w:r>
                              <w:rPr>
                                <w:sz w:val="16"/>
                                <w:szCs w:val="16"/>
                              </w:rPr>
                              <w:t>Source: Author elaboration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438DB" id="Text Box 117" o:spid="_x0000_s1030" type="#_x0000_t202" style="position:absolute;left:0;text-align:left;margin-left:-4.75pt;margin-top:225.4pt;width:486.05pt;height:250.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tywMAIAAGIEAAAOAAAAZHJzL2Uyb0RvYy54bWysVE2P2jAQvVfqf7B8LyEsX40IK7orqkpo&#10;dyWo9mwcm0SKPa5tSOiv79ghLN32VPVi5ivjefOeWdy3qiYnYV0FOqfpYEiJ0ByKSh9y+n23/jSn&#10;xHmmC1aDFjk9C0fvlx8/LBqTiRGUUBfCEmyiXdaYnJbemyxJHC+FYm4ARmhMSrCKeXTtISksa7C7&#10;qpPRcDhNGrCFscCFcxh97JJ0GftLKbh/ltIJT+qc4mw+njae+3AmywXLDpaZsuKXMdg/TKFYpfHS&#10;a6tH5hk52uqPVqriFhxIP+CgEpCy4iJiQDTp8B2abcmMiFhwOc5c1+T+X1v+dHqxpCqQu3RGiWYK&#10;SdqJ1pMv0JIQww01xmVYuDVY6ltMYHUfdxgMwFtpVfhFSATzuOvzdb+hHcfgNJ2N5ncTSjjm7tL5&#10;JJ1GBpK3z411/qsARYKRU4sExr2y08Z5HAVL+5Jwm4Z1VdeRxFr/FsDCLiKiCi5fByTdxMHy7b6N&#10;2Ec9mj0UZwRpoROKM3xd4SAb5vwLs6gMxIVq9894yBqanMLFoqQE+/Nv8VCPhGGWkgaVllP348is&#10;oKT+ppHKz+l4HKQZnfFkNkLH3mb2txl9VA+AYk7xXRkezVDv696UFtQrPopVuBVTTHO8O6e+Nx98&#10;p398VFysVrEIxWiY3+it4aF12GRY8659ZdZcuPBI4xP0mmTZO0q62o6D1dGDrCJfYc/dVpG84KCQ&#10;I42XRxdeyq0fq97+Gpa/AAAA//8DAFBLAwQUAAYACAAAACEARHmti94AAAAKAQAADwAAAGRycy9k&#10;b3ducmV2LnhtbEyPwU7DMAyG70i8Q2QkbltC1Va0azohEFcQGyDtljVeW9E4VZOt5e0xJ7jZ8qff&#10;319tFzeIC06h96Thbq1AIDXe9tRqeN8/r+5BhGjImsETavjGANv6+qoypfUzveFlF1vBIRRKo6GL&#10;cSylDE2HzoS1H5H4dvKTM5HXqZV2MjOHu0EmSuXSmZ74Q2dGfOyw+dqdnYaPl9PhM1Wv7ZPLxtkv&#10;SpIrpNa3N8vDBkTEJf7B8KvP6lCz09GfyQYxaFgVGZMa0kxxBQaKPMlBHHnIkhRkXcn/FeofAAAA&#10;//8DAFBLAQItABQABgAIAAAAIQC2gziS/gAAAOEBAAATAAAAAAAAAAAAAAAAAAAAAABbQ29udGVu&#10;dF9UeXBlc10ueG1sUEsBAi0AFAAGAAgAAAAhADj9If/WAAAAlAEAAAsAAAAAAAAAAAAAAAAALwEA&#10;AF9yZWxzLy5yZWxzUEsBAi0AFAAGAAgAAAAhAB7i3LAwAgAAYgQAAA4AAAAAAAAAAAAAAAAALgIA&#10;AGRycy9lMm9Eb2MueG1sUEsBAi0AFAAGAAgAAAAhAER5rYveAAAACgEAAA8AAAAAAAAAAAAAAAAA&#10;igQAAGRycy9kb3ducmV2LnhtbFBLBQYAAAAABAAEAPMAAACVBQAAAAA=&#10;" filled="f" stroked="f">
                <v:textbox>
                  <w:txbxContent>
                    <w:p w14:paraId="045511A4" w14:textId="77777777" w:rsidR="006A439E" w:rsidRDefault="006A439E" w:rsidP="00F918A8">
                      <w:pPr>
                        <w:pStyle w:val="Heading5"/>
                        <w:rPr>
                          <w:b/>
                        </w:rPr>
                      </w:pPr>
                      <w:r>
                        <w:rPr>
                          <w:b/>
                        </w:rPr>
                        <w:t>Box 1. Existing relevant bills to support entrepreneurs in the Philippines</w:t>
                      </w:r>
                    </w:p>
                    <w:p w14:paraId="4E92624C" w14:textId="77777777" w:rsidR="006A439E" w:rsidRPr="002D22B7" w:rsidRDefault="006A439E" w:rsidP="00F918A8">
                      <w:p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rPr>
                          <w:rFonts w:ascii="Tahoma" w:hAnsi="Tahoma" w:cs="Tahoma"/>
                          <w:color w:val="000000"/>
                          <w:sz w:val="20"/>
                        </w:rPr>
                      </w:pPr>
                      <w:r w:rsidRPr="002D22B7">
                        <w:rPr>
                          <w:rFonts w:ascii="Tahoma" w:hAnsi="Tahoma" w:cs="Tahoma"/>
                          <w:color w:val="000000"/>
                          <w:sz w:val="20"/>
                        </w:rPr>
                        <w:t xml:space="preserve">(either existing or in the pipeline) </w:t>
                      </w:r>
                      <w:r w:rsidRPr="002D22B7">
                        <w:rPr>
                          <w:rFonts w:ascii="Tahoma" w:hAnsi="Tahoma" w:cs="Tahoma"/>
                          <w:i/>
                          <w:color w:val="000000"/>
                          <w:sz w:val="20"/>
                        </w:rPr>
                        <w:t>might</w:t>
                      </w:r>
                      <w:r w:rsidRPr="002D22B7">
                        <w:rPr>
                          <w:rFonts w:ascii="Tahoma" w:hAnsi="Tahoma" w:cs="Tahoma"/>
                          <w:color w:val="000000"/>
                          <w:sz w:val="20"/>
                        </w:rPr>
                        <w:t xml:space="preserve"> include, but is not limited to:</w:t>
                      </w:r>
                    </w:p>
                    <w:p w14:paraId="60D1CD68"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line="240" w:lineRule="auto"/>
                        <w:rPr>
                          <w:rFonts w:cs="Times New Roman"/>
                          <w:color w:val="000000"/>
                          <w:sz w:val="20"/>
                          <w:szCs w:val="20"/>
                        </w:rPr>
                      </w:pPr>
                      <w:r>
                        <w:rPr>
                          <w:rFonts w:cs="Times New Roman"/>
                          <w:color w:val="000000"/>
                          <w:sz w:val="20"/>
                          <w:szCs w:val="20"/>
                        </w:rPr>
                        <w:t>The Innovation Bill</w:t>
                      </w:r>
                    </w:p>
                    <w:p w14:paraId="6BC1F9C7"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line="240" w:lineRule="auto"/>
                        <w:rPr>
                          <w:rFonts w:cs="Times New Roman"/>
                          <w:color w:val="000000"/>
                          <w:sz w:val="20"/>
                          <w:szCs w:val="20"/>
                        </w:rPr>
                      </w:pPr>
                      <w:r>
                        <w:rPr>
                          <w:rFonts w:cs="Times New Roman"/>
                          <w:color w:val="000000"/>
                          <w:sz w:val="20"/>
                          <w:szCs w:val="20"/>
                        </w:rPr>
                        <w:t>Tax Rationalization Bill</w:t>
                      </w:r>
                    </w:p>
                    <w:p w14:paraId="0B982FD2"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line="240" w:lineRule="auto"/>
                        <w:rPr>
                          <w:rFonts w:cs="Times New Roman"/>
                          <w:color w:val="000000"/>
                          <w:sz w:val="20"/>
                          <w:szCs w:val="20"/>
                        </w:rPr>
                      </w:pPr>
                      <w:r>
                        <w:rPr>
                          <w:rFonts w:cs="Times New Roman"/>
                          <w:color w:val="000000"/>
                          <w:sz w:val="20"/>
                          <w:szCs w:val="20"/>
                        </w:rPr>
                        <w:t xml:space="preserve">Start Up Bill </w:t>
                      </w:r>
                    </w:p>
                    <w:p w14:paraId="686F4DC0"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line="240" w:lineRule="auto"/>
                        <w:rPr>
                          <w:rFonts w:cs="Times New Roman"/>
                          <w:color w:val="000000"/>
                          <w:sz w:val="20"/>
                          <w:szCs w:val="20"/>
                        </w:rPr>
                      </w:pPr>
                      <w:r>
                        <w:rPr>
                          <w:rFonts w:cs="Times New Roman"/>
                          <w:color w:val="000000"/>
                          <w:sz w:val="20"/>
                          <w:szCs w:val="20"/>
                        </w:rPr>
                        <w:t>The Youth Entrepreneurship Bill</w:t>
                      </w:r>
                    </w:p>
                    <w:p w14:paraId="11069D03"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line="240" w:lineRule="auto"/>
                        <w:rPr>
                          <w:rFonts w:cs="Times New Roman"/>
                          <w:color w:val="000000"/>
                          <w:sz w:val="20"/>
                          <w:szCs w:val="20"/>
                        </w:rPr>
                      </w:pPr>
                      <w:r>
                        <w:rPr>
                          <w:rFonts w:cs="Times New Roman"/>
                          <w:color w:val="000000"/>
                          <w:sz w:val="20"/>
                          <w:szCs w:val="20"/>
                        </w:rPr>
                        <w:t>Poverty Reduction through Social Entrepreneurship Bill</w:t>
                      </w:r>
                    </w:p>
                    <w:p w14:paraId="45C242E6"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line="240" w:lineRule="auto"/>
                        <w:rPr>
                          <w:rFonts w:cs="Times New Roman"/>
                          <w:color w:val="000000"/>
                          <w:sz w:val="20"/>
                          <w:szCs w:val="20"/>
                        </w:rPr>
                      </w:pPr>
                      <w:r>
                        <w:rPr>
                          <w:rFonts w:cs="Times New Roman"/>
                          <w:color w:val="000000"/>
                          <w:sz w:val="20"/>
                          <w:szCs w:val="20"/>
                        </w:rPr>
                        <w:t>The Competition Act</w:t>
                      </w:r>
                    </w:p>
                    <w:p w14:paraId="488D3DFB"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line="240" w:lineRule="auto"/>
                        <w:rPr>
                          <w:rFonts w:cs="Times New Roman"/>
                          <w:color w:val="000000"/>
                          <w:sz w:val="20"/>
                          <w:szCs w:val="20"/>
                        </w:rPr>
                      </w:pPr>
                      <w:r>
                        <w:rPr>
                          <w:rFonts w:cs="Times New Roman"/>
                          <w:color w:val="000000"/>
                          <w:sz w:val="20"/>
                          <w:szCs w:val="20"/>
                        </w:rPr>
                        <w:t>I</w:t>
                      </w:r>
                      <w:r>
                        <w:rPr>
                          <w:rFonts w:eastAsia="Times New Roman" w:cs="Times New Roman"/>
                          <w:bCs/>
                          <w:color w:val="000000"/>
                          <w:sz w:val="20"/>
                          <w:szCs w:val="20"/>
                          <w:shd w:val="clear" w:color="auto" w:fill="FFFFFF"/>
                        </w:rPr>
                        <w:t xml:space="preserve">nformal Economy Transition Act </w:t>
                      </w:r>
                    </w:p>
                    <w:p w14:paraId="6D8FAA83"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line="240" w:lineRule="auto"/>
                        <w:rPr>
                          <w:rFonts w:cs="Times New Roman"/>
                          <w:color w:val="000000"/>
                          <w:sz w:val="20"/>
                          <w:szCs w:val="20"/>
                        </w:rPr>
                      </w:pPr>
                      <w:r>
                        <w:rPr>
                          <w:rFonts w:eastAsia="Times New Roman" w:cs="Times New Roman"/>
                          <w:bCs/>
                          <w:color w:val="000000"/>
                          <w:sz w:val="20"/>
                          <w:szCs w:val="20"/>
                          <w:shd w:val="clear" w:color="auto" w:fill="FFFFFF"/>
                        </w:rPr>
                        <w:t>Micro, Small, and Medium Enterprises Bill (increasing financing through development banks)</w:t>
                      </w:r>
                    </w:p>
                    <w:p w14:paraId="3B8D45BF"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line="240" w:lineRule="auto"/>
                        <w:rPr>
                          <w:rFonts w:cs="Times New Roman"/>
                          <w:color w:val="000000"/>
                          <w:sz w:val="20"/>
                          <w:szCs w:val="20"/>
                        </w:rPr>
                      </w:pPr>
                      <w:r>
                        <w:rPr>
                          <w:rFonts w:eastAsia="Times New Roman" w:cs="Times New Roman"/>
                          <w:bCs/>
                          <w:color w:val="000000"/>
                          <w:sz w:val="20"/>
                          <w:szCs w:val="20"/>
                          <w:shd w:val="clear" w:color="auto" w:fill="FFFFFF"/>
                        </w:rPr>
                        <w:t>Fast Business Permit Act (attempting to improve the ease of starting a business)</w:t>
                      </w:r>
                    </w:p>
                    <w:p w14:paraId="35B9886E"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line="240" w:lineRule="auto"/>
                        <w:rPr>
                          <w:rFonts w:cs="Times New Roman"/>
                          <w:color w:val="000000"/>
                          <w:sz w:val="20"/>
                          <w:szCs w:val="20"/>
                        </w:rPr>
                      </w:pPr>
                      <w:r>
                        <w:rPr>
                          <w:rFonts w:cs="Times New Roman"/>
                          <w:color w:val="000000"/>
                          <w:sz w:val="20"/>
                          <w:szCs w:val="20"/>
                        </w:rPr>
                        <w:t xml:space="preserve"> Secured Transactions Act </w:t>
                      </w:r>
                    </w:p>
                    <w:p w14:paraId="29B3A7D9"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120" w:line="240" w:lineRule="auto"/>
                        <w:rPr>
                          <w:rFonts w:cs="Times New Roman"/>
                          <w:color w:val="000000"/>
                          <w:sz w:val="20"/>
                          <w:szCs w:val="20"/>
                        </w:rPr>
                      </w:pPr>
                      <w:r>
                        <w:rPr>
                          <w:rFonts w:cs="Times New Roman"/>
                          <w:color w:val="000000"/>
                          <w:sz w:val="20"/>
                          <w:szCs w:val="20"/>
                        </w:rPr>
                        <w:t xml:space="preserve"> Retail Liberalization Law </w:t>
                      </w:r>
                    </w:p>
                    <w:p w14:paraId="6C3AF909"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0" w:line="240" w:lineRule="auto"/>
                        <w:rPr>
                          <w:rFonts w:eastAsia="Times New Roman" w:cs="Times New Roman"/>
                          <w:sz w:val="20"/>
                          <w:szCs w:val="20"/>
                        </w:rPr>
                      </w:pPr>
                      <w:r>
                        <w:rPr>
                          <w:rFonts w:eastAsia="Times New Roman" w:cs="Times New Roman"/>
                          <w:color w:val="0A0A0A"/>
                          <w:sz w:val="20"/>
                          <w:szCs w:val="20"/>
                          <w:shd w:val="clear" w:color="auto" w:fill="FEFEFE"/>
                        </w:rPr>
                        <w:t>An Inclusive Innovation Roadmap (DOST &amp; DTI)</w:t>
                      </w:r>
                    </w:p>
                    <w:p w14:paraId="2D70B9DE" w14:textId="77777777" w:rsidR="006A439E" w:rsidRDefault="006A439E" w:rsidP="00F918A8">
                      <w:pPr>
                        <w:pStyle w:val="ListParagraph"/>
                        <w:numPr>
                          <w:ilvl w:val="0"/>
                          <w:numId w:val="38"/>
                        </w:num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spacing w:after="0" w:line="240" w:lineRule="auto"/>
                        <w:rPr>
                          <w:rFonts w:cs="Times New Roman"/>
                          <w:sz w:val="20"/>
                          <w:szCs w:val="20"/>
                        </w:rPr>
                      </w:pPr>
                      <w:r>
                        <w:rPr>
                          <w:rFonts w:cs="Times New Roman"/>
                          <w:sz w:val="20"/>
                          <w:szCs w:val="20"/>
                        </w:rPr>
                        <w:t>Foreign ownership restrictions for companies that operate in certain industries, such as: education, media, banking, and finance. In those cases, 100% of ownership must be Filipino. In other industries the number sits at 40%.</w:t>
                      </w:r>
                    </w:p>
                    <w:p w14:paraId="58974D31" w14:textId="77777777" w:rsidR="006A439E" w:rsidRDefault="006A439E" w:rsidP="00F918A8">
                      <w:pPr>
                        <w:pBdr>
                          <w:top w:val="dotted" w:sz="18" w:space="1" w:color="C45911" w:themeColor="accent2" w:themeShade="BF"/>
                          <w:left w:val="dotted" w:sz="18" w:space="4" w:color="C45911" w:themeColor="accent2" w:themeShade="BF"/>
                          <w:bottom w:val="dotted" w:sz="18" w:space="1" w:color="C45911" w:themeColor="accent2" w:themeShade="BF"/>
                          <w:right w:val="dotted" w:sz="18" w:space="4" w:color="C45911" w:themeColor="accent2" w:themeShade="BF"/>
                        </w:pBdr>
                        <w:rPr>
                          <w:rFonts w:asciiTheme="minorHAnsi" w:hAnsiTheme="minorHAnsi"/>
                          <w:sz w:val="16"/>
                          <w:szCs w:val="16"/>
                        </w:rPr>
                      </w:pPr>
                      <w:r>
                        <w:rPr>
                          <w:sz w:val="16"/>
                          <w:szCs w:val="16"/>
                        </w:rPr>
                        <w:t>Source: Author elaboration</w:t>
                      </w:r>
                    </w:p>
                  </w:txbxContent>
                </v:textbox>
                <w10:wrap type="square" anchory="page"/>
              </v:shape>
            </w:pict>
          </mc:Fallback>
        </mc:AlternateContent>
      </w:r>
      <w:r w:rsidRPr="002D22B7">
        <w:rPr>
          <w:rFonts w:cs="Times New Roman"/>
        </w:rPr>
        <w:t>This level of government involvement in entrepreneurship can be a positive mechanism to seeing consistent growth in an ecosystem, take Rwanda for example. In its post-genocide years, Rwanda’s government took a strategic, holistic approach to promoting entrepreneurship, and in less than two decades saw the creation of 72,000 new ventures, which in a decade tripled exports and reduced poverty by 25%.</w:t>
      </w:r>
      <w:r w:rsidRPr="002D22B7">
        <w:rPr>
          <w:rFonts w:cs="Times New Roman"/>
          <w:vertAlign w:val="superscript"/>
        </w:rPr>
        <w:endnoteReference w:id="78"/>
      </w:r>
      <w:r w:rsidRPr="002D22B7">
        <w:rPr>
          <w:rFonts w:cs="Times New Roman"/>
        </w:rPr>
        <w:t xml:space="preserve">  This was done, by identifying three local industries (coffee, tea, and tourism) and actively organizing the</w:t>
      </w:r>
      <w:bookmarkStart w:id="112" w:name="_Toc511132283"/>
      <w:r w:rsidRPr="002D22B7">
        <w:rPr>
          <w:rFonts w:cs="Times New Roman"/>
        </w:rPr>
        <w:t xml:space="preserve"> institutions that would support them from</w:t>
      </w:r>
      <w:r w:rsidRPr="002D22B7">
        <w:rPr>
          <w:rFonts w:ascii="Cambria" w:hAnsi="Cambria" w:cs="Tahoma"/>
        </w:rPr>
        <w:t xml:space="preserve"> throughout the country, for example, by training farmers to grow and package coffee to international standards and connecting them to overseas distribution channels. Impressively, </w:t>
      </w:r>
      <w:r w:rsidRPr="002D22B7">
        <w:rPr>
          <w:rFonts w:cs="Times New Roman"/>
        </w:rPr>
        <w:t xml:space="preserve">this government-led strategy had extreme and lasting success, however, these benefits didn’t develop in a vacuum, while the “platonic ideal of entrepreneurial ecosystems, based on success stories like Silicon Valley or Boulder, Colorado,” as </w:t>
      </w:r>
      <w:proofErr w:type="spellStart"/>
      <w:r w:rsidRPr="002D22B7">
        <w:rPr>
          <w:rFonts w:cs="Times New Roman"/>
        </w:rPr>
        <w:t>Spigel</w:t>
      </w:r>
      <w:proofErr w:type="spellEnd"/>
      <w:r w:rsidRPr="002D22B7">
        <w:rPr>
          <w:rFonts w:cs="Times New Roman"/>
        </w:rPr>
        <w:t xml:space="preserve"> and Stam note, involves an entrepreneur-led transformation, more detailed histories of these cases, such as in the Rwandan, Chilean (fish), and Israeli (USB drives) domination of several key markets, demonstrate that the state, philanthropic organizations, and universities play a major role in their development</w:t>
      </w:r>
      <w:r w:rsidRPr="002D22B7">
        <w:rPr>
          <w:rFonts w:ascii="Cambria" w:hAnsi="Cambria" w:cs="Tahoma"/>
        </w:rPr>
        <w:t xml:space="preserve">. </w:t>
      </w:r>
      <w:r w:rsidRPr="002D22B7">
        <w:rPr>
          <w:vertAlign w:val="superscript"/>
        </w:rPr>
        <w:endnoteReference w:id="79"/>
      </w:r>
      <w:bookmarkEnd w:id="112"/>
    </w:p>
    <w:p w14:paraId="7EA15704" w14:textId="77777777" w:rsidR="00F918A8" w:rsidRDefault="00F918A8" w:rsidP="00F918A8">
      <w:pPr>
        <w:spacing w:after="0" w:line="240" w:lineRule="auto"/>
        <w:jc w:val="both"/>
        <w:rPr>
          <w:rFonts w:ascii="Times" w:eastAsia="PMingLiU" w:hAnsi="Times" w:cs="Arial"/>
          <w:lang w:eastAsia="zh-TW"/>
        </w:rPr>
      </w:pPr>
    </w:p>
    <w:p w14:paraId="765BEEA1" w14:textId="77777777" w:rsidR="00B52DEF" w:rsidRPr="00B52DEF" w:rsidRDefault="00B52DEF" w:rsidP="00B52DEF"/>
    <w:p w14:paraId="3FDE82C3" w14:textId="77777777" w:rsidR="00F63A95" w:rsidRDefault="00F63A95">
      <w:pPr>
        <w:rPr>
          <w:rFonts w:asciiTheme="majorHAnsi" w:eastAsiaTheme="majorEastAsia" w:hAnsiTheme="majorHAnsi" w:cstheme="majorBidi"/>
          <w:color w:val="2F5496" w:themeColor="accent1" w:themeShade="BF"/>
          <w:sz w:val="32"/>
          <w:szCs w:val="32"/>
        </w:rPr>
      </w:pPr>
      <w:r>
        <w:br w:type="page"/>
      </w:r>
    </w:p>
    <w:p w14:paraId="2E903261" w14:textId="24B9F0DE" w:rsidR="00806A3F" w:rsidRDefault="00B52DEF" w:rsidP="00806A3F">
      <w:pPr>
        <w:pStyle w:val="Heading1"/>
      </w:pPr>
      <w:bookmarkStart w:id="113" w:name="_Toc10740067"/>
      <w:bookmarkStart w:id="114" w:name="_Toc12503541"/>
      <w:r>
        <w:t xml:space="preserve">Annex </w:t>
      </w:r>
      <w:r w:rsidR="00A40252">
        <w:t>4</w:t>
      </w:r>
      <w:r>
        <w:t xml:space="preserve">. </w:t>
      </w:r>
      <w:r w:rsidR="00931647">
        <w:t>PER Methodology</w:t>
      </w:r>
      <w:r w:rsidR="00F33AD6">
        <w:t xml:space="preserve"> </w:t>
      </w:r>
      <w:r w:rsidR="00DF149F">
        <w:t>– RAPID vs. FULL</w:t>
      </w:r>
      <w:bookmarkEnd w:id="59"/>
      <w:bookmarkEnd w:id="60"/>
      <w:bookmarkEnd w:id="113"/>
      <w:bookmarkEnd w:id="114"/>
    </w:p>
    <w:p w14:paraId="67597C3B" w14:textId="13BC9139" w:rsidR="00497AB9" w:rsidRDefault="00497AB9" w:rsidP="00497AB9"/>
    <w:p w14:paraId="363544A5" w14:textId="54BE7EC2" w:rsidR="00806A3F" w:rsidRDefault="00AF163C">
      <w:r>
        <w:rPr>
          <w:noProof/>
        </w:rPr>
        <w:drawing>
          <wp:inline distT="0" distB="0" distL="0" distR="0" wp14:anchorId="4E4F1231" wp14:editId="6E2A80EF">
            <wp:extent cx="5943600" cy="278384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783840"/>
                    </a:xfrm>
                    <a:prstGeom prst="rect">
                      <a:avLst/>
                    </a:prstGeom>
                  </pic:spPr>
                </pic:pic>
              </a:graphicData>
            </a:graphic>
          </wp:inline>
        </w:drawing>
      </w:r>
      <w:r w:rsidR="00806A3F">
        <w:br w:type="page"/>
      </w:r>
    </w:p>
    <w:p w14:paraId="2898AD20" w14:textId="77777777" w:rsidR="00806A3F" w:rsidRPr="00806A3F" w:rsidRDefault="00806A3F" w:rsidP="00806A3F"/>
    <w:p w14:paraId="38CF02AB" w14:textId="629F4271" w:rsidR="00F354EA" w:rsidRPr="00F354EA" w:rsidRDefault="00F61675" w:rsidP="00BC58B4">
      <w:pPr>
        <w:pStyle w:val="Heading1"/>
      </w:pPr>
      <w:bookmarkStart w:id="115" w:name="_Toc10740069"/>
      <w:bookmarkStart w:id="116" w:name="_Toc12503542"/>
      <w:r>
        <w:t xml:space="preserve">Annex </w:t>
      </w:r>
      <w:r w:rsidR="00A40252">
        <w:t>5</w:t>
      </w:r>
      <w:r w:rsidR="00113A9D">
        <w:t xml:space="preserve">. </w:t>
      </w:r>
      <w:r w:rsidR="00F354EA" w:rsidRPr="00BC58B4">
        <w:t>DTI-DOST programs for MSMEs</w:t>
      </w:r>
      <w:bookmarkEnd w:id="116"/>
      <w:r w:rsidR="00F354EA" w:rsidRPr="00F354EA">
        <w:t xml:space="preserve"> </w:t>
      </w:r>
    </w:p>
    <w:tbl>
      <w:tblPr>
        <w:tblW w:w="8760" w:type="dxa"/>
        <w:tblLook w:val="04A0" w:firstRow="1" w:lastRow="0" w:firstColumn="1" w:lastColumn="0" w:noHBand="0" w:noVBand="1"/>
      </w:tblPr>
      <w:tblGrid>
        <w:gridCol w:w="1929"/>
        <w:gridCol w:w="687"/>
        <w:gridCol w:w="2809"/>
        <w:gridCol w:w="3335"/>
      </w:tblGrid>
      <w:tr w:rsidR="00F354EA" w:rsidRPr="00F354EA" w14:paraId="5214A3FE" w14:textId="77777777" w:rsidTr="0075041F">
        <w:trPr>
          <w:trHeight w:val="320"/>
        </w:trPr>
        <w:tc>
          <w:tcPr>
            <w:tcW w:w="1940" w:type="dxa"/>
            <w:tcBorders>
              <w:top w:val="single" w:sz="4" w:space="0" w:color="auto"/>
              <w:left w:val="nil"/>
              <w:bottom w:val="single" w:sz="4" w:space="0" w:color="auto"/>
              <w:right w:val="nil"/>
            </w:tcBorders>
            <w:shd w:val="clear" w:color="auto" w:fill="auto"/>
            <w:hideMark/>
          </w:tcPr>
          <w:p w14:paraId="78A62545" w14:textId="77777777" w:rsidR="00F354EA" w:rsidRPr="00F354EA" w:rsidRDefault="00F354EA" w:rsidP="00F354EA">
            <w:pPr>
              <w:spacing w:after="0" w:line="240" w:lineRule="auto"/>
              <w:rPr>
                <w:rFonts w:ascii="Times Roman" w:eastAsia="Times New Roman" w:hAnsi="Times Roman" w:cs="Calibri"/>
                <w:b/>
                <w:bCs/>
                <w:color w:val="000000"/>
                <w:sz w:val="18"/>
                <w:szCs w:val="18"/>
                <w:lang w:val="en-PH" w:eastAsia="ko-KR"/>
              </w:rPr>
            </w:pPr>
            <w:r w:rsidRPr="00F354EA">
              <w:rPr>
                <w:rFonts w:ascii="Times Roman" w:eastAsia="Times New Roman" w:hAnsi="Times Roman" w:cs="Calibri"/>
                <w:b/>
                <w:bCs/>
                <w:color w:val="000000"/>
                <w:sz w:val="18"/>
                <w:szCs w:val="18"/>
                <w:lang w:val="en-PH" w:eastAsia="ko-KR"/>
              </w:rPr>
              <w:t>Instrument name</w:t>
            </w:r>
          </w:p>
        </w:tc>
        <w:tc>
          <w:tcPr>
            <w:tcW w:w="560" w:type="dxa"/>
            <w:tcBorders>
              <w:top w:val="single" w:sz="4" w:space="0" w:color="auto"/>
              <w:left w:val="nil"/>
              <w:bottom w:val="single" w:sz="4" w:space="0" w:color="auto"/>
              <w:right w:val="nil"/>
            </w:tcBorders>
            <w:shd w:val="clear" w:color="auto" w:fill="auto"/>
            <w:hideMark/>
          </w:tcPr>
          <w:p w14:paraId="18F0CF64" w14:textId="77777777" w:rsidR="00F354EA" w:rsidRPr="00F354EA" w:rsidRDefault="00F354EA" w:rsidP="00F354EA">
            <w:pPr>
              <w:spacing w:after="0" w:line="240" w:lineRule="auto"/>
              <w:rPr>
                <w:rFonts w:ascii="Times Roman" w:eastAsia="Times New Roman" w:hAnsi="Times Roman" w:cs="Calibri"/>
                <w:b/>
                <w:bCs/>
                <w:color w:val="000000"/>
                <w:sz w:val="18"/>
                <w:szCs w:val="18"/>
                <w:lang w:val="en-PH" w:eastAsia="ko-KR"/>
              </w:rPr>
            </w:pPr>
            <w:r w:rsidRPr="00F354EA">
              <w:rPr>
                <w:rFonts w:ascii="Times Roman" w:eastAsia="Times New Roman" w:hAnsi="Times Roman" w:cs="Calibri"/>
                <w:b/>
                <w:bCs/>
                <w:color w:val="000000"/>
                <w:sz w:val="18"/>
                <w:szCs w:val="18"/>
                <w:lang w:val="en-PH" w:eastAsia="ko-KR"/>
              </w:rPr>
              <w:t> </w:t>
            </w:r>
          </w:p>
        </w:tc>
        <w:tc>
          <w:tcPr>
            <w:tcW w:w="2860" w:type="dxa"/>
            <w:tcBorders>
              <w:top w:val="single" w:sz="4" w:space="0" w:color="auto"/>
              <w:left w:val="nil"/>
              <w:bottom w:val="single" w:sz="4" w:space="0" w:color="auto"/>
              <w:right w:val="nil"/>
            </w:tcBorders>
            <w:shd w:val="clear" w:color="auto" w:fill="auto"/>
            <w:hideMark/>
          </w:tcPr>
          <w:p w14:paraId="6950E49A" w14:textId="77777777" w:rsidR="00F354EA" w:rsidRPr="00F354EA" w:rsidRDefault="00F354EA" w:rsidP="00F354EA">
            <w:pPr>
              <w:spacing w:after="0" w:line="240" w:lineRule="auto"/>
              <w:rPr>
                <w:rFonts w:ascii="Times Roman" w:eastAsia="Times New Roman" w:hAnsi="Times Roman" w:cs="Calibri"/>
                <w:b/>
                <w:bCs/>
                <w:color w:val="000000"/>
                <w:sz w:val="18"/>
                <w:szCs w:val="18"/>
                <w:lang w:val="en-PH" w:eastAsia="ko-KR"/>
              </w:rPr>
            </w:pPr>
            <w:r w:rsidRPr="00F354EA">
              <w:rPr>
                <w:rFonts w:ascii="Times Roman" w:eastAsia="Times New Roman" w:hAnsi="Times Roman" w:cs="Calibri"/>
                <w:b/>
                <w:bCs/>
                <w:color w:val="000000"/>
                <w:sz w:val="18"/>
                <w:szCs w:val="18"/>
                <w:lang w:val="en-PH" w:eastAsia="ko-KR"/>
              </w:rPr>
              <w:t>Implementing Agency</w:t>
            </w:r>
          </w:p>
        </w:tc>
        <w:tc>
          <w:tcPr>
            <w:tcW w:w="3400" w:type="dxa"/>
            <w:tcBorders>
              <w:top w:val="single" w:sz="4" w:space="0" w:color="auto"/>
              <w:left w:val="nil"/>
              <w:bottom w:val="single" w:sz="4" w:space="0" w:color="auto"/>
              <w:right w:val="nil"/>
            </w:tcBorders>
            <w:shd w:val="clear" w:color="auto" w:fill="auto"/>
            <w:hideMark/>
          </w:tcPr>
          <w:p w14:paraId="5F5EC767" w14:textId="77777777" w:rsidR="00F354EA" w:rsidRPr="00F354EA" w:rsidRDefault="00F354EA" w:rsidP="00F354EA">
            <w:pPr>
              <w:spacing w:after="0" w:line="240" w:lineRule="auto"/>
              <w:rPr>
                <w:rFonts w:ascii="Times Roman" w:eastAsia="Times New Roman" w:hAnsi="Times Roman" w:cs="Calibri"/>
                <w:b/>
                <w:bCs/>
                <w:color w:val="000000"/>
                <w:sz w:val="18"/>
                <w:szCs w:val="18"/>
                <w:lang w:val="en-PH" w:eastAsia="ko-KR"/>
              </w:rPr>
            </w:pPr>
            <w:r w:rsidRPr="00F354EA">
              <w:rPr>
                <w:rFonts w:ascii="Times Roman" w:eastAsia="Times New Roman" w:hAnsi="Times Roman" w:cs="Calibri"/>
                <w:b/>
                <w:bCs/>
                <w:color w:val="000000"/>
                <w:sz w:val="18"/>
                <w:szCs w:val="18"/>
                <w:lang w:val="en-PH" w:eastAsia="ko-KR"/>
              </w:rPr>
              <w:t>Type</w:t>
            </w:r>
          </w:p>
        </w:tc>
      </w:tr>
      <w:tr w:rsidR="00F354EA" w:rsidRPr="00F354EA" w14:paraId="504EFA59" w14:textId="77777777" w:rsidTr="0075041F">
        <w:trPr>
          <w:trHeight w:val="780"/>
        </w:trPr>
        <w:tc>
          <w:tcPr>
            <w:tcW w:w="1940" w:type="dxa"/>
            <w:tcBorders>
              <w:top w:val="nil"/>
              <w:left w:val="nil"/>
              <w:bottom w:val="nil"/>
              <w:right w:val="nil"/>
            </w:tcBorders>
            <w:shd w:val="clear" w:color="auto" w:fill="auto"/>
            <w:hideMark/>
          </w:tcPr>
          <w:p w14:paraId="7CE41E7D"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 xml:space="preserve">Green Economic Development (GED) </w:t>
            </w:r>
          </w:p>
        </w:tc>
        <w:tc>
          <w:tcPr>
            <w:tcW w:w="560" w:type="dxa"/>
            <w:tcBorders>
              <w:top w:val="nil"/>
              <w:left w:val="nil"/>
              <w:bottom w:val="nil"/>
              <w:right w:val="nil"/>
            </w:tcBorders>
            <w:shd w:val="clear" w:color="auto" w:fill="auto"/>
            <w:hideMark/>
          </w:tcPr>
          <w:p w14:paraId="56728BBB"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DTI</w:t>
            </w:r>
          </w:p>
        </w:tc>
        <w:tc>
          <w:tcPr>
            <w:tcW w:w="2860" w:type="dxa"/>
            <w:tcBorders>
              <w:top w:val="nil"/>
              <w:left w:val="nil"/>
              <w:bottom w:val="nil"/>
              <w:right w:val="nil"/>
            </w:tcBorders>
            <w:shd w:val="clear" w:color="auto" w:fill="auto"/>
            <w:hideMark/>
          </w:tcPr>
          <w:p w14:paraId="03677B8D"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Regional Operations Group (ROG) (BSMED, DTI Regional and Provincial Offices)</w:t>
            </w:r>
          </w:p>
        </w:tc>
        <w:tc>
          <w:tcPr>
            <w:tcW w:w="3400" w:type="dxa"/>
            <w:tcBorders>
              <w:top w:val="nil"/>
              <w:left w:val="nil"/>
              <w:bottom w:val="nil"/>
              <w:right w:val="nil"/>
            </w:tcBorders>
            <w:shd w:val="clear" w:color="auto" w:fill="auto"/>
            <w:hideMark/>
          </w:tcPr>
          <w:p w14:paraId="33FB71F1"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eastAsia="ko-KR"/>
              </w:rPr>
              <w:t>Education and training of entrepreneurs</w:t>
            </w:r>
          </w:p>
        </w:tc>
      </w:tr>
      <w:tr w:rsidR="00F354EA" w:rsidRPr="00F354EA" w14:paraId="39E53C55" w14:textId="77777777" w:rsidTr="0075041F">
        <w:trPr>
          <w:trHeight w:val="780"/>
        </w:trPr>
        <w:tc>
          <w:tcPr>
            <w:tcW w:w="1940" w:type="dxa"/>
            <w:tcBorders>
              <w:top w:val="nil"/>
              <w:left w:val="nil"/>
              <w:bottom w:val="nil"/>
              <w:right w:val="nil"/>
            </w:tcBorders>
            <w:shd w:val="clear" w:color="auto" w:fill="auto"/>
            <w:hideMark/>
          </w:tcPr>
          <w:p w14:paraId="00E71355"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Shared Service Facilities Project (SSF)</w:t>
            </w:r>
          </w:p>
        </w:tc>
        <w:tc>
          <w:tcPr>
            <w:tcW w:w="560" w:type="dxa"/>
            <w:tcBorders>
              <w:top w:val="nil"/>
              <w:left w:val="nil"/>
              <w:bottom w:val="nil"/>
              <w:right w:val="nil"/>
            </w:tcBorders>
            <w:shd w:val="clear" w:color="auto" w:fill="auto"/>
            <w:hideMark/>
          </w:tcPr>
          <w:p w14:paraId="3BDD660B"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DTI</w:t>
            </w:r>
          </w:p>
        </w:tc>
        <w:tc>
          <w:tcPr>
            <w:tcW w:w="2860" w:type="dxa"/>
            <w:tcBorders>
              <w:top w:val="nil"/>
              <w:left w:val="nil"/>
              <w:bottom w:val="nil"/>
              <w:right w:val="nil"/>
            </w:tcBorders>
            <w:shd w:val="clear" w:color="auto" w:fill="auto"/>
            <w:hideMark/>
          </w:tcPr>
          <w:p w14:paraId="37A07662"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Regional Operations Group (ROG) (BSMED, DTI Regional and Provincial Offices)</w:t>
            </w:r>
          </w:p>
        </w:tc>
        <w:tc>
          <w:tcPr>
            <w:tcW w:w="3400" w:type="dxa"/>
            <w:tcBorders>
              <w:top w:val="nil"/>
              <w:left w:val="nil"/>
              <w:bottom w:val="nil"/>
              <w:right w:val="nil"/>
            </w:tcBorders>
            <w:shd w:val="clear" w:color="auto" w:fill="auto"/>
            <w:hideMark/>
          </w:tcPr>
          <w:p w14:paraId="21EA705C"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eastAsia="ko-KR"/>
              </w:rPr>
              <w:t>Grants for upgrading equipment for collective use (cooperative)</w:t>
            </w:r>
          </w:p>
        </w:tc>
      </w:tr>
      <w:tr w:rsidR="00F354EA" w:rsidRPr="00F354EA" w14:paraId="701D44BC" w14:textId="77777777" w:rsidTr="0075041F">
        <w:trPr>
          <w:trHeight w:val="2080"/>
        </w:trPr>
        <w:tc>
          <w:tcPr>
            <w:tcW w:w="1940" w:type="dxa"/>
            <w:tcBorders>
              <w:top w:val="nil"/>
              <w:left w:val="nil"/>
              <w:bottom w:val="nil"/>
              <w:right w:val="nil"/>
            </w:tcBorders>
            <w:shd w:val="clear" w:color="auto" w:fill="auto"/>
            <w:hideMark/>
          </w:tcPr>
          <w:p w14:paraId="2A486A96"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Regional Interactive Platform for Philippine Exporters (RIPPLES) Plus</w:t>
            </w:r>
          </w:p>
        </w:tc>
        <w:tc>
          <w:tcPr>
            <w:tcW w:w="560" w:type="dxa"/>
            <w:tcBorders>
              <w:top w:val="nil"/>
              <w:left w:val="nil"/>
              <w:bottom w:val="nil"/>
              <w:right w:val="nil"/>
            </w:tcBorders>
            <w:shd w:val="clear" w:color="auto" w:fill="auto"/>
            <w:hideMark/>
          </w:tcPr>
          <w:p w14:paraId="372DD0F0"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DTI</w:t>
            </w:r>
          </w:p>
        </w:tc>
        <w:tc>
          <w:tcPr>
            <w:tcW w:w="2860" w:type="dxa"/>
            <w:tcBorders>
              <w:top w:val="nil"/>
              <w:left w:val="nil"/>
              <w:bottom w:val="nil"/>
              <w:right w:val="nil"/>
            </w:tcBorders>
            <w:shd w:val="clear" w:color="auto" w:fill="auto"/>
            <w:hideMark/>
          </w:tcPr>
          <w:p w14:paraId="73B555DC"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Export Marketing Bureau (EMB)- Lead</w:t>
            </w:r>
            <w:r w:rsidRPr="00F354EA">
              <w:rPr>
                <w:rFonts w:ascii="Times Roman" w:eastAsia="Times New Roman" w:hAnsi="Times Roman" w:cs="Calibri"/>
                <w:color w:val="000000"/>
                <w:sz w:val="18"/>
                <w:szCs w:val="18"/>
                <w:lang w:val="en-PH" w:eastAsia="ko-KR"/>
              </w:rPr>
              <w:br/>
              <w:t>Trade and Investments Promotion Group (TIPG)</w:t>
            </w:r>
            <w:r w:rsidRPr="00F354EA">
              <w:rPr>
                <w:rFonts w:ascii="Times Roman" w:eastAsia="Times New Roman" w:hAnsi="Times Roman" w:cs="Calibri"/>
                <w:color w:val="000000"/>
                <w:sz w:val="18"/>
                <w:szCs w:val="18"/>
                <w:lang w:val="en-PH" w:eastAsia="ko-KR"/>
              </w:rPr>
              <w:br/>
              <w:t>Regional Operations Group (ROG) (DTI-ROG)</w:t>
            </w:r>
            <w:r w:rsidRPr="00F354EA">
              <w:rPr>
                <w:rFonts w:ascii="Times Roman" w:eastAsia="Times New Roman" w:hAnsi="Times Roman" w:cs="Calibri"/>
                <w:color w:val="000000"/>
                <w:sz w:val="18"/>
                <w:szCs w:val="18"/>
                <w:lang w:val="en-PH" w:eastAsia="ko-KR"/>
              </w:rPr>
              <w:br/>
              <w:t>Philippine Trade Training Center (PTTC)</w:t>
            </w:r>
          </w:p>
        </w:tc>
        <w:tc>
          <w:tcPr>
            <w:tcW w:w="3400" w:type="dxa"/>
            <w:tcBorders>
              <w:top w:val="nil"/>
              <w:left w:val="nil"/>
              <w:bottom w:val="nil"/>
              <w:right w:val="nil"/>
            </w:tcBorders>
            <w:shd w:val="clear" w:color="auto" w:fill="auto"/>
            <w:hideMark/>
          </w:tcPr>
          <w:p w14:paraId="0EABCE7D"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eastAsia="ko-KR"/>
              </w:rPr>
              <w:t>Technical Assistance (training, marketing support), Business matchmaking services, Trade Promotion (participation ion fairs)</w:t>
            </w:r>
          </w:p>
        </w:tc>
      </w:tr>
      <w:tr w:rsidR="00F354EA" w:rsidRPr="00F354EA" w14:paraId="0B8EA917" w14:textId="77777777" w:rsidTr="0075041F">
        <w:trPr>
          <w:trHeight w:val="520"/>
        </w:trPr>
        <w:tc>
          <w:tcPr>
            <w:tcW w:w="1940" w:type="dxa"/>
            <w:tcBorders>
              <w:top w:val="nil"/>
              <w:left w:val="nil"/>
              <w:bottom w:val="nil"/>
              <w:right w:val="nil"/>
            </w:tcBorders>
            <w:shd w:val="clear" w:color="auto" w:fill="auto"/>
            <w:hideMark/>
          </w:tcPr>
          <w:p w14:paraId="2DE2CA66"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 xml:space="preserve">Project </w:t>
            </w:r>
            <w:proofErr w:type="spellStart"/>
            <w:r w:rsidRPr="00F354EA">
              <w:rPr>
                <w:rFonts w:ascii="Times Roman" w:eastAsia="Times New Roman" w:hAnsi="Times Roman" w:cs="Calibri"/>
                <w:color w:val="000000"/>
                <w:sz w:val="18"/>
                <w:szCs w:val="18"/>
                <w:lang w:val="en-PH" w:eastAsia="ko-KR"/>
              </w:rPr>
              <w:t>Kapatid</w:t>
            </w:r>
            <w:proofErr w:type="spellEnd"/>
            <w:r w:rsidRPr="00F354EA">
              <w:rPr>
                <w:rFonts w:ascii="Times Roman" w:eastAsia="Times New Roman" w:hAnsi="Times Roman" w:cs="Calibri"/>
                <w:color w:val="000000"/>
                <w:sz w:val="18"/>
                <w:szCs w:val="18"/>
                <w:lang w:val="en-PH" w:eastAsia="ko-KR"/>
              </w:rPr>
              <w:t xml:space="preserve"> - Mentor Me (KMME)</w:t>
            </w:r>
          </w:p>
        </w:tc>
        <w:tc>
          <w:tcPr>
            <w:tcW w:w="560" w:type="dxa"/>
            <w:tcBorders>
              <w:top w:val="nil"/>
              <w:left w:val="nil"/>
              <w:bottom w:val="nil"/>
              <w:right w:val="nil"/>
            </w:tcBorders>
            <w:shd w:val="clear" w:color="auto" w:fill="auto"/>
            <w:hideMark/>
          </w:tcPr>
          <w:p w14:paraId="707B6652"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DTI</w:t>
            </w:r>
          </w:p>
        </w:tc>
        <w:tc>
          <w:tcPr>
            <w:tcW w:w="2860" w:type="dxa"/>
            <w:tcBorders>
              <w:top w:val="nil"/>
              <w:left w:val="nil"/>
              <w:bottom w:val="nil"/>
              <w:right w:val="nil"/>
            </w:tcBorders>
            <w:shd w:val="clear" w:color="auto" w:fill="auto"/>
            <w:hideMark/>
          </w:tcPr>
          <w:p w14:paraId="49114BA1"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Regional Operations Group (ROG)</w:t>
            </w:r>
          </w:p>
        </w:tc>
        <w:tc>
          <w:tcPr>
            <w:tcW w:w="3400" w:type="dxa"/>
            <w:tcBorders>
              <w:top w:val="nil"/>
              <w:left w:val="nil"/>
              <w:bottom w:val="nil"/>
              <w:right w:val="nil"/>
            </w:tcBorders>
            <w:shd w:val="clear" w:color="auto" w:fill="auto"/>
            <w:hideMark/>
          </w:tcPr>
          <w:p w14:paraId="378F326F"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eastAsia="ko-KR"/>
              </w:rPr>
              <w:t>Education and training of entrepreneurs</w:t>
            </w:r>
          </w:p>
        </w:tc>
      </w:tr>
      <w:tr w:rsidR="00F354EA" w:rsidRPr="00F354EA" w14:paraId="7492D363" w14:textId="77777777" w:rsidTr="0075041F">
        <w:trPr>
          <w:trHeight w:val="780"/>
        </w:trPr>
        <w:tc>
          <w:tcPr>
            <w:tcW w:w="1940" w:type="dxa"/>
            <w:tcBorders>
              <w:top w:val="nil"/>
              <w:left w:val="nil"/>
              <w:bottom w:val="nil"/>
              <w:right w:val="nil"/>
            </w:tcBorders>
            <w:shd w:val="clear" w:color="auto" w:fill="auto"/>
            <w:hideMark/>
          </w:tcPr>
          <w:p w14:paraId="7AF985E2"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Industry Cluster Enhancement (ICE)</w:t>
            </w:r>
          </w:p>
        </w:tc>
        <w:tc>
          <w:tcPr>
            <w:tcW w:w="560" w:type="dxa"/>
            <w:tcBorders>
              <w:top w:val="nil"/>
              <w:left w:val="nil"/>
              <w:bottom w:val="nil"/>
              <w:right w:val="nil"/>
            </w:tcBorders>
            <w:shd w:val="clear" w:color="auto" w:fill="auto"/>
            <w:hideMark/>
          </w:tcPr>
          <w:p w14:paraId="51922796"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DTI</w:t>
            </w:r>
          </w:p>
        </w:tc>
        <w:tc>
          <w:tcPr>
            <w:tcW w:w="2860" w:type="dxa"/>
            <w:tcBorders>
              <w:top w:val="nil"/>
              <w:left w:val="nil"/>
              <w:bottom w:val="nil"/>
              <w:right w:val="nil"/>
            </w:tcBorders>
            <w:shd w:val="clear" w:color="auto" w:fill="auto"/>
            <w:hideMark/>
          </w:tcPr>
          <w:p w14:paraId="6F058253"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Regional Operations Group (ROG)</w:t>
            </w:r>
          </w:p>
        </w:tc>
        <w:tc>
          <w:tcPr>
            <w:tcW w:w="3400" w:type="dxa"/>
            <w:tcBorders>
              <w:top w:val="nil"/>
              <w:left w:val="nil"/>
              <w:bottom w:val="nil"/>
              <w:right w:val="nil"/>
            </w:tcBorders>
            <w:shd w:val="clear" w:color="auto" w:fill="auto"/>
            <w:hideMark/>
          </w:tcPr>
          <w:p w14:paraId="4165AC61"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eastAsia="ko-KR"/>
              </w:rPr>
              <w:t>Technical Assistance (training, marketing support), Trade Promotion (participation ion fairs)</w:t>
            </w:r>
          </w:p>
        </w:tc>
      </w:tr>
      <w:tr w:rsidR="00F354EA" w:rsidRPr="00F354EA" w14:paraId="410CC543" w14:textId="77777777" w:rsidTr="0075041F">
        <w:trPr>
          <w:trHeight w:val="520"/>
        </w:trPr>
        <w:tc>
          <w:tcPr>
            <w:tcW w:w="1940" w:type="dxa"/>
            <w:tcBorders>
              <w:top w:val="nil"/>
              <w:left w:val="nil"/>
              <w:bottom w:val="nil"/>
              <w:right w:val="nil"/>
            </w:tcBorders>
            <w:shd w:val="clear" w:color="auto" w:fill="auto"/>
            <w:hideMark/>
          </w:tcPr>
          <w:p w14:paraId="3FC4681D"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One Town One Product (OTOP) Next Gen</w:t>
            </w:r>
          </w:p>
        </w:tc>
        <w:tc>
          <w:tcPr>
            <w:tcW w:w="560" w:type="dxa"/>
            <w:tcBorders>
              <w:top w:val="nil"/>
              <w:left w:val="nil"/>
              <w:bottom w:val="nil"/>
              <w:right w:val="nil"/>
            </w:tcBorders>
            <w:shd w:val="clear" w:color="auto" w:fill="auto"/>
            <w:hideMark/>
          </w:tcPr>
          <w:p w14:paraId="6CDAF0C8"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DTI</w:t>
            </w:r>
          </w:p>
        </w:tc>
        <w:tc>
          <w:tcPr>
            <w:tcW w:w="2860" w:type="dxa"/>
            <w:tcBorders>
              <w:top w:val="nil"/>
              <w:left w:val="nil"/>
              <w:bottom w:val="nil"/>
              <w:right w:val="nil"/>
            </w:tcBorders>
            <w:shd w:val="clear" w:color="auto" w:fill="auto"/>
            <w:hideMark/>
          </w:tcPr>
          <w:p w14:paraId="2654171A"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Regional Operations Group (ROG)</w:t>
            </w:r>
          </w:p>
        </w:tc>
        <w:tc>
          <w:tcPr>
            <w:tcW w:w="3400" w:type="dxa"/>
            <w:tcBorders>
              <w:top w:val="nil"/>
              <w:left w:val="nil"/>
              <w:bottom w:val="nil"/>
              <w:right w:val="nil"/>
            </w:tcBorders>
            <w:shd w:val="clear" w:color="auto" w:fill="auto"/>
            <w:hideMark/>
          </w:tcPr>
          <w:p w14:paraId="03071066"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eastAsia="ko-KR"/>
              </w:rPr>
              <w:t>business advisory, education and training of entrepreneurs.</w:t>
            </w:r>
          </w:p>
        </w:tc>
      </w:tr>
      <w:tr w:rsidR="00F354EA" w:rsidRPr="00F354EA" w14:paraId="0E9E033D" w14:textId="77777777" w:rsidTr="0075041F">
        <w:trPr>
          <w:trHeight w:val="520"/>
        </w:trPr>
        <w:tc>
          <w:tcPr>
            <w:tcW w:w="1940" w:type="dxa"/>
            <w:tcBorders>
              <w:top w:val="nil"/>
              <w:left w:val="nil"/>
              <w:bottom w:val="nil"/>
              <w:right w:val="nil"/>
            </w:tcBorders>
            <w:shd w:val="clear" w:color="auto" w:fill="auto"/>
            <w:hideMark/>
          </w:tcPr>
          <w:p w14:paraId="21F87BA1"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proofErr w:type="spellStart"/>
            <w:r w:rsidRPr="00F354EA">
              <w:rPr>
                <w:rFonts w:ascii="Times Roman" w:eastAsia="Times New Roman" w:hAnsi="Times Roman" w:cs="Calibri"/>
                <w:color w:val="000000"/>
                <w:sz w:val="18"/>
                <w:szCs w:val="18"/>
                <w:lang w:val="en-PH" w:eastAsia="ko-KR"/>
              </w:rPr>
              <w:t>Negosyo</w:t>
            </w:r>
            <w:proofErr w:type="spellEnd"/>
            <w:r w:rsidRPr="00F354EA">
              <w:rPr>
                <w:rFonts w:ascii="Times Roman" w:eastAsia="Times New Roman" w:hAnsi="Times Roman" w:cs="Calibri"/>
                <w:color w:val="000000"/>
                <w:sz w:val="18"/>
                <w:szCs w:val="18"/>
                <w:lang w:val="en-PH" w:eastAsia="ko-KR"/>
              </w:rPr>
              <w:t xml:space="preserve"> Center (NGC)</w:t>
            </w:r>
          </w:p>
        </w:tc>
        <w:tc>
          <w:tcPr>
            <w:tcW w:w="560" w:type="dxa"/>
            <w:tcBorders>
              <w:top w:val="nil"/>
              <w:left w:val="nil"/>
              <w:bottom w:val="nil"/>
              <w:right w:val="nil"/>
            </w:tcBorders>
            <w:shd w:val="clear" w:color="auto" w:fill="auto"/>
            <w:hideMark/>
          </w:tcPr>
          <w:p w14:paraId="54AB8343"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DTI</w:t>
            </w:r>
          </w:p>
        </w:tc>
        <w:tc>
          <w:tcPr>
            <w:tcW w:w="2860" w:type="dxa"/>
            <w:tcBorders>
              <w:top w:val="nil"/>
              <w:left w:val="nil"/>
              <w:bottom w:val="nil"/>
              <w:right w:val="nil"/>
            </w:tcBorders>
            <w:shd w:val="clear" w:color="auto" w:fill="auto"/>
            <w:hideMark/>
          </w:tcPr>
          <w:p w14:paraId="52D78EE2"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Regional Operations Group (ROG)</w:t>
            </w:r>
          </w:p>
        </w:tc>
        <w:tc>
          <w:tcPr>
            <w:tcW w:w="3400" w:type="dxa"/>
            <w:tcBorders>
              <w:top w:val="nil"/>
              <w:left w:val="nil"/>
              <w:bottom w:val="nil"/>
              <w:right w:val="nil"/>
            </w:tcBorders>
            <w:shd w:val="clear" w:color="auto" w:fill="auto"/>
            <w:hideMark/>
          </w:tcPr>
          <w:p w14:paraId="3291635F"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eastAsia="ko-KR"/>
              </w:rPr>
              <w:t>Business advisory, education and training of entrepreneurs</w:t>
            </w:r>
          </w:p>
        </w:tc>
      </w:tr>
      <w:tr w:rsidR="00F354EA" w:rsidRPr="00F354EA" w14:paraId="36BB20F5" w14:textId="77777777" w:rsidTr="0075041F">
        <w:trPr>
          <w:trHeight w:val="780"/>
        </w:trPr>
        <w:tc>
          <w:tcPr>
            <w:tcW w:w="1940" w:type="dxa"/>
            <w:tcBorders>
              <w:top w:val="nil"/>
              <w:left w:val="nil"/>
              <w:bottom w:val="nil"/>
              <w:right w:val="nil"/>
            </w:tcBorders>
            <w:shd w:val="clear" w:color="auto" w:fill="auto"/>
            <w:hideMark/>
          </w:tcPr>
          <w:p w14:paraId="5EEEF8D3"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Trade and Business Management Training Services</w:t>
            </w:r>
          </w:p>
        </w:tc>
        <w:tc>
          <w:tcPr>
            <w:tcW w:w="560" w:type="dxa"/>
            <w:tcBorders>
              <w:top w:val="nil"/>
              <w:left w:val="nil"/>
              <w:bottom w:val="nil"/>
              <w:right w:val="nil"/>
            </w:tcBorders>
            <w:shd w:val="clear" w:color="auto" w:fill="auto"/>
            <w:hideMark/>
          </w:tcPr>
          <w:p w14:paraId="10CCA34D"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DTI</w:t>
            </w:r>
          </w:p>
        </w:tc>
        <w:tc>
          <w:tcPr>
            <w:tcW w:w="2860" w:type="dxa"/>
            <w:tcBorders>
              <w:top w:val="nil"/>
              <w:left w:val="nil"/>
              <w:bottom w:val="nil"/>
              <w:right w:val="nil"/>
            </w:tcBorders>
            <w:shd w:val="clear" w:color="auto" w:fill="auto"/>
            <w:hideMark/>
          </w:tcPr>
          <w:p w14:paraId="15A182FD"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Philippine Trade Training Center (PTTC)</w:t>
            </w:r>
          </w:p>
        </w:tc>
        <w:tc>
          <w:tcPr>
            <w:tcW w:w="3400" w:type="dxa"/>
            <w:tcBorders>
              <w:top w:val="nil"/>
              <w:left w:val="nil"/>
              <w:bottom w:val="nil"/>
              <w:right w:val="nil"/>
            </w:tcBorders>
            <w:shd w:val="clear" w:color="auto" w:fill="auto"/>
            <w:hideMark/>
          </w:tcPr>
          <w:p w14:paraId="702AD85B"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eastAsia="ko-KR"/>
              </w:rPr>
              <w:t>Business advisory, education and training of entrepreneurs</w:t>
            </w:r>
          </w:p>
        </w:tc>
      </w:tr>
      <w:tr w:rsidR="00F354EA" w:rsidRPr="00F354EA" w14:paraId="00201A4B" w14:textId="77777777" w:rsidTr="0075041F">
        <w:trPr>
          <w:trHeight w:val="1040"/>
        </w:trPr>
        <w:tc>
          <w:tcPr>
            <w:tcW w:w="1940" w:type="dxa"/>
            <w:tcBorders>
              <w:top w:val="nil"/>
              <w:left w:val="nil"/>
              <w:bottom w:val="nil"/>
              <w:right w:val="nil"/>
            </w:tcBorders>
            <w:shd w:val="clear" w:color="auto" w:fill="auto"/>
            <w:hideMark/>
          </w:tcPr>
          <w:p w14:paraId="43EC2142"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proofErr w:type="spellStart"/>
            <w:r w:rsidRPr="00F354EA">
              <w:rPr>
                <w:rFonts w:ascii="Times Roman" w:eastAsia="Times New Roman" w:hAnsi="Times Roman" w:cs="Calibri"/>
                <w:color w:val="000000"/>
                <w:sz w:val="18"/>
                <w:szCs w:val="18"/>
                <w:lang w:val="en-PH" w:eastAsia="ko-KR"/>
              </w:rPr>
              <w:t>Sikat</w:t>
            </w:r>
            <w:proofErr w:type="spellEnd"/>
            <w:r w:rsidRPr="00F354EA">
              <w:rPr>
                <w:rFonts w:ascii="Times Roman" w:eastAsia="Times New Roman" w:hAnsi="Times Roman" w:cs="Calibri"/>
                <w:color w:val="000000"/>
                <w:sz w:val="18"/>
                <w:szCs w:val="18"/>
                <w:lang w:val="en-PH" w:eastAsia="ko-KR"/>
              </w:rPr>
              <w:t xml:space="preserve"> </w:t>
            </w:r>
            <w:proofErr w:type="spellStart"/>
            <w:r w:rsidRPr="00F354EA">
              <w:rPr>
                <w:rFonts w:ascii="Times Roman" w:eastAsia="Times New Roman" w:hAnsi="Times Roman" w:cs="Calibri"/>
                <w:color w:val="000000"/>
                <w:sz w:val="18"/>
                <w:szCs w:val="18"/>
                <w:lang w:val="en-PH" w:eastAsia="ko-KR"/>
              </w:rPr>
              <w:t>Pinoy</w:t>
            </w:r>
            <w:proofErr w:type="spellEnd"/>
            <w:r w:rsidRPr="00F354EA">
              <w:rPr>
                <w:rFonts w:ascii="Times Roman" w:eastAsia="Times New Roman" w:hAnsi="Times Roman" w:cs="Calibri"/>
                <w:color w:val="000000"/>
                <w:sz w:val="18"/>
                <w:szCs w:val="18"/>
                <w:lang w:val="en-PH" w:eastAsia="ko-KR"/>
              </w:rPr>
              <w:t xml:space="preserve"> National Trade Fair/National Food Fair/National Arts and Crafts Fair</w:t>
            </w:r>
          </w:p>
        </w:tc>
        <w:tc>
          <w:tcPr>
            <w:tcW w:w="560" w:type="dxa"/>
            <w:tcBorders>
              <w:top w:val="nil"/>
              <w:left w:val="nil"/>
              <w:bottom w:val="nil"/>
              <w:right w:val="nil"/>
            </w:tcBorders>
            <w:shd w:val="clear" w:color="auto" w:fill="auto"/>
            <w:hideMark/>
          </w:tcPr>
          <w:p w14:paraId="54C4BB0A"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DTI</w:t>
            </w:r>
          </w:p>
        </w:tc>
        <w:tc>
          <w:tcPr>
            <w:tcW w:w="2860" w:type="dxa"/>
            <w:tcBorders>
              <w:top w:val="nil"/>
              <w:left w:val="nil"/>
              <w:bottom w:val="nil"/>
              <w:right w:val="nil"/>
            </w:tcBorders>
            <w:shd w:val="clear" w:color="auto" w:fill="auto"/>
            <w:hideMark/>
          </w:tcPr>
          <w:p w14:paraId="1A485536"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Bureau of Domestic Trade Promotion (BDTP)</w:t>
            </w:r>
          </w:p>
        </w:tc>
        <w:tc>
          <w:tcPr>
            <w:tcW w:w="3400" w:type="dxa"/>
            <w:tcBorders>
              <w:top w:val="nil"/>
              <w:left w:val="nil"/>
              <w:bottom w:val="nil"/>
              <w:right w:val="nil"/>
            </w:tcBorders>
            <w:shd w:val="clear" w:color="auto" w:fill="auto"/>
            <w:hideMark/>
          </w:tcPr>
          <w:p w14:paraId="63F9C5A4"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eastAsia="ko-KR"/>
              </w:rPr>
              <w:t>Grants, education and training of entrepreneurs</w:t>
            </w:r>
          </w:p>
        </w:tc>
      </w:tr>
      <w:tr w:rsidR="00F354EA" w:rsidRPr="00F354EA" w14:paraId="7AF3B643" w14:textId="77777777" w:rsidTr="0075041F">
        <w:trPr>
          <w:trHeight w:val="520"/>
        </w:trPr>
        <w:tc>
          <w:tcPr>
            <w:tcW w:w="1940" w:type="dxa"/>
            <w:tcBorders>
              <w:top w:val="nil"/>
              <w:left w:val="nil"/>
              <w:bottom w:val="nil"/>
              <w:right w:val="nil"/>
            </w:tcBorders>
            <w:shd w:val="clear" w:color="auto" w:fill="auto"/>
            <w:hideMark/>
          </w:tcPr>
          <w:p w14:paraId="6A9D706E"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 xml:space="preserve">Market Access Program: Go </w:t>
            </w:r>
            <w:proofErr w:type="spellStart"/>
            <w:r w:rsidRPr="00F354EA">
              <w:rPr>
                <w:rFonts w:ascii="Times Roman" w:eastAsia="Times New Roman" w:hAnsi="Times Roman" w:cs="Calibri"/>
                <w:color w:val="000000"/>
                <w:sz w:val="18"/>
                <w:szCs w:val="18"/>
                <w:lang w:val="en-PH" w:eastAsia="ko-KR"/>
              </w:rPr>
              <w:t>Lokal</w:t>
            </w:r>
            <w:proofErr w:type="spellEnd"/>
            <w:r w:rsidRPr="00F354EA">
              <w:rPr>
                <w:rFonts w:ascii="Times Roman" w:eastAsia="Times New Roman" w:hAnsi="Times Roman" w:cs="Calibri"/>
                <w:color w:val="000000"/>
                <w:sz w:val="18"/>
                <w:szCs w:val="18"/>
                <w:lang w:val="en-PH" w:eastAsia="ko-KR"/>
              </w:rPr>
              <w:t>!</w:t>
            </w:r>
          </w:p>
        </w:tc>
        <w:tc>
          <w:tcPr>
            <w:tcW w:w="560" w:type="dxa"/>
            <w:tcBorders>
              <w:top w:val="nil"/>
              <w:left w:val="nil"/>
              <w:bottom w:val="nil"/>
              <w:right w:val="nil"/>
            </w:tcBorders>
            <w:shd w:val="clear" w:color="auto" w:fill="auto"/>
            <w:hideMark/>
          </w:tcPr>
          <w:p w14:paraId="34EF2D37"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DTI</w:t>
            </w:r>
          </w:p>
        </w:tc>
        <w:tc>
          <w:tcPr>
            <w:tcW w:w="2860" w:type="dxa"/>
            <w:tcBorders>
              <w:top w:val="nil"/>
              <w:left w:val="nil"/>
              <w:bottom w:val="nil"/>
              <w:right w:val="nil"/>
            </w:tcBorders>
            <w:shd w:val="clear" w:color="auto" w:fill="auto"/>
            <w:hideMark/>
          </w:tcPr>
          <w:p w14:paraId="56A66581"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Bureau of Domestic Trade Promotion (BDTP)</w:t>
            </w:r>
          </w:p>
        </w:tc>
        <w:tc>
          <w:tcPr>
            <w:tcW w:w="3400" w:type="dxa"/>
            <w:tcBorders>
              <w:top w:val="nil"/>
              <w:left w:val="nil"/>
              <w:bottom w:val="nil"/>
              <w:right w:val="nil"/>
            </w:tcBorders>
            <w:shd w:val="clear" w:color="auto" w:fill="auto"/>
            <w:hideMark/>
          </w:tcPr>
          <w:p w14:paraId="4890ED7D"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eastAsia="ko-KR"/>
              </w:rPr>
              <w:t>Education and training of entrepreneurs, public goods</w:t>
            </w:r>
          </w:p>
        </w:tc>
      </w:tr>
      <w:tr w:rsidR="00F354EA" w:rsidRPr="00F354EA" w14:paraId="08BBF757" w14:textId="77777777" w:rsidTr="0075041F">
        <w:trPr>
          <w:trHeight w:val="520"/>
        </w:trPr>
        <w:tc>
          <w:tcPr>
            <w:tcW w:w="1940" w:type="dxa"/>
            <w:tcBorders>
              <w:top w:val="nil"/>
              <w:left w:val="nil"/>
              <w:bottom w:val="nil"/>
              <w:right w:val="nil"/>
            </w:tcBorders>
            <w:shd w:val="clear" w:color="auto" w:fill="auto"/>
            <w:hideMark/>
          </w:tcPr>
          <w:p w14:paraId="72A43115"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Materials Research and Development Program</w:t>
            </w:r>
          </w:p>
        </w:tc>
        <w:tc>
          <w:tcPr>
            <w:tcW w:w="560" w:type="dxa"/>
            <w:tcBorders>
              <w:top w:val="nil"/>
              <w:left w:val="nil"/>
              <w:bottom w:val="nil"/>
              <w:right w:val="nil"/>
            </w:tcBorders>
            <w:shd w:val="clear" w:color="auto" w:fill="auto"/>
            <w:hideMark/>
          </w:tcPr>
          <w:p w14:paraId="1FFBDF81"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DTI</w:t>
            </w:r>
          </w:p>
        </w:tc>
        <w:tc>
          <w:tcPr>
            <w:tcW w:w="2860" w:type="dxa"/>
            <w:tcBorders>
              <w:top w:val="nil"/>
              <w:left w:val="nil"/>
              <w:bottom w:val="nil"/>
              <w:right w:val="nil"/>
            </w:tcBorders>
            <w:shd w:val="clear" w:color="auto" w:fill="auto"/>
            <w:hideMark/>
          </w:tcPr>
          <w:p w14:paraId="1CBA087F"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Design Center of the Philippines (DCP)</w:t>
            </w:r>
          </w:p>
        </w:tc>
        <w:tc>
          <w:tcPr>
            <w:tcW w:w="3400" w:type="dxa"/>
            <w:tcBorders>
              <w:top w:val="nil"/>
              <w:left w:val="nil"/>
              <w:bottom w:val="nil"/>
              <w:right w:val="nil"/>
            </w:tcBorders>
            <w:shd w:val="clear" w:color="auto" w:fill="auto"/>
            <w:hideMark/>
          </w:tcPr>
          <w:p w14:paraId="27E49F32"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Early stage infrastructure and advisory: incubators and accelerators</w:t>
            </w:r>
          </w:p>
        </w:tc>
      </w:tr>
      <w:tr w:rsidR="00F354EA" w:rsidRPr="00F354EA" w14:paraId="14DF4978" w14:textId="77777777" w:rsidTr="0075041F">
        <w:trPr>
          <w:trHeight w:val="1040"/>
        </w:trPr>
        <w:tc>
          <w:tcPr>
            <w:tcW w:w="1940" w:type="dxa"/>
            <w:tcBorders>
              <w:top w:val="nil"/>
              <w:left w:val="nil"/>
              <w:bottom w:val="nil"/>
              <w:right w:val="nil"/>
            </w:tcBorders>
            <w:shd w:val="clear" w:color="auto" w:fill="auto"/>
            <w:hideMark/>
          </w:tcPr>
          <w:p w14:paraId="2E0C8498"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br/>
              <w:t>New Design Graduates Training (NDGT) Program</w:t>
            </w:r>
          </w:p>
        </w:tc>
        <w:tc>
          <w:tcPr>
            <w:tcW w:w="560" w:type="dxa"/>
            <w:tcBorders>
              <w:top w:val="nil"/>
              <w:left w:val="nil"/>
              <w:bottom w:val="nil"/>
              <w:right w:val="nil"/>
            </w:tcBorders>
            <w:shd w:val="clear" w:color="auto" w:fill="auto"/>
            <w:hideMark/>
          </w:tcPr>
          <w:p w14:paraId="314799B4"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DTI</w:t>
            </w:r>
          </w:p>
        </w:tc>
        <w:tc>
          <w:tcPr>
            <w:tcW w:w="2860" w:type="dxa"/>
            <w:tcBorders>
              <w:top w:val="nil"/>
              <w:left w:val="nil"/>
              <w:bottom w:val="nil"/>
              <w:right w:val="nil"/>
            </w:tcBorders>
            <w:shd w:val="clear" w:color="auto" w:fill="auto"/>
            <w:hideMark/>
          </w:tcPr>
          <w:p w14:paraId="22E06A1B"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Design Center of the Philippines (DCP)</w:t>
            </w:r>
          </w:p>
        </w:tc>
        <w:tc>
          <w:tcPr>
            <w:tcW w:w="3400" w:type="dxa"/>
            <w:tcBorders>
              <w:top w:val="nil"/>
              <w:left w:val="nil"/>
              <w:bottom w:val="nil"/>
              <w:right w:val="nil"/>
            </w:tcBorders>
            <w:shd w:val="clear" w:color="auto" w:fill="auto"/>
            <w:hideMark/>
          </w:tcPr>
          <w:p w14:paraId="16534DE0"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Education and training of entrepreneurs</w:t>
            </w:r>
          </w:p>
        </w:tc>
      </w:tr>
      <w:tr w:rsidR="00F354EA" w:rsidRPr="00F354EA" w14:paraId="5B8AD252" w14:textId="77777777" w:rsidTr="0075041F">
        <w:trPr>
          <w:trHeight w:val="520"/>
        </w:trPr>
        <w:tc>
          <w:tcPr>
            <w:tcW w:w="1940" w:type="dxa"/>
            <w:tcBorders>
              <w:top w:val="nil"/>
              <w:left w:val="nil"/>
              <w:bottom w:val="nil"/>
              <w:right w:val="nil"/>
            </w:tcBorders>
            <w:shd w:val="clear" w:color="auto" w:fill="auto"/>
            <w:hideMark/>
          </w:tcPr>
          <w:p w14:paraId="551231D2"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Product Specialist Program</w:t>
            </w:r>
          </w:p>
        </w:tc>
        <w:tc>
          <w:tcPr>
            <w:tcW w:w="560" w:type="dxa"/>
            <w:tcBorders>
              <w:top w:val="nil"/>
              <w:left w:val="nil"/>
              <w:bottom w:val="nil"/>
              <w:right w:val="nil"/>
            </w:tcBorders>
            <w:shd w:val="clear" w:color="auto" w:fill="auto"/>
            <w:hideMark/>
          </w:tcPr>
          <w:p w14:paraId="360E2C17"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DTI</w:t>
            </w:r>
          </w:p>
        </w:tc>
        <w:tc>
          <w:tcPr>
            <w:tcW w:w="2860" w:type="dxa"/>
            <w:tcBorders>
              <w:top w:val="nil"/>
              <w:left w:val="nil"/>
              <w:bottom w:val="nil"/>
              <w:right w:val="nil"/>
            </w:tcBorders>
            <w:shd w:val="clear" w:color="auto" w:fill="auto"/>
            <w:hideMark/>
          </w:tcPr>
          <w:p w14:paraId="58BE5049"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Design Center of the Philippines (DCP)</w:t>
            </w:r>
          </w:p>
        </w:tc>
        <w:tc>
          <w:tcPr>
            <w:tcW w:w="3400" w:type="dxa"/>
            <w:tcBorders>
              <w:top w:val="nil"/>
              <w:left w:val="nil"/>
              <w:bottom w:val="nil"/>
              <w:right w:val="nil"/>
            </w:tcBorders>
            <w:shd w:val="clear" w:color="auto" w:fill="auto"/>
            <w:hideMark/>
          </w:tcPr>
          <w:p w14:paraId="181AE9DF"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Education and training of entrepreneurs</w:t>
            </w:r>
          </w:p>
        </w:tc>
      </w:tr>
      <w:tr w:rsidR="00F354EA" w:rsidRPr="00F354EA" w14:paraId="0DB6E519" w14:textId="77777777" w:rsidTr="0075041F">
        <w:trPr>
          <w:trHeight w:val="1040"/>
        </w:trPr>
        <w:tc>
          <w:tcPr>
            <w:tcW w:w="1940" w:type="dxa"/>
            <w:tcBorders>
              <w:top w:val="nil"/>
              <w:left w:val="nil"/>
              <w:bottom w:val="nil"/>
              <w:right w:val="nil"/>
            </w:tcBorders>
            <w:shd w:val="clear" w:color="auto" w:fill="auto"/>
            <w:hideMark/>
          </w:tcPr>
          <w:p w14:paraId="77B38A79"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International Design Conference</w:t>
            </w:r>
          </w:p>
        </w:tc>
        <w:tc>
          <w:tcPr>
            <w:tcW w:w="560" w:type="dxa"/>
            <w:tcBorders>
              <w:top w:val="nil"/>
              <w:left w:val="nil"/>
              <w:bottom w:val="nil"/>
              <w:right w:val="nil"/>
            </w:tcBorders>
            <w:shd w:val="clear" w:color="auto" w:fill="auto"/>
            <w:hideMark/>
          </w:tcPr>
          <w:p w14:paraId="3DD4395F"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DTI</w:t>
            </w:r>
          </w:p>
        </w:tc>
        <w:tc>
          <w:tcPr>
            <w:tcW w:w="2860" w:type="dxa"/>
            <w:tcBorders>
              <w:top w:val="nil"/>
              <w:left w:val="nil"/>
              <w:bottom w:val="nil"/>
              <w:right w:val="nil"/>
            </w:tcBorders>
            <w:shd w:val="clear" w:color="auto" w:fill="auto"/>
            <w:hideMark/>
          </w:tcPr>
          <w:p w14:paraId="11A9BD44"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Design Center of the Philippines (DCP)</w:t>
            </w:r>
          </w:p>
        </w:tc>
        <w:tc>
          <w:tcPr>
            <w:tcW w:w="3400" w:type="dxa"/>
            <w:tcBorders>
              <w:top w:val="nil"/>
              <w:left w:val="nil"/>
              <w:bottom w:val="nil"/>
              <w:right w:val="nil"/>
            </w:tcBorders>
            <w:shd w:val="clear" w:color="auto" w:fill="auto"/>
            <w:hideMark/>
          </w:tcPr>
          <w:p w14:paraId="37CEA5AE"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Information systems and websites, Implementation of promotion and marketing campaigns; advisory for marketing</w:t>
            </w:r>
          </w:p>
        </w:tc>
      </w:tr>
      <w:tr w:rsidR="00F354EA" w:rsidRPr="00F354EA" w14:paraId="2A1BA43F" w14:textId="77777777" w:rsidTr="0075041F">
        <w:trPr>
          <w:trHeight w:val="1040"/>
        </w:trPr>
        <w:tc>
          <w:tcPr>
            <w:tcW w:w="1940" w:type="dxa"/>
            <w:tcBorders>
              <w:top w:val="nil"/>
              <w:left w:val="nil"/>
              <w:bottom w:val="nil"/>
              <w:right w:val="nil"/>
            </w:tcBorders>
            <w:shd w:val="clear" w:color="auto" w:fill="auto"/>
            <w:hideMark/>
          </w:tcPr>
          <w:p w14:paraId="3C7F9E3D"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Design Week Philippines</w:t>
            </w:r>
          </w:p>
        </w:tc>
        <w:tc>
          <w:tcPr>
            <w:tcW w:w="560" w:type="dxa"/>
            <w:tcBorders>
              <w:top w:val="nil"/>
              <w:left w:val="nil"/>
              <w:bottom w:val="nil"/>
              <w:right w:val="nil"/>
            </w:tcBorders>
            <w:shd w:val="clear" w:color="auto" w:fill="auto"/>
            <w:hideMark/>
          </w:tcPr>
          <w:p w14:paraId="06E65FCF"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DTI</w:t>
            </w:r>
          </w:p>
        </w:tc>
        <w:tc>
          <w:tcPr>
            <w:tcW w:w="2860" w:type="dxa"/>
            <w:tcBorders>
              <w:top w:val="nil"/>
              <w:left w:val="nil"/>
              <w:bottom w:val="nil"/>
              <w:right w:val="nil"/>
            </w:tcBorders>
            <w:shd w:val="clear" w:color="auto" w:fill="auto"/>
            <w:hideMark/>
          </w:tcPr>
          <w:p w14:paraId="4EF62CEA"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Design Center of the Philippines (DCP)</w:t>
            </w:r>
          </w:p>
        </w:tc>
        <w:tc>
          <w:tcPr>
            <w:tcW w:w="3400" w:type="dxa"/>
            <w:tcBorders>
              <w:top w:val="nil"/>
              <w:left w:val="nil"/>
              <w:bottom w:val="nil"/>
              <w:right w:val="nil"/>
            </w:tcBorders>
            <w:shd w:val="clear" w:color="auto" w:fill="auto"/>
            <w:hideMark/>
          </w:tcPr>
          <w:p w14:paraId="5525E6FF"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Information systems and websites, Implementation of promotion and marketing campaigns; advisory for marketing</w:t>
            </w:r>
          </w:p>
        </w:tc>
      </w:tr>
      <w:tr w:rsidR="00F354EA" w:rsidRPr="00F354EA" w14:paraId="1AB69FE6" w14:textId="77777777" w:rsidTr="0075041F">
        <w:trPr>
          <w:trHeight w:val="780"/>
        </w:trPr>
        <w:tc>
          <w:tcPr>
            <w:tcW w:w="1940" w:type="dxa"/>
            <w:tcBorders>
              <w:top w:val="nil"/>
              <w:left w:val="nil"/>
              <w:bottom w:val="nil"/>
              <w:right w:val="nil"/>
            </w:tcBorders>
            <w:shd w:val="clear" w:color="auto" w:fill="auto"/>
            <w:hideMark/>
          </w:tcPr>
          <w:p w14:paraId="0178D60A"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International trade fairs</w:t>
            </w:r>
          </w:p>
        </w:tc>
        <w:tc>
          <w:tcPr>
            <w:tcW w:w="560" w:type="dxa"/>
            <w:tcBorders>
              <w:top w:val="nil"/>
              <w:left w:val="nil"/>
              <w:bottom w:val="nil"/>
              <w:right w:val="nil"/>
            </w:tcBorders>
            <w:shd w:val="clear" w:color="auto" w:fill="auto"/>
            <w:hideMark/>
          </w:tcPr>
          <w:p w14:paraId="13B7E63F"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DTI</w:t>
            </w:r>
          </w:p>
        </w:tc>
        <w:tc>
          <w:tcPr>
            <w:tcW w:w="2860" w:type="dxa"/>
            <w:tcBorders>
              <w:top w:val="nil"/>
              <w:left w:val="nil"/>
              <w:bottom w:val="nil"/>
              <w:right w:val="nil"/>
            </w:tcBorders>
            <w:shd w:val="clear" w:color="auto" w:fill="auto"/>
            <w:hideMark/>
          </w:tcPr>
          <w:p w14:paraId="1108C39A"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Center for International Trade Expositions and Missions (CITEM)</w:t>
            </w:r>
          </w:p>
        </w:tc>
        <w:tc>
          <w:tcPr>
            <w:tcW w:w="3400" w:type="dxa"/>
            <w:tcBorders>
              <w:top w:val="nil"/>
              <w:left w:val="nil"/>
              <w:bottom w:val="nil"/>
              <w:right w:val="nil"/>
            </w:tcBorders>
            <w:shd w:val="clear" w:color="auto" w:fill="auto"/>
            <w:hideMark/>
          </w:tcPr>
          <w:p w14:paraId="18449937"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Crowdsourcing</w:t>
            </w:r>
          </w:p>
        </w:tc>
      </w:tr>
      <w:tr w:rsidR="00F354EA" w:rsidRPr="00F354EA" w14:paraId="64A1B4E4" w14:textId="77777777" w:rsidTr="0075041F">
        <w:trPr>
          <w:trHeight w:val="780"/>
        </w:trPr>
        <w:tc>
          <w:tcPr>
            <w:tcW w:w="1940" w:type="dxa"/>
            <w:tcBorders>
              <w:top w:val="nil"/>
              <w:left w:val="nil"/>
              <w:bottom w:val="nil"/>
              <w:right w:val="nil"/>
            </w:tcBorders>
            <w:shd w:val="clear" w:color="auto" w:fill="auto"/>
            <w:hideMark/>
          </w:tcPr>
          <w:p w14:paraId="6B20EC44"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Domestic trade fairs</w:t>
            </w:r>
          </w:p>
        </w:tc>
        <w:tc>
          <w:tcPr>
            <w:tcW w:w="560" w:type="dxa"/>
            <w:tcBorders>
              <w:top w:val="nil"/>
              <w:left w:val="nil"/>
              <w:bottom w:val="nil"/>
              <w:right w:val="nil"/>
            </w:tcBorders>
            <w:shd w:val="clear" w:color="auto" w:fill="auto"/>
            <w:hideMark/>
          </w:tcPr>
          <w:p w14:paraId="6914ED9D"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DTI</w:t>
            </w:r>
          </w:p>
        </w:tc>
        <w:tc>
          <w:tcPr>
            <w:tcW w:w="2860" w:type="dxa"/>
            <w:tcBorders>
              <w:top w:val="nil"/>
              <w:left w:val="nil"/>
              <w:bottom w:val="nil"/>
              <w:right w:val="nil"/>
            </w:tcBorders>
            <w:shd w:val="clear" w:color="auto" w:fill="auto"/>
            <w:hideMark/>
          </w:tcPr>
          <w:p w14:paraId="62ECA0D6"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Center for International Trade Expositions and Missions (CITEM)</w:t>
            </w:r>
          </w:p>
        </w:tc>
        <w:tc>
          <w:tcPr>
            <w:tcW w:w="3400" w:type="dxa"/>
            <w:tcBorders>
              <w:top w:val="nil"/>
              <w:left w:val="nil"/>
              <w:bottom w:val="nil"/>
              <w:right w:val="nil"/>
            </w:tcBorders>
            <w:shd w:val="clear" w:color="auto" w:fill="auto"/>
            <w:hideMark/>
          </w:tcPr>
          <w:p w14:paraId="2AE314CD"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Crowdsourcing</w:t>
            </w:r>
          </w:p>
        </w:tc>
      </w:tr>
      <w:tr w:rsidR="00F354EA" w:rsidRPr="00F354EA" w14:paraId="38C98CCC" w14:textId="77777777" w:rsidTr="0075041F">
        <w:trPr>
          <w:trHeight w:val="520"/>
        </w:trPr>
        <w:tc>
          <w:tcPr>
            <w:tcW w:w="1940" w:type="dxa"/>
            <w:tcBorders>
              <w:top w:val="nil"/>
              <w:left w:val="nil"/>
              <w:bottom w:val="nil"/>
              <w:right w:val="nil"/>
            </w:tcBorders>
            <w:shd w:val="clear" w:color="auto" w:fill="auto"/>
            <w:hideMark/>
          </w:tcPr>
          <w:p w14:paraId="2AA5866A" w14:textId="77777777" w:rsidR="00F354EA" w:rsidRPr="00F354EA" w:rsidRDefault="00F354EA" w:rsidP="00F354EA">
            <w:pPr>
              <w:spacing w:after="0" w:line="240" w:lineRule="auto"/>
              <w:rPr>
                <w:rFonts w:ascii="Times Roman" w:eastAsia="Times New Roman" w:hAnsi="Times Roman" w:cs="Calibri"/>
                <w:color w:val="000000"/>
                <w:sz w:val="18"/>
                <w:szCs w:val="18"/>
                <w:lang w:val="es-CL" w:eastAsia="ko-KR"/>
              </w:rPr>
            </w:pPr>
            <w:r w:rsidRPr="00F354EA">
              <w:rPr>
                <w:rFonts w:ascii="Times Roman" w:eastAsia="Times New Roman" w:hAnsi="Times Roman" w:cs="Calibri"/>
                <w:color w:val="000000"/>
                <w:sz w:val="18"/>
                <w:szCs w:val="18"/>
                <w:lang w:val="es-CL" w:eastAsia="ko-KR"/>
              </w:rPr>
              <w:t xml:space="preserve">Pondo </w:t>
            </w:r>
            <w:proofErr w:type="spellStart"/>
            <w:r w:rsidRPr="00F354EA">
              <w:rPr>
                <w:rFonts w:ascii="Times Roman" w:eastAsia="Times New Roman" w:hAnsi="Times Roman" w:cs="Calibri"/>
                <w:color w:val="000000"/>
                <w:sz w:val="18"/>
                <w:szCs w:val="18"/>
                <w:lang w:val="es-CL" w:eastAsia="ko-KR"/>
              </w:rPr>
              <w:t>sa</w:t>
            </w:r>
            <w:proofErr w:type="spellEnd"/>
            <w:r w:rsidRPr="00F354EA">
              <w:rPr>
                <w:rFonts w:ascii="Times Roman" w:eastAsia="Times New Roman" w:hAnsi="Times Roman" w:cs="Calibri"/>
                <w:color w:val="000000"/>
                <w:sz w:val="18"/>
                <w:szCs w:val="18"/>
                <w:lang w:val="es-CL" w:eastAsia="ko-KR"/>
              </w:rPr>
              <w:t xml:space="preserve"> </w:t>
            </w:r>
            <w:proofErr w:type="spellStart"/>
            <w:r w:rsidRPr="00F354EA">
              <w:rPr>
                <w:rFonts w:ascii="Times Roman" w:eastAsia="Times New Roman" w:hAnsi="Times Roman" w:cs="Calibri"/>
                <w:color w:val="000000"/>
                <w:sz w:val="18"/>
                <w:szCs w:val="18"/>
                <w:lang w:val="es-CL" w:eastAsia="ko-KR"/>
              </w:rPr>
              <w:t>Pagbabago</w:t>
            </w:r>
            <w:proofErr w:type="spellEnd"/>
            <w:r w:rsidRPr="00F354EA">
              <w:rPr>
                <w:rFonts w:ascii="Times Roman" w:eastAsia="Times New Roman" w:hAnsi="Times Roman" w:cs="Calibri"/>
                <w:color w:val="000000"/>
                <w:sz w:val="18"/>
                <w:szCs w:val="18"/>
                <w:lang w:val="es-CL" w:eastAsia="ko-KR"/>
              </w:rPr>
              <w:t xml:space="preserve"> at Pag-asenso (P3)</w:t>
            </w:r>
          </w:p>
        </w:tc>
        <w:tc>
          <w:tcPr>
            <w:tcW w:w="560" w:type="dxa"/>
            <w:tcBorders>
              <w:top w:val="nil"/>
              <w:left w:val="nil"/>
              <w:bottom w:val="nil"/>
              <w:right w:val="nil"/>
            </w:tcBorders>
            <w:shd w:val="clear" w:color="auto" w:fill="auto"/>
            <w:hideMark/>
          </w:tcPr>
          <w:p w14:paraId="2B226674"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DTI</w:t>
            </w:r>
          </w:p>
        </w:tc>
        <w:tc>
          <w:tcPr>
            <w:tcW w:w="2860" w:type="dxa"/>
            <w:tcBorders>
              <w:top w:val="nil"/>
              <w:left w:val="nil"/>
              <w:bottom w:val="nil"/>
              <w:right w:val="nil"/>
            </w:tcBorders>
            <w:shd w:val="clear" w:color="auto" w:fill="auto"/>
            <w:hideMark/>
          </w:tcPr>
          <w:p w14:paraId="61C130BA"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Small Business Guarantee &amp; Finance Corp (SB Corp)</w:t>
            </w:r>
          </w:p>
        </w:tc>
        <w:tc>
          <w:tcPr>
            <w:tcW w:w="3400" w:type="dxa"/>
            <w:tcBorders>
              <w:top w:val="nil"/>
              <w:left w:val="nil"/>
              <w:bottom w:val="nil"/>
              <w:right w:val="nil"/>
            </w:tcBorders>
            <w:shd w:val="clear" w:color="auto" w:fill="auto"/>
            <w:hideMark/>
          </w:tcPr>
          <w:p w14:paraId="4B773F70"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eastAsia="ko-KR"/>
              </w:rPr>
              <w:t>Loans and credit for SMEs</w:t>
            </w:r>
          </w:p>
        </w:tc>
      </w:tr>
      <w:tr w:rsidR="00F354EA" w:rsidRPr="00F354EA" w14:paraId="657D10E8" w14:textId="77777777" w:rsidTr="0075041F">
        <w:trPr>
          <w:trHeight w:val="520"/>
        </w:trPr>
        <w:tc>
          <w:tcPr>
            <w:tcW w:w="1940" w:type="dxa"/>
            <w:tcBorders>
              <w:top w:val="nil"/>
              <w:left w:val="nil"/>
              <w:bottom w:val="nil"/>
              <w:right w:val="nil"/>
            </w:tcBorders>
            <w:shd w:val="clear" w:color="auto" w:fill="auto"/>
            <w:hideMark/>
          </w:tcPr>
          <w:p w14:paraId="272B312C"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Wholesale Lending</w:t>
            </w:r>
          </w:p>
        </w:tc>
        <w:tc>
          <w:tcPr>
            <w:tcW w:w="560" w:type="dxa"/>
            <w:tcBorders>
              <w:top w:val="nil"/>
              <w:left w:val="nil"/>
              <w:bottom w:val="nil"/>
              <w:right w:val="nil"/>
            </w:tcBorders>
            <w:shd w:val="clear" w:color="auto" w:fill="auto"/>
            <w:hideMark/>
          </w:tcPr>
          <w:p w14:paraId="3F0A2E44"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DTI</w:t>
            </w:r>
          </w:p>
        </w:tc>
        <w:tc>
          <w:tcPr>
            <w:tcW w:w="2860" w:type="dxa"/>
            <w:tcBorders>
              <w:top w:val="nil"/>
              <w:left w:val="nil"/>
              <w:bottom w:val="nil"/>
              <w:right w:val="nil"/>
            </w:tcBorders>
            <w:shd w:val="clear" w:color="auto" w:fill="auto"/>
            <w:hideMark/>
          </w:tcPr>
          <w:p w14:paraId="049DB2E9"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Small Business Guarantee &amp; Finance Corp (SB Corp)</w:t>
            </w:r>
          </w:p>
        </w:tc>
        <w:tc>
          <w:tcPr>
            <w:tcW w:w="3400" w:type="dxa"/>
            <w:tcBorders>
              <w:top w:val="nil"/>
              <w:left w:val="nil"/>
              <w:bottom w:val="nil"/>
              <w:right w:val="nil"/>
            </w:tcBorders>
            <w:shd w:val="clear" w:color="auto" w:fill="auto"/>
            <w:hideMark/>
          </w:tcPr>
          <w:p w14:paraId="30E53DB5"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eastAsia="ko-KR"/>
              </w:rPr>
              <w:t>Loans and credit for SMEs</w:t>
            </w:r>
          </w:p>
        </w:tc>
      </w:tr>
      <w:tr w:rsidR="00F354EA" w:rsidRPr="00F354EA" w14:paraId="14A6EDCE" w14:textId="77777777" w:rsidTr="0075041F">
        <w:trPr>
          <w:trHeight w:val="520"/>
        </w:trPr>
        <w:tc>
          <w:tcPr>
            <w:tcW w:w="1940" w:type="dxa"/>
            <w:tcBorders>
              <w:top w:val="nil"/>
              <w:left w:val="nil"/>
              <w:bottom w:val="nil"/>
              <w:right w:val="nil"/>
            </w:tcBorders>
            <w:shd w:val="clear" w:color="auto" w:fill="auto"/>
            <w:hideMark/>
          </w:tcPr>
          <w:p w14:paraId="09FE916A"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Retail Lending</w:t>
            </w:r>
          </w:p>
        </w:tc>
        <w:tc>
          <w:tcPr>
            <w:tcW w:w="560" w:type="dxa"/>
            <w:tcBorders>
              <w:top w:val="nil"/>
              <w:left w:val="nil"/>
              <w:bottom w:val="nil"/>
              <w:right w:val="nil"/>
            </w:tcBorders>
            <w:shd w:val="clear" w:color="auto" w:fill="auto"/>
            <w:hideMark/>
          </w:tcPr>
          <w:p w14:paraId="061D5006"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DTI</w:t>
            </w:r>
          </w:p>
        </w:tc>
        <w:tc>
          <w:tcPr>
            <w:tcW w:w="2860" w:type="dxa"/>
            <w:tcBorders>
              <w:top w:val="nil"/>
              <w:left w:val="nil"/>
              <w:bottom w:val="nil"/>
              <w:right w:val="nil"/>
            </w:tcBorders>
            <w:shd w:val="clear" w:color="auto" w:fill="auto"/>
            <w:hideMark/>
          </w:tcPr>
          <w:p w14:paraId="2D93B8B8"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Small Business Guarantee &amp; Finance Corp (SB Corp)</w:t>
            </w:r>
          </w:p>
        </w:tc>
        <w:tc>
          <w:tcPr>
            <w:tcW w:w="3400" w:type="dxa"/>
            <w:tcBorders>
              <w:top w:val="nil"/>
              <w:left w:val="nil"/>
              <w:bottom w:val="nil"/>
              <w:right w:val="nil"/>
            </w:tcBorders>
            <w:shd w:val="clear" w:color="auto" w:fill="auto"/>
            <w:hideMark/>
          </w:tcPr>
          <w:p w14:paraId="172229B6"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Loans and credit for SMEs</w:t>
            </w:r>
          </w:p>
        </w:tc>
      </w:tr>
      <w:tr w:rsidR="00F354EA" w:rsidRPr="00F354EA" w14:paraId="53B6B5BB" w14:textId="77777777" w:rsidTr="0075041F">
        <w:trPr>
          <w:trHeight w:val="1560"/>
        </w:trPr>
        <w:tc>
          <w:tcPr>
            <w:tcW w:w="1940" w:type="dxa"/>
            <w:tcBorders>
              <w:top w:val="nil"/>
              <w:left w:val="nil"/>
              <w:bottom w:val="nil"/>
              <w:right w:val="nil"/>
            </w:tcBorders>
            <w:shd w:val="clear" w:color="auto" w:fill="auto"/>
            <w:hideMark/>
          </w:tcPr>
          <w:p w14:paraId="62FDC4A3"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Industry Development Program - Comprehensive Automotive Resurgence Strategy (CARS)</w:t>
            </w:r>
          </w:p>
        </w:tc>
        <w:tc>
          <w:tcPr>
            <w:tcW w:w="560" w:type="dxa"/>
            <w:tcBorders>
              <w:top w:val="nil"/>
              <w:left w:val="nil"/>
              <w:bottom w:val="nil"/>
              <w:right w:val="nil"/>
            </w:tcBorders>
            <w:shd w:val="clear" w:color="auto" w:fill="auto"/>
            <w:hideMark/>
          </w:tcPr>
          <w:p w14:paraId="3C6D8206"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DTI</w:t>
            </w:r>
          </w:p>
        </w:tc>
        <w:tc>
          <w:tcPr>
            <w:tcW w:w="2860" w:type="dxa"/>
            <w:tcBorders>
              <w:top w:val="nil"/>
              <w:left w:val="nil"/>
              <w:bottom w:val="nil"/>
              <w:right w:val="nil"/>
            </w:tcBorders>
            <w:shd w:val="clear" w:color="auto" w:fill="auto"/>
            <w:hideMark/>
          </w:tcPr>
          <w:p w14:paraId="5021EDBB"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Board of Investments (BOI)</w:t>
            </w:r>
          </w:p>
        </w:tc>
        <w:tc>
          <w:tcPr>
            <w:tcW w:w="3400" w:type="dxa"/>
            <w:tcBorders>
              <w:top w:val="nil"/>
              <w:left w:val="nil"/>
              <w:bottom w:val="nil"/>
              <w:right w:val="nil"/>
            </w:tcBorders>
            <w:shd w:val="clear" w:color="auto" w:fill="auto"/>
            <w:hideMark/>
          </w:tcPr>
          <w:p w14:paraId="40A9F8B3"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 xml:space="preserve">Tax incentives - R&amp;D, and Non-R&amp;D innovation </w:t>
            </w:r>
          </w:p>
        </w:tc>
      </w:tr>
      <w:tr w:rsidR="00F354EA" w:rsidRPr="00F354EA" w14:paraId="2256736E" w14:textId="77777777" w:rsidTr="0075041F">
        <w:trPr>
          <w:trHeight w:val="1300"/>
        </w:trPr>
        <w:tc>
          <w:tcPr>
            <w:tcW w:w="1940" w:type="dxa"/>
            <w:tcBorders>
              <w:top w:val="nil"/>
              <w:left w:val="nil"/>
              <w:bottom w:val="nil"/>
              <w:right w:val="nil"/>
            </w:tcBorders>
            <w:shd w:val="clear" w:color="auto" w:fill="auto"/>
            <w:hideMark/>
          </w:tcPr>
          <w:p w14:paraId="2366A472"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Industry Development Program - Manufacturing Resurgence Program (MRP)</w:t>
            </w:r>
          </w:p>
        </w:tc>
        <w:tc>
          <w:tcPr>
            <w:tcW w:w="560" w:type="dxa"/>
            <w:tcBorders>
              <w:top w:val="nil"/>
              <w:left w:val="nil"/>
              <w:bottom w:val="nil"/>
              <w:right w:val="nil"/>
            </w:tcBorders>
            <w:shd w:val="clear" w:color="auto" w:fill="auto"/>
            <w:hideMark/>
          </w:tcPr>
          <w:p w14:paraId="33BF7744"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DTI</w:t>
            </w:r>
          </w:p>
        </w:tc>
        <w:tc>
          <w:tcPr>
            <w:tcW w:w="2860" w:type="dxa"/>
            <w:tcBorders>
              <w:top w:val="nil"/>
              <w:left w:val="nil"/>
              <w:bottom w:val="nil"/>
              <w:right w:val="nil"/>
            </w:tcBorders>
            <w:shd w:val="clear" w:color="auto" w:fill="auto"/>
            <w:hideMark/>
          </w:tcPr>
          <w:p w14:paraId="534F3AFA"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Board of Investments (BOI)</w:t>
            </w:r>
          </w:p>
        </w:tc>
        <w:tc>
          <w:tcPr>
            <w:tcW w:w="3400" w:type="dxa"/>
            <w:tcBorders>
              <w:top w:val="nil"/>
              <w:left w:val="nil"/>
              <w:bottom w:val="nil"/>
              <w:right w:val="nil"/>
            </w:tcBorders>
            <w:shd w:val="clear" w:color="auto" w:fill="auto"/>
            <w:hideMark/>
          </w:tcPr>
          <w:p w14:paraId="21966968"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 xml:space="preserve">Tax incentives - R&amp;D, and Non-R&amp;D innovation </w:t>
            </w:r>
          </w:p>
        </w:tc>
      </w:tr>
      <w:tr w:rsidR="00F354EA" w:rsidRPr="00F354EA" w14:paraId="56C488A6" w14:textId="77777777" w:rsidTr="0075041F">
        <w:trPr>
          <w:trHeight w:val="520"/>
        </w:trPr>
        <w:tc>
          <w:tcPr>
            <w:tcW w:w="1940" w:type="dxa"/>
            <w:tcBorders>
              <w:top w:val="nil"/>
              <w:left w:val="nil"/>
              <w:bottom w:val="nil"/>
              <w:right w:val="nil"/>
            </w:tcBorders>
            <w:shd w:val="clear" w:color="auto" w:fill="auto"/>
            <w:hideMark/>
          </w:tcPr>
          <w:p w14:paraId="699702B9"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 xml:space="preserve">Investment Promotion Program </w:t>
            </w:r>
          </w:p>
        </w:tc>
        <w:tc>
          <w:tcPr>
            <w:tcW w:w="560" w:type="dxa"/>
            <w:tcBorders>
              <w:top w:val="nil"/>
              <w:left w:val="nil"/>
              <w:bottom w:val="nil"/>
              <w:right w:val="nil"/>
            </w:tcBorders>
            <w:shd w:val="clear" w:color="auto" w:fill="auto"/>
            <w:hideMark/>
          </w:tcPr>
          <w:p w14:paraId="61506326"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DTI</w:t>
            </w:r>
          </w:p>
        </w:tc>
        <w:tc>
          <w:tcPr>
            <w:tcW w:w="2860" w:type="dxa"/>
            <w:tcBorders>
              <w:top w:val="nil"/>
              <w:left w:val="nil"/>
              <w:bottom w:val="nil"/>
              <w:right w:val="nil"/>
            </w:tcBorders>
            <w:shd w:val="clear" w:color="auto" w:fill="auto"/>
            <w:hideMark/>
          </w:tcPr>
          <w:p w14:paraId="63F890E1"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Board of Investments (BOI)</w:t>
            </w:r>
          </w:p>
        </w:tc>
        <w:tc>
          <w:tcPr>
            <w:tcW w:w="3400" w:type="dxa"/>
            <w:tcBorders>
              <w:top w:val="nil"/>
              <w:left w:val="nil"/>
              <w:bottom w:val="nil"/>
              <w:right w:val="nil"/>
            </w:tcBorders>
            <w:shd w:val="clear" w:color="auto" w:fill="auto"/>
            <w:hideMark/>
          </w:tcPr>
          <w:p w14:paraId="51DAED0A"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 xml:space="preserve">Tax incentives - R&amp;D, and Non-R&amp;D innovation </w:t>
            </w:r>
          </w:p>
        </w:tc>
      </w:tr>
      <w:tr w:rsidR="00F354EA" w:rsidRPr="00F354EA" w14:paraId="32C62755" w14:textId="77777777" w:rsidTr="0075041F">
        <w:trPr>
          <w:trHeight w:val="1040"/>
        </w:trPr>
        <w:tc>
          <w:tcPr>
            <w:tcW w:w="1940" w:type="dxa"/>
            <w:tcBorders>
              <w:top w:val="nil"/>
              <w:left w:val="nil"/>
              <w:bottom w:val="nil"/>
              <w:right w:val="nil"/>
            </w:tcBorders>
            <w:shd w:val="clear" w:color="auto" w:fill="auto"/>
            <w:hideMark/>
          </w:tcPr>
          <w:p w14:paraId="4CBB3759"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Technology Innovation for Commercialization (TECHNICOM)</w:t>
            </w:r>
          </w:p>
        </w:tc>
        <w:tc>
          <w:tcPr>
            <w:tcW w:w="560" w:type="dxa"/>
            <w:tcBorders>
              <w:top w:val="nil"/>
              <w:left w:val="nil"/>
              <w:bottom w:val="nil"/>
              <w:right w:val="nil"/>
            </w:tcBorders>
            <w:shd w:val="clear" w:color="auto" w:fill="auto"/>
            <w:hideMark/>
          </w:tcPr>
          <w:p w14:paraId="45473284"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5769BBFB"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Technology Application and Promotion Institute (TAPI)</w:t>
            </w:r>
          </w:p>
        </w:tc>
        <w:tc>
          <w:tcPr>
            <w:tcW w:w="3400" w:type="dxa"/>
            <w:tcBorders>
              <w:top w:val="nil"/>
              <w:left w:val="nil"/>
              <w:bottom w:val="nil"/>
              <w:right w:val="nil"/>
            </w:tcBorders>
            <w:shd w:val="clear" w:color="auto" w:fill="auto"/>
            <w:hideMark/>
          </w:tcPr>
          <w:p w14:paraId="0E5D77B6"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eastAsia="ko-KR"/>
              </w:rPr>
              <w:t>Grants for R&amp;D, and Technology Transfer Technical Assistance.</w:t>
            </w:r>
          </w:p>
        </w:tc>
      </w:tr>
      <w:tr w:rsidR="00F354EA" w:rsidRPr="00F354EA" w14:paraId="3618E328" w14:textId="77777777" w:rsidTr="0075041F">
        <w:trPr>
          <w:trHeight w:val="2080"/>
        </w:trPr>
        <w:tc>
          <w:tcPr>
            <w:tcW w:w="1940" w:type="dxa"/>
            <w:tcBorders>
              <w:top w:val="nil"/>
              <w:left w:val="nil"/>
              <w:bottom w:val="nil"/>
              <w:right w:val="nil"/>
            </w:tcBorders>
            <w:shd w:val="clear" w:color="auto" w:fill="auto"/>
            <w:hideMark/>
          </w:tcPr>
          <w:p w14:paraId="76DFB3C7"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 xml:space="preserve">Technology Transfer and Commercialization through Venture Financing </w:t>
            </w:r>
            <w:proofErr w:type="gramStart"/>
            <w:r w:rsidRPr="00F354EA">
              <w:rPr>
                <w:rFonts w:ascii="Times Roman" w:eastAsia="Times New Roman" w:hAnsi="Times Roman" w:cs="Calibri"/>
                <w:color w:val="000000"/>
                <w:sz w:val="18"/>
                <w:szCs w:val="18"/>
                <w:lang w:val="en-PH" w:eastAsia="ko-KR"/>
              </w:rPr>
              <w:t>Program  (</w:t>
            </w:r>
            <w:proofErr w:type="gramEnd"/>
            <w:r w:rsidRPr="00F354EA">
              <w:rPr>
                <w:rFonts w:ascii="Times Roman" w:eastAsia="Times New Roman" w:hAnsi="Times Roman" w:cs="Calibri"/>
                <w:color w:val="000000"/>
                <w:sz w:val="18"/>
                <w:szCs w:val="18"/>
                <w:lang w:val="en-PH" w:eastAsia="ko-KR"/>
              </w:rPr>
              <w:t>VFP) and Invention-Based Enterprise Development (IBED) program - Phase II</w:t>
            </w:r>
          </w:p>
        </w:tc>
        <w:tc>
          <w:tcPr>
            <w:tcW w:w="560" w:type="dxa"/>
            <w:tcBorders>
              <w:top w:val="nil"/>
              <w:left w:val="nil"/>
              <w:bottom w:val="nil"/>
              <w:right w:val="nil"/>
            </w:tcBorders>
            <w:shd w:val="clear" w:color="auto" w:fill="auto"/>
            <w:hideMark/>
          </w:tcPr>
          <w:p w14:paraId="7F00D991"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5EA78EAD"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Technology Application and Promotion Institute (TAPI)</w:t>
            </w:r>
          </w:p>
        </w:tc>
        <w:tc>
          <w:tcPr>
            <w:tcW w:w="3400" w:type="dxa"/>
            <w:tcBorders>
              <w:top w:val="nil"/>
              <w:left w:val="nil"/>
              <w:bottom w:val="nil"/>
              <w:right w:val="nil"/>
            </w:tcBorders>
            <w:shd w:val="clear" w:color="auto" w:fill="auto"/>
            <w:hideMark/>
          </w:tcPr>
          <w:p w14:paraId="5D197E8E"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eastAsia="ko-KR"/>
              </w:rPr>
              <w:t>Equity, advisory</w:t>
            </w:r>
          </w:p>
        </w:tc>
      </w:tr>
      <w:tr w:rsidR="00F354EA" w:rsidRPr="00F354EA" w14:paraId="16B23B32" w14:textId="77777777" w:rsidTr="0075041F">
        <w:trPr>
          <w:trHeight w:val="1300"/>
        </w:trPr>
        <w:tc>
          <w:tcPr>
            <w:tcW w:w="1940" w:type="dxa"/>
            <w:tcBorders>
              <w:top w:val="nil"/>
              <w:left w:val="nil"/>
              <w:bottom w:val="nil"/>
              <w:right w:val="nil"/>
            </w:tcBorders>
            <w:shd w:val="clear" w:color="auto" w:fill="auto"/>
            <w:hideMark/>
          </w:tcPr>
          <w:p w14:paraId="73CF39A3"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Commercialization of Invention through Intellectual Property Rights Assistance Program (IPRAR)</w:t>
            </w:r>
          </w:p>
        </w:tc>
        <w:tc>
          <w:tcPr>
            <w:tcW w:w="560" w:type="dxa"/>
            <w:tcBorders>
              <w:top w:val="nil"/>
              <w:left w:val="nil"/>
              <w:bottom w:val="nil"/>
              <w:right w:val="nil"/>
            </w:tcBorders>
            <w:shd w:val="clear" w:color="auto" w:fill="auto"/>
            <w:hideMark/>
          </w:tcPr>
          <w:p w14:paraId="6FE326AF"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78500D2B"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Technology Application and Promotion Institute (TAPI)</w:t>
            </w:r>
          </w:p>
        </w:tc>
        <w:tc>
          <w:tcPr>
            <w:tcW w:w="3400" w:type="dxa"/>
            <w:tcBorders>
              <w:top w:val="nil"/>
              <w:left w:val="nil"/>
              <w:bottom w:val="nil"/>
              <w:right w:val="nil"/>
            </w:tcBorders>
            <w:shd w:val="clear" w:color="auto" w:fill="auto"/>
            <w:hideMark/>
          </w:tcPr>
          <w:p w14:paraId="321625BB"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eastAsia="ko-KR"/>
              </w:rPr>
              <w:t>Information, technical assistance</w:t>
            </w:r>
          </w:p>
        </w:tc>
      </w:tr>
      <w:tr w:rsidR="00F354EA" w:rsidRPr="00F354EA" w14:paraId="0D4ADF42" w14:textId="77777777" w:rsidTr="0075041F">
        <w:trPr>
          <w:trHeight w:val="1560"/>
        </w:trPr>
        <w:tc>
          <w:tcPr>
            <w:tcW w:w="1940" w:type="dxa"/>
            <w:tcBorders>
              <w:top w:val="nil"/>
              <w:left w:val="nil"/>
              <w:bottom w:val="nil"/>
              <w:right w:val="nil"/>
            </w:tcBorders>
            <w:shd w:val="clear" w:color="auto" w:fill="auto"/>
            <w:hideMark/>
          </w:tcPr>
          <w:p w14:paraId="4E95B2D9"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 xml:space="preserve">Invention/ Technology </w:t>
            </w:r>
            <w:proofErr w:type="spellStart"/>
            <w:r w:rsidRPr="00F354EA">
              <w:rPr>
                <w:rFonts w:ascii="Times Roman" w:eastAsia="Times New Roman" w:hAnsi="Times Roman" w:cs="Calibri"/>
                <w:color w:val="000000"/>
                <w:sz w:val="18"/>
                <w:szCs w:val="18"/>
                <w:lang w:val="en-PH" w:eastAsia="ko-KR"/>
              </w:rPr>
              <w:t>Develomment</w:t>
            </w:r>
            <w:proofErr w:type="spellEnd"/>
            <w:r w:rsidRPr="00F354EA">
              <w:rPr>
                <w:rFonts w:ascii="Times Roman" w:eastAsia="Times New Roman" w:hAnsi="Times Roman" w:cs="Calibri"/>
                <w:color w:val="000000"/>
                <w:sz w:val="18"/>
                <w:szCs w:val="18"/>
                <w:lang w:val="en-PH" w:eastAsia="ko-KR"/>
              </w:rPr>
              <w:t xml:space="preserve"> and Pre-commercialization support - Industry-Based Development Program (IBID)</w:t>
            </w:r>
          </w:p>
        </w:tc>
        <w:tc>
          <w:tcPr>
            <w:tcW w:w="560" w:type="dxa"/>
            <w:tcBorders>
              <w:top w:val="nil"/>
              <w:left w:val="nil"/>
              <w:bottom w:val="nil"/>
              <w:right w:val="nil"/>
            </w:tcBorders>
            <w:shd w:val="clear" w:color="auto" w:fill="auto"/>
            <w:hideMark/>
          </w:tcPr>
          <w:p w14:paraId="5FFB05D2"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3C1B4512"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Technology Application and Promotion Institute (TAPI)</w:t>
            </w:r>
          </w:p>
        </w:tc>
        <w:tc>
          <w:tcPr>
            <w:tcW w:w="3400" w:type="dxa"/>
            <w:tcBorders>
              <w:top w:val="nil"/>
              <w:left w:val="nil"/>
              <w:bottom w:val="nil"/>
              <w:right w:val="nil"/>
            </w:tcBorders>
            <w:shd w:val="clear" w:color="auto" w:fill="auto"/>
            <w:hideMark/>
          </w:tcPr>
          <w:p w14:paraId="7D35A012"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Product prototypes</w:t>
            </w:r>
          </w:p>
        </w:tc>
      </w:tr>
      <w:tr w:rsidR="00F354EA" w:rsidRPr="00F354EA" w14:paraId="617FEB04" w14:textId="77777777" w:rsidTr="0075041F">
        <w:trPr>
          <w:trHeight w:val="1820"/>
        </w:trPr>
        <w:tc>
          <w:tcPr>
            <w:tcW w:w="1940" w:type="dxa"/>
            <w:tcBorders>
              <w:top w:val="nil"/>
              <w:left w:val="nil"/>
              <w:bottom w:val="nil"/>
              <w:right w:val="nil"/>
            </w:tcBorders>
            <w:shd w:val="clear" w:color="auto" w:fill="auto"/>
            <w:hideMark/>
          </w:tcPr>
          <w:p w14:paraId="0C639F40"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Promotion and Marketing Support through Institutional Support for Trade and Exhibitions of DOST Technologies and services (ISTE)</w:t>
            </w:r>
          </w:p>
        </w:tc>
        <w:tc>
          <w:tcPr>
            <w:tcW w:w="560" w:type="dxa"/>
            <w:tcBorders>
              <w:top w:val="nil"/>
              <w:left w:val="nil"/>
              <w:bottom w:val="nil"/>
              <w:right w:val="nil"/>
            </w:tcBorders>
            <w:shd w:val="clear" w:color="auto" w:fill="auto"/>
            <w:hideMark/>
          </w:tcPr>
          <w:p w14:paraId="64E11D89"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2B36EEF5"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Technology Application and Promotion Institute (TAPI)</w:t>
            </w:r>
          </w:p>
        </w:tc>
        <w:tc>
          <w:tcPr>
            <w:tcW w:w="3400" w:type="dxa"/>
            <w:tcBorders>
              <w:top w:val="nil"/>
              <w:left w:val="nil"/>
              <w:bottom w:val="nil"/>
              <w:right w:val="nil"/>
            </w:tcBorders>
            <w:shd w:val="clear" w:color="auto" w:fill="auto"/>
            <w:hideMark/>
          </w:tcPr>
          <w:p w14:paraId="7579ECD7"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eastAsia="ko-KR"/>
              </w:rPr>
              <w:t>Grants</w:t>
            </w:r>
          </w:p>
        </w:tc>
      </w:tr>
      <w:tr w:rsidR="00F354EA" w:rsidRPr="00F354EA" w14:paraId="2A05951D" w14:textId="77777777" w:rsidTr="0075041F">
        <w:trPr>
          <w:trHeight w:val="780"/>
        </w:trPr>
        <w:tc>
          <w:tcPr>
            <w:tcW w:w="1940" w:type="dxa"/>
            <w:tcBorders>
              <w:top w:val="nil"/>
              <w:left w:val="nil"/>
              <w:bottom w:val="nil"/>
              <w:right w:val="nil"/>
            </w:tcBorders>
            <w:shd w:val="clear" w:color="auto" w:fill="auto"/>
            <w:hideMark/>
          </w:tcPr>
          <w:p w14:paraId="0367DC7D"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Small Enterprise Technology Upgrading Program (SETUP)</w:t>
            </w:r>
          </w:p>
        </w:tc>
        <w:tc>
          <w:tcPr>
            <w:tcW w:w="560" w:type="dxa"/>
            <w:tcBorders>
              <w:top w:val="nil"/>
              <w:left w:val="nil"/>
              <w:bottom w:val="nil"/>
              <w:right w:val="nil"/>
            </w:tcBorders>
            <w:shd w:val="clear" w:color="auto" w:fill="auto"/>
            <w:hideMark/>
          </w:tcPr>
          <w:p w14:paraId="42824754"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1AF749E5"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 Regional Offices</w:t>
            </w:r>
          </w:p>
        </w:tc>
        <w:tc>
          <w:tcPr>
            <w:tcW w:w="3400" w:type="dxa"/>
            <w:tcBorders>
              <w:top w:val="nil"/>
              <w:left w:val="nil"/>
              <w:bottom w:val="nil"/>
              <w:right w:val="nil"/>
            </w:tcBorders>
            <w:shd w:val="clear" w:color="auto" w:fill="auto"/>
            <w:hideMark/>
          </w:tcPr>
          <w:p w14:paraId="1BDA8AA5"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eastAsia="ko-KR"/>
              </w:rPr>
              <w:t>Grants, credit guarantees, business advisory and technology extension.</w:t>
            </w:r>
          </w:p>
        </w:tc>
      </w:tr>
      <w:tr w:rsidR="00F354EA" w:rsidRPr="00F354EA" w14:paraId="7DEA2BF3" w14:textId="77777777" w:rsidTr="0075041F">
        <w:trPr>
          <w:trHeight w:val="520"/>
        </w:trPr>
        <w:tc>
          <w:tcPr>
            <w:tcW w:w="1940" w:type="dxa"/>
            <w:tcBorders>
              <w:top w:val="nil"/>
              <w:left w:val="nil"/>
              <w:bottom w:val="nil"/>
              <w:right w:val="nil"/>
            </w:tcBorders>
            <w:shd w:val="clear" w:color="auto" w:fill="auto"/>
            <w:hideMark/>
          </w:tcPr>
          <w:p w14:paraId="333643B7"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Food Innovation Center (FIC)</w:t>
            </w:r>
          </w:p>
        </w:tc>
        <w:tc>
          <w:tcPr>
            <w:tcW w:w="560" w:type="dxa"/>
            <w:tcBorders>
              <w:top w:val="nil"/>
              <w:left w:val="nil"/>
              <w:bottom w:val="nil"/>
              <w:right w:val="nil"/>
            </w:tcBorders>
            <w:shd w:val="clear" w:color="auto" w:fill="auto"/>
            <w:hideMark/>
          </w:tcPr>
          <w:p w14:paraId="43D09693"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342D701A"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 Regional Offices</w:t>
            </w:r>
          </w:p>
        </w:tc>
        <w:tc>
          <w:tcPr>
            <w:tcW w:w="3400" w:type="dxa"/>
            <w:tcBorders>
              <w:top w:val="nil"/>
              <w:left w:val="nil"/>
              <w:bottom w:val="nil"/>
              <w:right w:val="nil"/>
            </w:tcBorders>
            <w:shd w:val="clear" w:color="auto" w:fill="auto"/>
            <w:hideMark/>
          </w:tcPr>
          <w:p w14:paraId="4E326219"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eastAsia="ko-KR"/>
              </w:rPr>
              <w:t>Business advisory, quality standards &amp; research infrastructure</w:t>
            </w:r>
          </w:p>
        </w:tc>
      </w:tr>
      <w:tr w:rsidR="00F354EA" w:rsidRPr="00F354EA" w14:paraId="2B206B65" w14:textId="77777777" w:rsidTr="0075041F">
        <w:trPr>
          <w:trHeight w:val="520"/>
        </w:trPr>
        <w:tc>
          <w:tcPr>
            <w:tcW w:w="1940" w:type="dxa"/>
            <w:tcBorders>
              <w:top w:val="nil"/>
              <w:left w:val="nil"/>
              <w:bottom w:val="nil"/>
              <w:right w:val="nil"/>
            </w:tcBorders>
            <w:shd w:val="clear" w:color="auto" w:fill="auto"/>
            <w:hideMark/>
          </w:tcPr>
          <w:p w14:paraId="1BA50570"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Enterprise Module (EM)</w:t>
            </w:r>
          </w:p>
        </w:tc>
        <w:tc>
          <w:tcPr>
            <w:tcW w:w="560" w:type="dxa"/>
            <w:tcBorders>
              <w:top w:val="nil"/>
              <w:left w:val="nil"/>
              <w:bottom w:val="nil"/>
              <w:right w:val="nil"/>
            </w:tcBorders>
            <w:shd w:val="clear" w:color="auto" w:fill="auto"/>
            <w:hideMark/>
          </w:tcPr>
          <w:p w14:paraId="24CE4C6A"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1956573A"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 Regional Offices</w:t>
            </w:r>
          </w:p>
        </w:tc>
        <w:tc>
          <w:tcPr>
            <w:tcW w:w="3400" w:type="dxa"/>
            <w:tcBorders>
              <w:top w:val="nil"/>
              <w:left w:val="nil"/>
              <w:bottom w:val="nil"/>
              <w:right w:val="nil"/>
            </w:tcBorders>
            <w:shd w:val="clear" w:color="auto" w:fill="auto"/>
            <w:hideMark/>
          </w:tcPr>
          <w:p w14:paraId="205D01F2"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eastAsia="ko-KR"/>
              </w:rPr>
              <w:t xml:space="preserve">Business advisory, early stage infrastructure </w:t>
            </w:r>
          </w:p>
        </w:tc>
      </w:tr>
      <w:tr w:rsidR="00F354EA" w:rsidRPr="00F354EA" w14:paraId="1ADDC1DD" w14:textId="77777777" w:rsidTr="0075041F">
        <w:trPr>
          <w:trHeight w:val="1040"/>
        </w:trPr>
        <w:tc>
          <w:tcPr>
            <w:tcW w:w="1940" w:type="dxa"/>
            <w:tcBorders>
              <w:top w:val="nil"/>
              <w:left w:val="nil"/>
              <w:bottom w:val="nil"/>
              <w:right w:val="nil"/>
            </w:tcBorders>
            <w:shd w:val="clear" w:color="auto" w:fill="auto"/>
            <w:hideMark/>
          </w:tcPr>
          <w:p w14:paraId="15C4CA4D"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Technology Business Incubator (TBI)</w:t>
            </w:r>
          </w:p>
        </w:tc>
        <w:tc>
          <w:tcPr>
            <w:tcW w:w="560" w:type="dxa"/>
            <w:tcBorders>
              <w:top w:val="nil"/>
              <w:left w:val="nil"/>
              <w:bottom w:val="nil"/>
              <w:right w:val="nil"/>
            </w:tcBorders>
            <w:shd w:val="clear" w:color="auto" w:fill="auto"/>
            <w:hideMark/>
          </w:tcPr>
          <w:p w14:paraId="39919FD3"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22AD2FCE"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Philippine Council for Industry, Energy, and Emerging Technology Research and Development (PCIEERD)</w:t>
            </w:r>
          </w:p>
        </w:tc>
        <w:tc>
          <w:tcPr>
            <w:tcW w:w="3400" w:type="dxa"/>
            <w:tcBorders>
              <w:top w:val="nil"/>
              <w:left w:val="nil"/>
              <w:bottom w:val="nil"/>
              <w:right w:val="nil"/>
            </w:tcBorders>
            <w:shd w:val="clear" w:color="auto" w:fill="auto"/>
            <w:hideMark/>
          </w:tcPr>
          <w:p w14:paraId="690FB69E"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eastAsia="ko-KR"/>
              </w:rPr>
              <w:t>Early stage infrastructure, advisory</w:t>
            </w:r>
          </w:p>
        </w:tc>
      </w:tr>
      <w:tr w:rsidR="00F354EA" w:rsidRPr="00F354EA" w14:paraId="56F490D0" w14:textId="77777777" w:rsidTr="0075041F">
        <w:trPr>
          <w:trHeight w:val="1040"/>
        </w:trPr>
        <w:tc>
          <w:tcPr>
            <w:tcW w:w="1940" w:type="dxa"/>
            <w:tcBorders>
              <w:top w:val="nil"/>
              <w:left w:val="nil"/>
              <w:bottom w:val="nil"/>
              <w:right w:val="nil"/>
            </w:tcBorders>
            <w:shd w:val="clear" w:color="auto" w:fill="auto"/>
            <w:hideMark/>
          </w:tcPr>
          <w:p w14:paraId="4862F56E"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Startup Nation Research Grant (SNRG)</w:t>
            </w:r>
          </w:p>
        </w:tc>
        <w:tc>
          <w:tcPr>
            <w:tcW w:w="560" w:type="dxa"/>
            <w:tcBorders>
              <w:top w:val="nil"/>
              <w:left w:val="nil"/>
              <w:bottom w:val="nil"/>
              <w:right w:val="nil"/>
            </w:tcBorders>
            <w:shd w:val="clear" w:color="auto" w:fill="auto"/>
            <w:hideMark/>
          </w:tcPr>
          <w:p w14:paraId="176E5501"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7EBFCB3F"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Philippine Council for Industry, Energy, and Emerging Technology Research and Development (PCIEERD)</w:t>
            </w:r>
          </w:p>
        </w:tc>
        <w:tc>
          <w:tcPr>
            <w:tcW w:w="3400" w:type="dxa"/>
            <w:tcBorders>
              <w:top w:val="nil"/>
              <w:left w:val="nil"/>
              <w:bottom w:val="nil"/>
              <w:right w:val="nil"/>
            </w:tcBorders>
            <w:shd w:val="clear" w:color="auto" w:fill="auto"/>
            <w:hideMark/>
          </w:tcPr>
          <w:p w14:paraId="1EE51F75"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Grants, business advisory</w:t>
            </w:r>
          </w:p>
        </w:tc>
      </w:tr>
      <w:tr w:rsidR="00F354EA" w:rsidRPr="00F354EA" w14:paraId="31E87500" w14:textId="77777777" w:rsidTr="0075041F">
        <w:trPr>
          <w:trHeight w:val="520"/>
        </w:trPr>
        <w:tc>
          <w:tcPr>
            <w:tcW w:w="1940" w:type="dxa"/>
            <w:tcBorders>
              <w:top w:val="nil"/>
              <w:left w:val="nil"/>
              <w:bottom w:val="nil"/>
              <w:right w:val="nil"/>
            </w:tcBorders>
            <w:shd w:val="clear" w:color="auto" w:fill="auto"/>
            <w:hideMark/>
          </w:tcPr>
          <w:p w14:paraId="7F645613"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Industrial technology R&amp;D program</w:t>
            </w:r>
          </w:p>
        </w:tc>
        <w:tc>
          <w:tcPr>
            <w:tcW w:w="560" w:type="dxa"/>
            <w:tcBorders>
              <w:top w:val="nil"/>
              <w:left w:val="nil"/>
              <w:bottom w:val="nil"/>
              <w:right w:val="nil"/>
            </w:tcBorders>
            <w:shd w:val="clear" w:color="auto" w:fill="auto"/>
            <w:hideMark/>
          </w:tcPr>
          <w:p w14:paraId="474700ED"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09FB5ED7"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Industrial Technology Development Institute (ITDI)</w:t>
            </w:r>
          </w:p>
        </w:tc>
        <w:tc>
          <w:tcPr>
            <w:tcW w:w="3400" w:type="dxa"/>
            <w:tcBorders>
              <w:top w:val="nil"/>
              <w:left w:val="nil"/>
              <w:bottom w:val="nil"/>
              <w:right w:val="nil"/>
            </w:tcBorders>
            <w:shd w:val="clear" w:color="auto" w:fill="auto"/>
            <w:hideMark/>
          </w:tcPr>
          <w:p w14:paraId="0B721050"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 xml:space="preserve">R&amp;D, </w:t>
            </w:r>
            <w:proofErr w:type="spellStart"/>
            <w:r w:rsidRPr="00F354EA">
              <w:rPr>
                <w:rFonts w:ascii="Times Roman" w:eastAsia="Times New Roman" w:hAnsi="Times Roman" w:cs="Calibri"/>
                <w:color w:val="000000"/>
                <w:sz w:val="18"/>
                <w:szCs w:val="18"/>
                <w:lang w:val="en-PH" w:eastAsia="ko-KR"/>
              </w:rPr>
              <w:t>qulity</w:t>
            </w:r>
            <w:proofErr w:type="spellEnd"/>
            <w:r w:rsidRPr="00F354EA">
              <w:rPr>
                <w:rFonts w:ascii="Times Roman" w:eastAsia="Times New Roman" w:hAnsi="Times Roman" w:cs="Calibri"/>
                <w:color w:val="000000"/>
                <w:sz w:val="18"/>
                <w:szCs w:val="18"/>
                <w:lang w:val="en-PH" w:eastAsia="ko-KR"/>
              </w:rPr>
              <w:t xml:space="preserve"> infrastructure</w:t>
            </w:r>
          </w:p>
        </w:tc>
      </w:tr>
      <w:tr w:rsidR="00F354EA" w:rsidRPr="00F354EA" w14:paraId="2A4DCCEA" w14:textId="77777777" w:rsidTr="0075041F">
        <w:trPr>
          <w:trHeight w:val="780"/>
        </w:trPr>
        <w:tc>
          <w:tcPr>
            <w:tcW w:w="1940" w:type="dxa"/>
            <w:tcBorders>
              <w:top w:val="nil"/>
              <w:left w:val="nil"/>
              <w:bottom w:val="nil"/>
              <w:right w:val="nil"/>
            </w:tcBorders>
            <w:shd w:val="clear" w:color="auto" w:fill="auto"/>
            <w:hideMark/>
          </w:tcPr>
          <w:p w14:paraId="3DDD53B9"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 xml:space="preserve">Textile and </w:t>
            </w:r>
            <w:proofErr w:type="gramStart"/>
            <w:r w:rsidRPr="00F354EA">
              <w:rPr>
                <w:rFonts w:ascii="Times Roman" w:eastAsia="Times New Roman" w:hAnsi="Times Roman" w:cs="Calibri"/>
                <w:color w:val="000000"/>
                <w:sz w:val="18"/>
                <w:szCs w:val="18"/>
                <w:lang w:val="en-PH" w:eastAsia="ko-KR"/>
              </w:rPr>
              <w:t>other</w:t>
            </w:r>
            <w:proofErr w:type="gramEnd"/>
            <w:r w:rsidRPr="00F354EA">
              <w:rPr>
                <w:rFonts w:ascii="Times Roman" w:eastAsia="Times New Roman" w:hAnsi="Times Roman" w:cs="Calibri"/>
                <w:color w:val="000000"/>
                <w:sz w:val="18"/>
                <w:szCs w:val="18"/>
                <w:lang w:val="en-PH" w:eastAsia="ko-KR"/>
              </w:rPr>
              <w:t xml:space="preserve"> textile-related R&amp;D program</w:t>
            </w:r>
          </w:p>
        </w:tc>
        <w:tc>
          <w:tcPr>
            <w:tcW w:w="560" w:type="dxa"/>
            <w:tcBorders>
              <w:top w:val="nil"/>
              <w:left w:val="nil"/>
              <w:bottom w:val="nil"/>
              <w:right w:val="nil"/>
            </w:tcBorders>
            <w:shd w:val="clear" w:color="auto" w:fill="auto"/>
            <w:hideMark/>
          </w:tcPr>
          <w:p w14:paraId="6EE1A810"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61F94F11"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Philippine Textile Research Institute (PTRI)</w:t>
            </w:r>
          </w:p>
        </w:tc>
        <w:tc>
          <w:tcPr>
            <w:tcW w:w="3400" w:type="dxa"/>
            <w:tcBorders>
              <w:top w:val="nil"/>
              <w:left w:val="nil"/>
              <w:bottom w:val="nil"/>
              <w:right w:val="nil"/>
            </w:tcBorders>
            <w:shd w:val="clear" w:color="auto" w:fill="auto"/>
            <w:hideMark/>
          </w:tcPr>
          <w:p w14:paraId="345B36B0"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Grants, early stage infrastructure, research infrastructure</w:t>
            </w:r>
          </w:p>
        </w:tc>
      </w:tr>
      <w:tr w:rsidR="00F354EA" w:rsidRPr="00F354EA" w14:paraId="603BD6AC" w14:textId="77777777" w:rsidTr="0075041F">
        <w:trPr>
          <w:trHeight w:val="1560"/>
        </w:trPr>
        <w:tc>
          <w:tcPr>
            <w:tcW w:w="1940" w:type="dxa"/>
            <w:tcBorders>
              <w:top w:val="nil"/>
              <w:left w:val="nil"/>
              <w:bottom w:val="nil"/>
              <w:right w:val="nil"/>
            </w:tcBorders>
            <w:shd w:val="clear" w:color="auto" w:fill="auto"/>
            <w:hideMark/>
          </w:tcPr>
          <w:p w14:paraId="05BAF1B9"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 Academe Technology-Based Enterprise Development (DATBED) Assistance Program</w:t>
            </w:r>
          </w:p>
        </w:tc>
        <w:tc>
          <w:tcPr>
            <w:tcW w:w="560" w:type="dxa"/>
            <w:tcBorders>
              <w:top w:val="nil"/>
              <w:left w:val="nil"/>
              <w:bottom w:val="nil"/>
              <w:right w:val="nil"/>
            </w:tcBorders>
            <w:shd w:val="clear" w:color="auto" w:fill="auto"/>
            <w:hideMark/>
          </w:tcPr>
          <w:p w14:paraId="6FD7E8F9"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49117D16"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Technology Application and Promotion Institute (TAPI)</w:t>
            </w:r>
          </w:p>
        </w:tc>
        <w:tc>
          <w:tcPr>
            <w:tcW w:w="3400" w:type="dxa"/>
            <w:tcBorders>
              <w:top w:val="nil"/>
              <w:left w:val="nil"/>
              <w:bottom w:val="nil"/>
              <w:right w:val="nil"/>
            </w:tcBorders>
            <w:shd w:val="clear" w:color="auto" w:fill="auto"/>
            <w:hideMark/>
          </w:tcPr>
          <w:p w14:paraId="3EF88CBC"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Grants, business advisory, Education and training for entrepreneurship and SMEs</w:t>
            </w:r>
          </w:p>
        </w:tc>
      </w:tr>
      <w:tr w:rsidR="00F354EA" w:rsidRPr="00F354EA" w14:paraId="408A06B9" w14:textId="77777777" w:rsidTr="0075041F">
        <w:trPr>
          <w:trHeight w:val="780"/>
        </w:trPr>
        <w:tc>
          <w:tcPr>
            <w:tcW w:w="1940" w:type="dxa"/>
            <w:tcBorders>
              <w:top w:val="nil"/>
              <w:left w:val="nil"/>
              <w:bottom w:val="nil"/>
              <w:right w:val="nil"/>
            </w:tcBorders>
            <w:shd w:val="clear" w:color="auto" w:fill="auto"/>
            <w:hideMark/>
          </w:tcPr>
          <w:p w14:paraId="72A75E2C"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 xml:space="preserve">Collaborative R&amp;D to leverage Philippine </w:t>
            </w:r>
            <w:proofErr w:type="gramStart"/>
            <w:r w:rsidRPr="00F354EA">
              <w:rPr>
                <w:rFonts w:ascii="Times Roman" w:eastAsia="Times New Roman" w:hAnsi="Times Roman" w:cs="Calibri"/>
                <w:color w:val="000000"/>
                <w:sz w:val="18"/>
                <w:szCs w:val="18"/>
                <w:lang w:val="en-PH" w:eastAsia="ko-KR"/>
              </w:rPr>
              <w:t>economy  (</w:t>
            </w:r>
            <w:proofErr w:type="gramEnd"/>
            <w:r w:rsidRPr="00F354EA">
              <w:rPr>
                <w:rFonts w:ascii="Times Roman" w:eastAsia="Times New Roman" w:hAnsi="Times Roman" w:cs="Calibri"/>
                <w:color w:val="000000"/>
                <w:sz w:val="18"/>
                <w:szCs w:val="18"/>
                <w:lang w:val="en-PH" w:eastAsia="ko-KR"/>
              </w:rPr>
              <w:t>CRADLE)</w:t>
            </w:r>
          </w:p>
        </w:tc>
        <w:tc>
          <w:tcPr>
            <w:tcW w:w="560" w:type="dxa"/>
            <w:tcBorders>
              <w:top w:val="nil"/>
              <w:left w:val="nil"/>
              <w:bottom w:val="nil"/>
              <w:right w:val="nil"/>
            </w:tcBorders>
            <w:shd w:val="clear" w:color="auto" w:fill="auto"/>
            <w:hideMark/>
          </w:tcPr>
          <w:p w14:paraId="19D4A816"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0E410F44"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Office of the Undersecretary of Regional Operations</w:t>
            </w:r>
          </w:p>
        </w:tc>
        <w:tc>
          <w:tcPr>
            <w:tcW w:w="3400" w:type="dxa"/>
            <w:tcBorders>
              <w:top w:val="nil"/>
              <w:left w:val="nil"/>
              <w:bottom w:val="nil"/>
              <w:right w:val="nil"/>
            </w:tcBorders>
            <w:shd w:val="clear" w:color="auto" w:fill="auto"/>
            <w:hideMark/>
          </w:tcPr>
          <w:p w14:paraId="70F34AD0"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Grants, collaborative networks and cluster policy</w:t>
            </w:r>
          </w:p>
        </w:tc>
      </w:tr>
      <w:tr w:rsidR="00F354EA" w:rsidRPr="00F354EA" w14:paraId="0F92E9A0" w14:textId="77777777" w:rsidTr="0075041F">
        <w:trPr>
          <w:trHeight w:val="1300"/>
        </w:trPr>
        <w:tc>
          <w:tcPr>
            <w:tcW w:w="1940" w:type="dxa"/>
            <w:tcBorders>
              <w:top w:val="nil"/>
              <w:left w:val="nil"/>
              <w:bottom w:val="nil"/>
              <w:right w:val="nil"/>
            </w:tcBorders>
            <w:shd w:val="clear" w:color="auto" w:fill="auto"/>
            <w:hideMark/>
          </w:tcPr>
          <w:p w14:paraId="0A30B61C"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Business Innovation through Science and Technology for Industry Program (BIST)</w:t>
            </w:r>
          </w:p>
        </w:tc>
        <w:tc>
          <w:tcPr>
            <w:tcW w:w="560" w:type="dxa"/>
            <w:tcBorders>
              <w:top w:val="nil"/>
              <w:left w:val="nil"/>
              <w:bottom w:val="nil"/>
              <w:right w:val="nil"/>
            </w:tcBorders>
            <w:shd w:val="clear" w:color="auto" w:fill="auto"/>
            <w:hideMark/>
          </w:tcPr>
          <w:p w14:paraId="09C70DEB"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346D9743"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Office of the Undersecretary of Regional Operations</w:t>
            </w:r>
          </w:p>
        </w:tc>
        <w:tc>
          <w:tcPr>
            <w:tcW w:w="3400" w:type="dxa"/>
            <w:tcBorders>
              <w:top w:val="nil"/>
              <w:left w:val="nil"/>
              <w:bottom w:val="nil"/>
              <w:right w:val="nil"/>
            </w:tcBorders>
            <w:shd w:val="clear" w:color="auto" w:fill="auto"/>
            <w:hideMark/>
          </w:tcPr>
          <w:p w14:paraId="6B50A33A"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Product prototypes</w:t>
            </w:r>
          </w:p>
        </w:tc>
      </w:tr>
      <w:tr w:rsidR="00F354EA" w:rsidRPr="00F354EA" w14:paraId="6E58D15D" w14:textId="77777777" w:rsidTr="0075041F">
        <w:trPr>
          <w:trHeight w:val="1040"/>
        </w:trPr>
        <w:tc>
          <w:tcPr>
            <w:tcW w:w="1940" w:type="dxa"/>
            <w:tcBorders>
              <w:top w:val="nil"/>
              <w:left w:val="nil"/>
              <w:bottom w:val="nil"/>
              <w:right w:val="nil"/>
            </w:tcBorders>
            <w:shd w:val="clear" w:color="auto" w:fill="auto"/>
            <w:hideMark/>
          </w:tcPr>
          <w:p w14:paraId="121954DA"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S&amp;T Program for Regional and Countryside Development</w:t>
            </w:r>
          </w:p>
        </w:tc>
        <w:tc>
          <w:tcPr>
            <w:tcW w:w="560" w:type="dxa"/>
            <w:tcBorders>
              <w:top w:val="nil"/>
              <w:left w:val="nil"/>
              <w:bottom w:val="nil"/>
              <w:right w:val="nil"/>
            </w:tcBorders>
            <w:shd w:val="clear" w:color="auto" w:fill="auto"/>
            <w:hideMark/>
          </w:tcPr>
          <w:p w14:paraId="70D8EBBC"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4CD88282"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Office of the Secretary</w:t>
            </w:r>
          </w:p>
        </w:tc>
        <w:tc>
          <w:tcPr>
            <w:tcW w:w="3400" w:type="dxa"/>
            <w:tcBorders>
              <w:top w:val="nil"/>
              <w:left w:val="nil"/>
              <w:bottom w:val="nil"/>
              <w:right w:val="nil"/>
            </w:tcBorders>
            <w:shd w:val="clear" w:color="auto" w:fill="auto"/>
            <w:hideMark/>
          </w:tcPr>
          <w:p w14:paraId="29138EC5"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not available</w:t>
            </w:r>
          </w:p>
        </w:tc>
      </w:tr>
      <w:tr w:rsidR="00F354EA" w:rsidRPr="00F354EA" w14:paraId="09C82092" w14:textId="77777777" w:rsidTr="0075041F">
        <w:trPr>
          <w:trHeight w:val="520"/>
        </w:trPr>
        <w:tc>
          <w:tcPr>
            <w:tcW w:w="1940" w:type="dxa"/>
            <w:tcBorders>
              <w:top w:val="nil"/>
              <w:left w:val="nil"/>
              <w:bottom w:val="nil"/>
              <w:right w:val="nil"/>
            </w:tcBorders>
            <w:shd w:val="clear" w:color="auto" w:fill="auto"/>
            <w:hideMark/>
          </w:tcPr>
          <w:p w14:paraId="6064C6A8"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Industrial technology transfer program</w:t>
            </w:r>
          </w:p>
        </w:tc>
        <w:tc>
          <w:tcPr>
            <w:tcW w:w="560" w:type="dxa"/>
            <w:tcBorders>
              <w:top w:val="nil"/>
              <w:left w:val="nil"/>
              <w:bottom w:val="nil"/>
              <w:right w:val="nil"/>
            </w:tcBorders>
            <w:shd w:val="clear" w:color="auto" w:fill="auto"/>
            <w:hideMark/>
          </w:tcPr>
          <w:p w14:paraId="15260E33"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6FFB74F8"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Industrial Technology Development Institute (ITDI)</w:t>
            </w:r>
          </w:p>
        </w:tc>
        <w:tc>
          <w:tcPr>
            <w:tcW w:w="3400" w:type="dxa"/>
            <w:tcBorders>
              <w:top w:val="nil"/>
              <w:left w:val="nil"/>
              <w:bottom w:val="nil"/>
              <w:right w:val="nil"/>
            </w:tcBorders>
            <w:shd w:val="clear" w:color="auto" w:fill="auto"/>
            <w:hideMark/>
          </w:tcPr>
          <w:p w14:paraId="1CC34203"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not available</w:t>
            </w:r>
          </w:p>
        </w:tc>
      </w:tr>
      <w:tr w:rsidR="00F354EA" w:rsidRPr="00F354EA" w14:paraId="571A973E" w14:textId="77777777" w:rsidTr="0075041F">
        <w:trPr>
          <w:trHeight w:val="780"/>
        </w:trPr>
        <w:tc>
          <w:tcPr>
            <w:tcW w:w="1940" w:type="dxa"/>
            <w:tcBorders>
              <w:top w:val="nil"/>
              <w:left w:val="nil"/>
              <w:bottom w:val="nil"/>
              <w:right w:val="nil"/>
            </w:tcBorders>
            <w:shd w:val="clear" w:color="auto" w:fill="auto"/>
            <w:hideMark/>
          </w:tcPr>
          <w:p w14:paraId="5D962C59"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Industrial technology technical services program</w:t>
            </w:r>
          </w:p>
        </w:tc>
        <w:tc>
          <w:tcPr>
            <w:tcW w:w="560" w:type="dxa"/>
            <w:tcBorders>
              <w:top w:val="nil"/>
              <w:left w:val="nil"/>
              <w:bottom w:val="nil"/>
              <w:right w:val="nil"/>
            </w:tcBorders>
            <w:shd w:val="clear" w:color="auto" w:fill="auto"/>
            <w:hideMark/>
          </w:tcPr>
          <w:p w14:paraId="65302BB8"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040A2670"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Industrial Technology Development Institute (ITDI)</w:t>
            </w:r>
          </w:p>
        </w:tc>
        <w:tc>
          <w:tcPr>
            <w:tcW w:w="3400" w:type="dxa"/>
            <w:tcBorders>
              <w:top w:val="nil"/>
              <w:left w:val="nil"/>
              <w:bottom w:val="nil"/>
              <w:right w:val="nil"/>
            </w:tcBorders>
            <w:shd w:val="clear" w:color="auto" w:fill="auto"/>
            <w:hideMark/>
          </w:tcPr>
          <w:p w14:paraId="14713C14"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Quality infrastructure</w:t>
            </w:r>
          </w:p>
        </w:tc>
      </w:tr>
      <w:tr w:rsidR="00F354EA" w:rsidRPr="00F354EA" w14:paraId="53BD292E" w14:textId="77777777" w:rsidTr="0075041F">
        <w:trPr>
          <w:trHeight w:val="520"/>
        </w:trPr>
        <w:tc>
          <w:tcPr>
            <w:tcW w:w="1940" w:type="dxa"/>
            <w:tcBorders>
              <w:top w:val="nil"/>
              <w:left w:val="nil"/>
              <w:bottom w:val="nil"/>
              <w:right w:val="nil"/>
            </w:tcBorders>
            <w:shd w:val="clear" w:color="auto" w:fill="auto"/>
            <w:hideMark/>
          </w:tcPr>
          <w:p w14:paraId="32290668"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proofErr w:type="spellStart"/>
            <w:r w:rsidRPr="00F354EA">
              <w:rPr>
                <w:rFonts w:ascii="Times Roman" w:eastAsia="Times New Roman" w:hAnsi="Times Roman" w:cs="Calibri"/>
                <w:color w:val="000000"/>
                <w:sz w:val="18"/>
                <w:szCs w:val="18"/>
                <w:lang w:val="en-PH" w:eastAsia="ko-KR"/>
              </w:rPr>
              <w:t>OneExpert</w:t>
            </w:r>
            <w:proofErr w:type="spellEnd"/>
          </w:p>
        </w:tc>
        <w:tc>
          <w:tcPr>
            <w:tcW w:w="560" w:type="dxa"/>
            <w:tcBorders>
              <w:top w:val="nil"/>
              <w:left w:val="nil"/>
              <w:bottom w:val="nil"/>
              <w:right w:val="nil"/>
            </w:tcBorders>
            <w:shd w:val="clear" w:color="auto" w:fill="auto"/>
            <w:hideMark/>
          </w:tcPr>
          <w:p w14:paraId="6AE7984C"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51CA979D"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Office of the Undersecretary for R&amp;D</w:t>
            </w:r>
          </w:p>
        </w:tc>
        <w:tc>
          <w:tcPr>
            <w:tcW w:w="3400" w:type="dxa"/>
            <w:tcBorders>
              <w:top w:val="nil"/>
              <w:left w:val="nil"/>
              <w:bottom w:val="nil"/>
              <w:right w:val="nil"/>
            </w:tcBorders>
            <w:shd w:val="clear" w:color="auto" w:fill="auto"/>
            <w:hideMark/>
          </w:tcPr>
          <w:p w14:paraId="6427538D"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Education and training of entrepreneurs, public goods</w:t>
            </w:r>
          </w:p>
        </w:tc>
      </w:tr>
      <w:tr w:rsidR="00F354EA" w:rsidRPr="00F354EA" w14:paraId="5D4B11ED" w14:textId="77777777" w:rsidTr="0075041F">
        <w:trPr>
          <w:trHeight w:val="1040"/>
        </w:trPr>
        <w:tc>
          <w:tcPr>
            <w:tcW w:w="1940" w:type="dxa"/>
            <w:tcBorders>
              <w:top w:val="nil"/>
              <w:left w:val="nil"/>
              <w:bottom w:val="nil"/>
              <w:right w:val="nil"/>
            </w:tcBorders>
            <w:shd w:val="clear" w:color="auto" w:fill="auto"/>
            <w:hideMark/>
          </w:tcPr>
          <w:p w14:paraId="1AE1A533"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 xml:space="preserve">One-Stop Shop Laboratory </w:t>
            </w:r>
            <w:proofErr w:type="gramStart"/>
            <w:r w:rsidRPr="00F354EA">
              <w:rPr>
                <w:rFonts w:ascii="Times Roman" w:eastAsia="Times New Roman" w:hAnsi="Times Roman" w:cs="Calibri"/>
                <w:color w:val="000000"/>
                <w:sz w:val="18"/>
                <w:szCs w:val="18"/>
                <w:lang w:val="en-PH" w:eastAsia="ko-KR"/>
              </w:rPr>
              <w:t>For</w:t>
            </w:r>
            <w:proofErr w:type="gramEnd"/>
            <w:r w:rsidRPr="00F354EA">
              <w:rPr>
                <w:rFonts w:ascii="Times Roman" w:eastAsia="Times New Roman" w:hAnsi="Times Roman" w:cs="Calibri"/>
                <w:color w:val="000000"/>
                <w:sz w:val="18"/>
                <w:szCs w:val="18"/>
                <w:lang w:val="en-PH" w:eastAsia="ko-KR"/>
              </w:rPr>
              <w:t xml:space="preserve"> Global Competitiveness (</w:t>
            </w:r>
            <w:proofErr w:type="spellStart"/>
            <w:r w:rsidRPr="00F354EA">
              <w:rPr>
                <w:rFonts w:ascii="Times Roman" w:eastAsia="Times New Roman" w:hAnsi="Times Roman" w:cs="Calibri"/>
                <w:color w:val="000000"/>
                <w:sz w:val="18"/>
                <w:szCs w:val="18"/>
                <w:lang w:val="en-PH" w:eastAsia="ko-KR"/>
              </w:rPr>
              <w:t>OneLab</w:t>
            </w:r>
            <w:proofErr w:type="spellEnd"/>
            <w:r w:rsidRPr="00F354EA">
              <w:rPr>
                <w:rFonts w:ascii="Times Roman" w:eastAsia="Times New Roman" w:hAnsi="Times Roman" w:cs="Calibri"/>
                <w:color w:val="000000"/>
                <w:sz w:val="18"/>
                <w:szCs w:val="18"/>
                <w:lang w:val="en-PH" w:eastAsia="ko-KR"/>
              </w:rPr>
              <w:t>)</w:t>
            </w:r>
          </w:p>
        </w:tc>
        <w:tc>
          <w:tcPr>
            <w:tcW w:w="560" w:type="dxa"/>
            <w:tcBorders>
              <w:top w:val="nil"/>
              <w:left w:val="nil"/>
              <w:bottom w:val="nil"/>
              <w:right w:val="nil"/>
            </w:tcBorders>
            <w:shd w:val="clear" w:color="auto" w:fill="auto"/>
            <w:hideMark/>
          </w:tcPr>
          <w:p w14:paraId="5D8B670C"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47FD292D"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Office of the Undersecretary for R&amp;D</w:t>
            </w:r>
          </w:p>
        </w:tc>
        <w:tc>
          <w:tcPr>
            <w:tcW w:w="3400" w:type="dxa"/>
            <w:tcBorders>
              <w:top w:val="nil"/>
              <w:left w:val="nil"/>
              <w:bottom w:val="nil"/>
              <w:right w:val="nil"/>
            </w:tcBorders>
            <w:shd w:val="clear" w:color="auto" w:fill="auto"/>
            <w:hideMark/>
          </w:tcPr>
          <w:p w14:paraId="562179D0"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Quality infrastructure, public goods</w:t>
            </w:r>
          </w:p>
        </w:tc>
      </w:tr>
      <w:tr w:rsidR="00F354EA" w:rsidRPr="00F354EA" w14:paraId="72197B0E" w14:textId="77777777" w:rsidTr="0075041F">
        <w:trPr>
          <w:trHeight w:val="520"/>
        </w:trPr>
        <w:tc>
          <w:tcPr>
            <w:tcW w:w="1940" w:type="dxa"/>
            <w:tcBorders>
              <w:top w:val="nil"/>
              <w:left w:val="nil"/>
              <w:bottom w:val="nil"/>
              <w:right w:val="nil"/>
            </w:tcBorders>
            <w:shd w:val="clear" w:color="auto" w:fill="auto"/>
            <w:hideMark/>
          </w:tcPr>
          <w:p w14:paraId="23FBAA7C"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S&amp;T Scholarship Program</w:t>
            </w:r>
          </w:p>
        </w:tc>
        <w:tc>
          <w:tcPr>
            <w:tcW w:w="560" w:type="dxa"/>
            <w:tcBorders>
              <w:top w:val="nil"/>
              <w:left w:val="nil"/>
              <w:bottom w:val="nil"/>
              <w:right w:val="nil"/>
            </w:tcBorders>
            <w:shd w:val="clear" w:color="auto" w:fill="auto"/>
            <w:hideMark/>
          </w:tcPr>
          <w:p w14:paraId="08C8146B"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7EC3F747"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Science Education Institute (SEI)</w:t>
            </w:r>
          </w:p>
        </w:tc>
        <w:tc>
          <w:tcPr>
            <w:tcW w:w="3400" w:type="dxa"/>
            <w:tcBorders>
              <w:top w:val="nil"/>
              <w:left w:val="nil"/>
              <w:bottom w:val="nil"/>
              <w:right w:val="nil"/>
            </w:tcBorders>
            <w:shd w:val="clear" w:color="auto" w:fill="auto"/>
            <w:hideMark/>
          </w:tcPr>
          <w:p w14:paraId="3EF257A7"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Scholarship</w:t>
            </w:r>
          </w:p>
        </w:tc>
      </w:tr>
      <w:tr w:rsidR="00F354EA" w:rsidRPr="00F354EA" w14:paraId="779D32EA" w14:textId="77777777" w:rsidTr="0075041F">
        <w:trPr>
          <w:trHeight w:val="1040"/>
        </w:trPr>
        <w:tc>
          <w:tcPr>
            <w:tcW w:w="1940" w:type="dxa"/>
            <w:tcBorders>
              <w:top w:val="nil"/>
              <w:left w:val="nil"/>
              <w:bottom w:val="nil"/>
              <w:right w:val="nil"/>
            </w:tcBorders>
            <w:shd w:val="clear" w:color="auto" w:fill="auto"/>
            <w:hideMark/>
          </w:tcPr>
          <w:p w14:paraId="5692BCAC"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STEM Secondary Education on Scholarship Basis Program</w:t>
            </w:r>
          </w:p>
        </w:tc>
        <w:tc>
          <w:tcPr>
            <w:tcW w:w="560" w:type="dxa"/>
            <w:tcBorders>
              <w:top w:val="nil"/>
              <w:left w:val="nil"/>
              <w:bottom w:val="nil"/>
              <w:right w:val="nil"/>
            </w:tcBorders>
            <w:shd w:val="clear" w:color="auto" w:fill="auto"/>
            <w:hideMark/>
          </w:tcPr>
          <w:p w14:paraId="565D0499"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498653EC"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 xml:space="preserve">Philippine Science </w:t>
            </w:r>
            <w:proofErr w:type="spellStart"/>
            <w:r w:rsidRPr="00F354EA">
              <w:rPr>
                <w:rFonts w:ascii="Times Roman" w:eastAsia="Times New Roman" w:hAnsi="Times Roman" w:cs="Calibri"/>
                <w:color w:val="000000"/>
                <w:sz w:val="18"/>
                <w:szCs w:val="18"/>
                <w:lang w:val="en-PH" w:eastAsia="ko-KR"/>
              </w:rPr>
              <w:t>HIgh</w:t>
            </w:r>
            <w:proofErr w:type="spellEnd"/>
            <w:r w:rsidRPr="00F354EA">
              <w:rPr>
                <w:rFonts w:ascii="Times Roman" w:eastAsia="Times New Roman" w:hAnsi="Times Roman" w:cs="Calibri"/>
                <w:color w:val="000000"/>
                <w:sz w:val="18"/>
                <w:szCs w:val="18"/>
                <w:lang w:val="en-PH" w:eastAsia="ko-KR"/>
              </w:rPr>
              <w:t xml:space="preserve"> School (PSHS)</w:t>
            </w:r>
          </w:p>
        </w:tc>
        <w:tc>
          <w:tcPr>
            <w:tcW w:w="3400" w:type="dxa"/>
            <w:tcBorders>
              <w:top w:val="nil"/>
              <w:left w:val="nil"/>
              <w:bottom w:val="nil"/>
              <w:right w:val="nil"/>
            </w:tcBorders>
            <w:shd w:val="clear" w:color="auto" w:fill="auto"/>
            <w:hideMark/>
          </w:tcPr>
          <w:p w14:paraId="414E659E"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Scholarship</w:t>
            </w:r>
          </w:p>
        </w:tc>
      </w:tr>
      <w:tr w:rsidR="00F354EA" w:rsidRPr="00F354EA" w14:paraId="349B9353" w14:textId="77777777" w:rsidTr="0075041F">
        <w:trPr>
          <w:trHeight w:val="520"/>
        </w:trPr>
        <w:tc>
          <w:tcPr>
            <w:tcW w:w="1940" w:type="dxa"/>
            <w:tcBorders>
              <w:top w:val="nil"/>
              <w:left w:val="nil"/>
              <w:bottom w:val="nil"/>
              <w:right w:val="nil"/>
            </w:tcBorders>
            <w:shd w:val="clear" w:color="auto" w:fill="auto"/>
            <w:hideMark/>
          </w:tcPr>
          <w:p w14:paraId="64B73703"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Strategic Science and Technology Program</w:t>
            </w:r>
          </w:p>
        </w:tc>
        <w:tc>
          <w:tcPr>
            <w:tcW w:w="560" w:type="dxa"/>
            <w:tcBorders>
              <w:top w:val="nil"/>
              <w:left w:val="nil"/>
              <w:bottom w:val="nil"/>
              <w:right w:val="nil"/>
            </w:tcBorders>
            <w:shd w:val="clear" w:color="auto" w:fill="auto"/>
            <w:hideMark/>
          </w:tcPr>
          <w:p w14:paraId="63C65F9B"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4C4E9E44"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Office of the Secretary</w:t>
            </w:r>
          </w:p>
        </w:tc>
        <w:tc>
          <w:tcPr>
            <w:tcW w:w="3400" w:type="dxa"/>
            <w:tcBorders>
              <w:top w:val="nil"/>
              <w:left w:val="nil"/>
              <w:bottom w:val="nil"/>
              <w:right w:val="nil"/>
            </w:tcBorders>
            <w:shd w:val="clear" w:color="auto" w:fill="auto"/>
            <w:hideMark/>
          </w:tcPr>
          <w:p w14:paraId="7F1A7230"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not available</w:t>
            </w:r>
          </w:p>
        </w:tc>
      </w:tr>
      <w:tr w:rsidR="00F354EA" w:rsidRPr="00F354EA" w14:paraId="60D87937" w14:textId="77777777" w:rsidTr="0075041F">
        <w:trPr>
          <w:trHeight w:val="1040"/>
        </w:trPr>
        <w:tc>
          <w:tcPr>
            <w:tcW w:w="1940" w:type="dxa"/>
            <w:tcBorders>
              <w:top w:val="nil"/>
              <w:left w:val="nil"/>
              <w:bottom w:val="nil"/>
              <w:right w:val="nil"/>
            </w:tcBorders>
            <w:shd w:val="clear" w:color="auto" w:fill="auto"/>
            <w:hideMark/>
          </w:tcPr>
          <w:p w14:paraId="4F6FA29B"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 xml:space="preserve">National Industry, Energy and Emerging Technology Sectors R&amp;D Program </w:t>
            </w:r>
          </w:p>
        </w:tc>
        <w:tc>
          <w:tcPr>
            <w:tcW w:w="560" w:type="dxa"/>
            <w:tcBorders>
              <w:top w:val="nil"/>
              <w:left w:val="nil"/>
              <w:bottom w:val="nil"/>
              <w:right w:val="nil"/>
            </w:tcBorders>
            <w:shd w:val="clear" w:color="auto" w:fill="auto"/>
            <w:hideMark/>
          </w:tcPr>
          <w:p w14:paraId="08BDEAC8"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78E49F4B"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Philippine Council for Industry, Energy, and Emerging Technology Research and Development (PCIEERD)</w:t>
            </w:r>
          </w:p>
        </w:tc>
        <w:tc>
          <w:tcPr>
            <w:tcW w:w="3400" w:type="dxa"/>
            <w:tcBorders>
              <w:top w:val="nil"/>
              <w:left w:val="nil"/>
              <w:bottom w:val="nil"/>
              <w:right w:val="nil"/>
            </w:tcBorders>
            <w:shd w:val="clear" w:color="auto" w:fill="auto"/>
            <w:hideMark/>
          </w:tcPr>
          <w:p w14:paraId="75BFF9A1"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not available</w:t>
            </w:r>
          </w:p>
        </w:tc>
      </w:tr>
      <w:tr w:rsidR="00F354EA" w:rsidRPr="00F354EA" w14:paraId="2E7CE092" w14:textId="77777777" w:rsidTr="0075041F">
        <w:trPr>
          <w:trHeight w:val="520"/>
        </w:trPr>
        <w:tc>
          <w:tcPr>
            <w:tcW w:w="1940" w:type="dxa"/>
            <w:tcBorders>
              <w:top w:val="nil"/>
              <w:left w:val="nil"/>
              <w:bottom w:val="nil"/>
              <w:right w:val="nil"/>
            </w:tcBorders>
            <w:shd w:val="clear" w:color="auto" w:fill="auto"/>
            <w:hideMark/>
          </w:tcPr>
          <w:p w14:paraId="6BAF2A30"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Advanced S&amp;T Transfer Program</w:t>
            </w:r>
          </w:p>
        </w:tc>
        <w:tc>
          <w:tcPr>
            <w:tcW w:w="560" w:type="dxa"/>
            <w:tcBorders>
              <w:top w:val="nil"/>
              <w:left w:val="nil"/>
              <w:bottom w:val="nil"/>
              <w:right w:val="nil"/>
            </w:tcBorders>
            <w:shd w:val="clear" w:color="auto" w:fill="auto"/>
            <w:hideMark/>
          </w:tcPr>
          <w:p w14:paraId="39F27344"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253CCD0C"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Advanced Science and Technology Institute (ASTI)</w:t>
            </w:r>
          </w:p>
        </w:tc>
        <w:tc>
          <w:tcPr>
            <w:tcW w:w="3400" w:type="dxa"/>
            <w:tcBorders>
              <w:top w:val="nil"/>
              <w:left w:val="nil"/>
              <w:bottom w:val="nil"/>
              <w:right w:val="nil"/>
            </w:tcBorders>
            <w:shd w:val="clear" w:color="auto" w:fill="auto"/>
            <w:hideMark/>
          </w:tcPr>
          <w:p w14:paraId="28931AEE"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R&amp;D, Grants, early stage infrastructure, quality infrastructure</w:t>
            </w:r>
          </w:p>
        </w:tc>
      </w:tr>
      <w:tr w:rsidR="00F354EA" w:rsidRPr="00F354EA" w14:paraId="1D707B2A" w14:textId="77777777" w:rsidTr="0075041F">
        <w:trPr>
          <w:trHeight w:val="520"/>
        </w:trPr>
        <w:tc>
          <w:tcPr>
            <w:tcW w:w="1940" w:type="dxa"/>
            <w:tcBorders>
              <w:top w:val="nil"/>
              <w:left w:val="nil"/>
              <w:bottom w:val="nil"/>
              <w:right w:val="nil"/>
            </w:tcBorders>
            <w:shd w:val="clear" w:color="auto" w:fill="auto"/>
            <w:hideMark/>
          </w:tcPr>
          <w:p w14:paraId="07C01F27"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Advanced S&amp;T R&amp;D Program</w:t>
            </w:r>
          </w:p>
        </w:tc>
        <w:tc>
          <w:tcPr>
            <w:tcW w:w="560" w:type="dxa"/>
            <w:tcBorders>
              <w:top w:val="nil"/>
              <w:left w:val="nil"/>
              <w:bottom w:val="nil"/>
              <w:right w:val="nil"/>
            </w:tcBorders>
            <w:shd w:val="clear" w:color="auto" w:fill="auto"/>
            <w:hideMark/>
          </w:tcPr>
          <w:p w14:paraId="7077D409"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400E584D"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Advanced Science and Technology Institute (ASTI)</w:t>
            </w:r>
          </w:p>
        </w:tc>
        <w:tc>
          <w:tcPr>
            <w:tcW w:w="3400" w:type="dxa"/>
            <w:tcBorders>
              <w:top w:val="nil"/>
              <w:left w:val="nil"/>
              <w:bottom w:val="nil"/>
              <w:right w:val="nil"/>
            </w:tcBorders>
            <w:shd w:val="clear" w:color="auto" w:fill="auto"/>
            <w:hideMark/>
          </w:tcPr>
          <w:p w14:paraId="015E65B5"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R&amp;D, Grants, early stage infrastructure, quality infrastructure</w:t>
            </w:r>
          </w:p>
        </w:tc>
      </w:tr>
      <w:tr w:rsidR="00F354EA" w:rsidRPr="00F354EA" w14:paraId="53CB6004" w14:textId="77777777" w:rsidTr="0075041F">
        <w:trPr>
          <w:trHeight w:val="520"/>
        </w:trPr>
        <w:tc>
          <w:tcPr>
            <w:tcW w:w="1940" w:type="dxa"/>
            <w:tcBorders>
              <w:top w:val="nil"/>
              <w:left w:val="nil"/>
              <w:bottom w:val="nil"/>
              <w:right w:val="nil"/>
            </w:tcBorders>
            <w:shd w:val="clear" w:color="auto" w:fill="auto"/>
            <w:hideMark/>
          </w:tcPr>
          <w:p w14:paraId="7F31CCC0"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Metals Industry Research Program</w:t>
            </w:r>
          </w:p>
        </w:tc>
        <w:tc>
          <w:tcPr>
            <w:tcW w:w="560" w:type="dxa"/>
            <w:tcBorders>
              <w:top w:val="nil"/>
              <w:left w:val="nil"/>
              <w:bottom w:val="nil"/>
              <w:right w:val="nil"/>
            </w:tcBorders>
            <w:shd w:val="clear" w:color="auto" w:fill="auto"/>
            <w:hideMark/>
          </w:tcPr>
          <w:p w14:paraId="3488ECEE"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03F63C68"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Metals Industry Research and Development Center (MIRDC)</w:t>
            </w:r>
          </w:p>
        </w:tc>
        <w:tc>
          <w:tcPr>
            <w:tcW w:w="3400" w:type="dxa"/>
            <w:tcBorders>
              <w:top w:val="nil"/>
              <w:left w:val="nil"/>
              <w:bottom w:val="nil"/>
              <w:right w:val="nil"/>
            </w:tcBorders>
            <w:shd w:val="clear" w:color="auto" w:fill="auto"/>
            <w:hideMark/>
          </w:tcPr>
          <w:p w14:paraId="1878225F"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Research infrastructure</w:t>
            </w:r>
          </w:p>
        </w:tc>
      </w:tr>
      <w:tr w:rsidR="00F354EA" w:rsidRPr="00F354EA" w14:paraId="6751D689" w14:textId="77777777" w:rsidTr="0075041F">
        <w:trPr>
          <w:trHeight w:val="520"/>
        </w:trPr>
        <w:tc>
          <w:tcPr>
            <w:tcW w:w="1940" w:type="dxa"/>
            <w:tcBorders>
              <w:top w:val="nil"/>
              <w:left w:val="nil"/>
              <w:bottom w:val="nil"/>
              <w:right w:val="nil"/>
            </w:tcBorders>
            <w:shd w:val="clear" w:color="auto" w:fill="auto"/>
            <w:hideMark/>
          </w:tcPr>
          <w:p w14:paraId="3C2F5A90"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Forest Products R&amp;D Program</w:t>
            </w:r>
          </w:p>
        </w:tc>
        <w:tc>
          <w:tcPr>
            <w:tcW w:w="560" w:type="dxa"/>
            <w:tcBorders>
              <w:top w:val="nil"/>
              <w:left w:val="nil"/>
              <w:bottom w:val="nil"/>
              <w:right w:val="nil"/>
            </w:tcBorders>
            <w:shd w:val="clear" w:color="auto" w:fill="auto"/>
            <w:hideMark/>
          </w:tcPr>
          <w:p w14:paraId="7FB2095F"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6C1E7127"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Forest Products Research and Development Institute (FPRDI)</w:t>
            </w:r>
          </w:p>
        </w:tc>
        <w:tc>
          <w:tcPr>
            <w:tcW w:w="3400" w:type="dxa"/>
            <w:tcBorders>
              <w:top w:val="nil"/>
              <w:left w:val="nil"/>
              <w:bottom w:val="nil"/>
              <w:right w:val="nil"/>
            </w:tcBorders>
            <w:shd w:val="clear" w:color="auto" w:fill="auto"/>
            <w:hideMark/>
          </w:tcPr>
          <w:p w14:paraId="66E7D7E2"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R&amp;D, early stage infrastructure</w:t>
            </w:r>
          </w:p>
        </w:tc>
      </w:tr>
      <w:tr w:rsidR="00F354EA" w:rsidRPr="00F354EA" w14:paraId="3EFFC5A1" w14:textId="77777777" w:rsidTr="0075041F">
        <w:trPr>
          <w:trHeight w:val="520"/>
        </w:trPr>
        <w:tc>
          <w:tcPr>
            <w:tcW w:w="1940" w:type="dxa"/>
            <w:tcBorders>
              <w:top w:val="nil"/>
              <w:left w:val="nil"/>
              <w:bottom w:val="nil"/>
              <w:right w:val="nil"/>
            </w:tcBorders>
            <w:shd w:val="clear" w:color="auto" w:fill="auto"/>
            <w:hideMark/>
          </w:tcPr>
          <w:p w14:paraId="49A03304"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Science &amp; Technology Information Program</w:t>
            </w:r>
          </w:p>
        </w:tc>
        <w:tc>
          <w:tcPr>
            <w:tcW w:w="560" w:type="dxa"/>
            <w:tcBorders>
              <w:top w:val="nil"/>
              <w:left w:val="nil"/>
              <w:bottom w:val="nil"/>
              <w:right w:val="nil"/>
            </w:tcBorders>
            <w:shd w:val="clear" w:color="auto" w:fill="auto"/>
            <w:hideMark/>
          </w:tcPr>
          <w:p w14:paraId="21D1F3DA"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0E84AC0B"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Science and Technology Information Institute (STII)</w:t>
            </w:r>
          </w:p>
        </w:tc>
        <w:tc>
          <w:tcPr>
            <w:tcW w:w="3400" w:type="dxa"/>
            <w:tcBorders>
              <w:top w:val="nil"/>
              <w:left w:val="nil"/>
              <w:bottom w:val="nil"/>
              <w:right w:val="nil"/>
            </w:tcBorders>
            <w:shd w:val="clear" w:color="auto" w:fill="auto"/>
            <w:hideMark/>
          </w:tcPr>
          <w:p w14:paraId="12C8DE2B"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not available</w:t>
            </w:r>
          </w:p>
        </w:tc>
      </w:tr>
      <w:tr w:rsidR="00F354EA" w:rsidRPr="00F354EA" w14:paraId="482642FB" w14:textId="77777777" w:rsidTr="0075041F">
        <w:trPr>
          <w:trHeight w:val="780"/>
        </w:trPr>
        <w:tc>
          <w:tcPr>
            <w:tcW w:w="1940" w:type="dxa"/>
            <w:tcBorders>
              <w:top w:val="nil"/>
              <w:left w:val="nil"/>
              <w:bottom w:val="nil"/>
              <w:right w:val="nil"/>
            </w:tcBorders>
            <w:shd w:val="clear" w:color="auto" w:fill="auto"/>
            <w:hideMark/>
          </w:tcPr>
          <w:p w14:paraId="754D7931"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S&amp;T Recognition and Policy Advisory Program</w:t>
            </w:r>
          </w:p>
        </w:tc>
        <w:tc>
          <w:tcPr>
            <w:tcW w:w="560" w:type="dxa"/>
            <w:tcBorders>
              <w:top w:val="nil"/>
              <w:left w:val="nil"/>
              <w:bottom w:val="nil"/>
              <w:right w:val="nil"/>
            </w:tcBorders>
            <w:shd w:val="clear" w:color="auto" w:fill="auto"/>
            <w:hideMark/>
          </w:tcPr>
          <w:p w14:paraId="382F467C"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08AFDC4A"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National Academy of Science and Technology (NAST)</w:t>
            </w:r>
          </w:p>
        </w:tc>
        <w:tc>
          <w:tcPr>
            <w:tcW w:w="3400" w:type="dxa"/>
            <w:tcBorders>
              <w:top w:val="nil"/>
              <w:left w:val="nil"/>
              <w:bottom w:val="nil"/>
              <w:right w:val="nil"/>
            </w:tcBorders>
            <w:shd w:val="clear" w:color="auto" w:fill="auto"/>
            <w:hideMark/>
          </w:tcPr>
          <w:p w14:paraId="5DA2C32B"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Policy advisory</w:t>
            </w:r>
          </w:p>
        </w:tc>
      </w:tr>
      <w:tr w:rsidR="00F354EA" w:rsidRPr="00F354EA" w14:paraId="37D05B89" w14:textId="77777777" w:rsidTr="0075041F">
        <w:trPr>
          <w:trHeight w:val="1040"/>
        </w:trPr>
        <w:tc>
          <w:tcPr>
            <w:tcW w:w="1940" w:type="dxa"/>
            <w:tcBorders>
              <w:top w:val="nil"/>
              <w:left w:val="nil"/>
              <w:bottom w:val="nil"/>
              <w:right w:val="nil"/>
            </w:tcBorders>
            <w:shd w:val="clear" w:color="auto" w:fill="auto"/>
            <w:hideMark/>
          </w:tcPr>
          <w:p w14:paraId="7EE46268"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Technology application and Invention Development Program</w:t>
            </w:r>
          </w:p>
        </w:tc>
        <w:tc>
          <w:tcPr>
            <w:tcW w:w="560" w:type="dxa"/>
            <w:tcBorders>
              <w:top w:val="nil"/>
              <w:left w:val="nil"/>
              <w:bottom w:val="nil"/>
              <w:right w:val="nil"/>
            </w:tcBorders>
            <w:shd w:val="clear" w:color="auto" w:fill="auto"/>
            <w:hideMark/>
          </w:tcPr>
          <w:p w14:paraId="1AA03E13"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107A0FFC"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Technology Application and Promotion Institute (TAPI)</w:t>
            </w:r>
          </w:p>
        </w:tc>
        <w:tc>
          <w:tcPr>
            <w:tcW w:w="3400" w:type="dxa"/>
            <w:tcBorders>
              <w:top w:val="nil"/>
              <w:left w:val="nil"/>
              <w:bottom w:val="nil"/>
              <w:right w:val="nil"/>
            </w:tcBorders>
            <w:shd w:val="clear" w:color="auto" w:fill="auto"/>
            <w:hideMark/>
          </w:tcPr>
          <w:p w14:paraId="35C3E90D"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 xml:space="preserve">Technical Assistance  </w:t>
            </w:r>
          </w:p>
        </w:tc>
      </w:tr>
      <w:tr w:rsidR="00F354EA" w:rsidRPr="00F354EA" w14:paraId="372FC091" w14:textId="77777777" w:rsidTr="0075041F">
        <w:trPr>
          <w:trHeight w:val="520"/>
        </w:trPr>
        <w:tc>
          <w:tcPr>
            <w:tcW w:w="1940" w:type="dxa"/>
            <w:tcBorders>
              <w:top w:val="nil"/>
              <w:left w:val="nil"/>
              <w:bottom w:val="nil"/>
              <w:right w:val="nil"/>
            </w:tcBorders>
            <w:shd w:val="clear" w:color="auto" w:fill="auto"/>
            <w:hideMark/>
          </w:tcPr>
          <w:p w14:paraId="4F545901"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S&amp;T Education Development Program</w:t>
            </w:r>
          </w:p>
        </w:tc>
        <w:tc>
          <w:tcPr>
            <w:tcW w:w="560" w:type="dxa"/>
            <w:tcBorders>
              <w:top w:val="nil"/>
              <w:left w:val="nil"/>
              <w:bottom w:val="nil"/>
              <w:right w:val="nil"/>
            </w:tcBorders>
            <w:shd w:val="clear" w:color="auto" w:fill="auto"/>
            <w:hideMark/>
          </w:tcPr>
          <w:p w14:paraId="71E76B14"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5603D7CC"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Science Education Institute (SEI)</w:t>
            </w:r>
          </w:p>
        </w:tc>
        <w:tc>
          <w:tcPr>
            <w:tcW w:w="3400" w:type="dxa"/>
            <w:tcBorders>
              <w:top w:val="nil"/>
              <w:left w:val="nil"/>
              <w:bottom w:val="nil"/>
              <w:right w:val="nil"/>
            </w:tcBorders>
            <w:shd w:val="clear" w:color="auto" w:fill="auto"/>
            <w:hideMark/>
          </w:tcPr>
          <w:p w14:paraId="6C7A9EEC"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not available</w:t>
            </w:r>
          </w:p>
        </w:tc>
      </w:tr>
      <w:tr w:rsidR="00F354EA" w:rsidRPr="00F354EA" w14:paraId="78E36602" w14:textId="77777777" w:rsidTr="0075041F">
        <w:trPr>
          <w:trHeight w:val="520"/>
        </w:trPr>
        <w:tc>
          <w:tcPr>
            <w:tcW w:w="1940" w:type="dxa"/>
            <w:tcBorders>
              <w:top w:val="nil"/>
              <w:left w:val="nil"/>
              <w:bottom w:val="nil"/>
              <w:right w:val="nil"/>
            </w:tcBorders>
            <w:shd w:val="clear" w:color="auto" w:fill="auto"/>
            <w:hideMark/>
          </w:tcPr>
          <w:p w14:paraId="3DFB45D4"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Food and Nutrition R&amp;D program</w:t>
            </w:r>
          </w:p>
        </w:tc>
        <w:tc>
          <w:tcPr>
            <w:tcW w:w="560" w:type="dxa"/>
            <w:tcBorders>
              <w:top w:val="nil"/>
              <w:left w:val="nil"/>
              <w:bottom w:val="nil"/>
              <w:right w:val="nil"/>
            </w:tcBorders>
            <w:shd w:val="clear" w:color="auto" w:fill="auto"/>
            <w:hideMark/>
          </w:tcPr>
          <w:p w14:paraId="6BB2B6F8"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422249F2"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Food and Nutrition Research Institute (FNRI)</w:t>
            </w:r>
          </w:p>
        </w:tc>
        <w:tc>
          <w:tcPr>
            <w:tcW w:w="3400" w:type="dxa"/>
            <w:tcBorders>
              <w:top w:val="nil"/>
              <w:left w:val="nil"/>
              <w:bottom w:val="nil"/>
              <w:right w:val="nil"/>
            </w:tcBorders>
            <w:shd w:val="clear" w:color="auto" w:fill="auto"/>
            <w:hideMark/>
          </w:tcPr>
          <w:p w14:paraId="387B9A83"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R&amp;D</w:t>
            </w:r>
          </w:p>
        </w:tc>
      </w:tr>
      <w:tr w:rsidR="00F354EA" w:rsidRPr="00F354EA" w14:paraId="1EC97C62" w14:textId="77777777" w:rsidTr="0075041F">
        <w:trPr>
          <w:trHeight w:val="1040"/>
        </w:trPr>
        <w:tc>
          <w:tcPr>
            <w:tcW w:w="1940" w:type="dxa"/>
            <w:tcBorders>
              <w:top w:val="nil"/>
              <w:left w:val="nil"/>
              <w:bottom w:val="nil"/>
              <w:right w:val="nil"/>
            </w:tcBorders>
            <w:shd w:val="clear" w:color="auto" w:fill="auto"/>
            <w:hideMark/>
          </w:tcPr>
          <w:p w14:paraId="46CD5370"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Food and Nutrition technology and knowledge diffusion program</w:t>
            </w:r>
          </w:p>
        </w:tc>
        <w:tc>
          <w:tcPr>
            <w:tcW w:w="560" w:type="dxa"/>
            <w:tcBorders>
              <w:top w:val="nil"/>
              <w:left w:val="nil"/>
              <w:bottom w:val="nil"/>
              <w:right w:val="nil"/>
            </w:tcBorders>
            <w:shd w:val="clear" w:color="auto" w:fill="auto"/>
            <w:hideMark/>
          </w:tcPr>
          <w:p w14:paraId="4E06BB24"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73462A8B"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Food and Nutrition Research Institute (FNRI)</w:t>
            </w:r>
          </w:p>
        </w:tc>
        <w:tc>
          <w:tcPr>
            <w:tcW w:w="3400" w:type="dxa"/>
            <w:tcBorders>
              <w:top w:val="nil"/>
              <w:left w:val="nil"/>
              <w:bottom w:val="nil"/>
              <w:right w:val="nil"/>
            </w:tcBorders>
            <w:shd w:val="clear" w:color="auto" w:fill="auto"/>
            <w:hideMark/>
          </w:tcPr>
          <w:p w14:paraId="65DB07DC"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Quality infrastructure</w:t>
            </w:r>
          </w:p>
        </w:tc>
      </w:tr>
      <w:tr w:rsidR="00F354EA" w:rsidRPr="00F354EA" w14:paraId="260813CB" w14:textId="77777777" w:rsidTr="0075041F">
        <w:trPr>
          <w:trHeight w:val="520"/>
        </w:trPr>
        <w:tc>
          <w:tcPr>
            <w:tcW w:w="1940" w:type="dxa"/>
            <w:tcBorders>
              <w:top w:val="nil"/>
              <w:left w:val="nil"/>
              <w:bottom w:val="nil"/>
              <w:right w:val="nil"/>
            </w:tcBorders>
            <w:shd w:val="clear" w:color="auto" w:fill="auto"/>
            <w:hideMark/>
          </w:tcPr>
          <w:p w14:paraId="32B57FF0"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STEM Promotion Program</w:t>
            </w:r>
          </w:p>
        </w:tc>
        <w:tc>
          <w:tcPr>
            <w:tcW w:w="560" w:type="dxa"/>
            <w:tcBorders>
              <w:top w:val="nil"/>
              <w:left w:val="nil"/>
              <w:bottom w:val="nil"/>
              <w:right w:val="nil"/>
            </w:tcBorders>
            <w:shd w:val="clear" w:color="auto" w:fill="auto"/>
            <w:hideMark/>
          </w:tcPr>
          <w:p w14:paraId="77F9E6D6"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491998FA"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 xml:space="preserve">Philippine Science </w:t>
            </w:r>
            <w:proofErr w:type="spellStart"/>
            <w:r w:rsidRPr="00F354EA">
              <w:rPr>
                <w:rFonts w:ascii="Times Roman" w:eastAsia="Times New Roman" w:hAnsi="Times Roman" w:cs="Calibri"/>
                <w:color w:val="000000"/>
                <w:sz w:val="18"/>
                <w:szCs w:val="18"/>
                <w:lang w:val="en-PH" w:eastAsia="ko-KR"/>
              </w:rPr>
              <w:t>HIgh</w:t>
            </w:r>
            <w:proofErr w:type="spellEnd"/>
            <w:r w:rsidRPr="00F354EA">
              <w:rPr>
                <w:rFonts w:ascii="Times Roman" w:eastAsia="Times New Roman" w:hAnsi="Times Roman" w:cs="Calibri"/>
                <w:color w:val="000000"/>
                <w:sz w:val="18"/>
                <w:szCs w:val="18"/>
                <w:lang w:val="en-PH" w:eastAsia="ko-KR"/>
              </w:rPr>
              <w:t xml:space="preserve"> School (PSHS)</w:t>
            </w:r>
          </w:p>
        </w:tc>
        <w:tc>
          <w:tcPr>
            <w:tcW w:w="3400" w:type="dxa"/>
            <w:tcBorders>
              <w:top w:val="nil"/>
              <w:left w:val="nil"/>
              <w:bottom w:val="nil"/>
              <w:right w:val="nil"/>
            </w:tcBorders>
            <w:shd w:val="clear" w:color="auto" w:fill="auto"/>
            <w:hideMark/>
          </w:tcPr>
          <w:p w14:paraId="760E84C3"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not available</w:t>
            </w:r>
          </w:p>
        </w:tc>
      </w:tr>
      <w:tr w:rsidR="00F354EA" w:rsidRPr="00F354EA" w14:paraId="3B1F5775" w14:textId="77777777" w:rsidTr="0075041F">
        <w:trPr>
          <w:trHeight w:val="780"/>
        </w:trPr>
        <w:tc>
          <w:tcPr>
            <w:tcW w:w="1940" w:type="dxa"/>
            <w:tcBorders>
              <w:top w:val="nil"/>
              <w:left w:val="nil"/>
              <w:bottom w:val="nil"/>
              <w:right w:val="nil"/>
            </w:tcBorders>
            <w:shd w:val="clear" w:color="auto" w:fill="auto"/>
            <w:hideMark/>
          </w:tcPr>
          <w:p w14:paraId="1EEC1C67"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Metals Industry Technology Transfer Program</w:t>
            </w:r>
          </w:p>
        </w:tc>
        <w:tc>
          <w:tcPr>
            <w:tcW w:w="560" w:type="dxa"/>
            <w:tcBorders>
              <w:top w:val="nil"/>
              <w:left w:val="nil"/>
              <w:bottom w:val="nil"/>
              <w:right w:val="nil"/>
            </w:tcBorders>
            <w:shd w:val="clear" w:color="auto" w:fill="auto"/>
            <w:hideMark/>
          </w:tcPr>
          <w:p w14:paraId="630A6419"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20AEF444"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Metals Industry Research and Development Center (MIRDC)</w:t>
            </w:r>
          </w:p>
        </w:tc>
        <w:tc>
          <w:tcPr>
            <w:tcW w:w="3400" w:type="dxa"/>
            <w:tcBorders>
              <w:top w:val="nil"/>
              <w:left w:val="nil"/>
              <w:bottom w:val="nil"/>
              <w:right w:val="nil"/>
            </w:tcBorders>
            <w:shd w:val="clear" w:color="auto" w:fill="auto"/>
            <w:hideMark/>
          </w:tcPr>
          <w:p w14:paraId="72DD9EBB"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Public procurement, business advisory, research infrastructure</w:t>
            </w:r>
          </w:p>
        </w:tc>
      </w:tr>
      <w:tr w:rsidR="00F354EA" w:rsidRPr="00F354EA" w14:paraId="080A5A79" w14:textId="77777777" w:rsidTr="0075041F">
        <w:trPr>
          <w:trHeight w:val="520"/>
        </w:trPr>
        <w:tc>
          <w:tcPr>
            <w:tcW w:w="1940" w:type="dxa"/>
            <w:tcBorders>
              <w:top w:val="nil"/>
              <w:left w:val="nil"/>
              <w:bottom w:val="nil"/>
              <w:right w:val="nil"/>
            </w:tcBorders>
            <w:shd w:val="clear" w:color="auto" w:fill="auto"/>
            <w:hideMark/>
          </w:tcPr>
          <w:p w14:paraId="3C6AF028"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Basic R&amp;D Management Program</w:t>
            </w:r>
          </w:p>
        </w:tc>
        <w:tc>
          <w:tcPr>
            <w:tcW w:w="560" w:type="dxa"/>
            <w:tcBorders>
              <w:top w:val="nil"/>
              <w:left w:val="nil"/>
              <w:bottom w:val="nil"/>
              <w:right w:val="nil"/>
            </w:tcBorders>
            <w:shd w:val="clear" w:color="auto" w:fill="auto"/>
            <w:hideMark/>
          </w:tcPr>
          <w:p w14:paraId="6D8C0166"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2F1EA236"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National Research Council of the Philippines (NRCP)</w:t>
            </w:r>
          </w:p>
        </w:tc>
        <w:tc>
          <w:tcPr>
            <w:tcW w:w="3400" w:type="dxa"/>
            <w:tcBorders>
              <w:top w:val="nil"/>
              <w:left w:val="nil"/>
              <w:bottom w:val="nil"/>
              <w:right w:val="nil"/>
            </w:tcBorders>
            <w:shd w:val="clear" w:color="auto" w:fill="auto"/>
            <w:hideMark/>
          </w:tcPr>
          <w:p w14:paraId="4541CAB5"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R&amp;D, grants</w:t>
            </w:r>
          </w:p>
        </w:tc>
      </w:tr>
      <w:tr w:rsidR="00F354EA" w:rsidRPr="00F354EA" w14:paraId="05887522" w14:textId="77777777" w:rsidTr="0075041F">
        <w:trPr>
          <w:trHeight w:val="520"/>
        </w:trPr>
        <w:tc>
          <w:tcPr>
            <w:tcW w:w="1940" w:type="dxa"/>
            <w:tcBorders>
              <w:top w:val="nil"/>
              <w:left w:val="nil"/>
              <w:bottom w:val="nil"/>
              <w:right w:val="nil"/>
            </w:tcBorders>
            <w:shd w:val="clear" w:color="auto" w:fill="auto"/>
            <w:hideMark/>
          </w:tcPr>
          <w:p w14:paraId="103D89D5"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Forest products S&amp;T services program</w:t>
            </w:r>
          </w:p>
        </w:tc>
        <w:tc>
          <w:tcPr>
            <w:tcW w:w="560" w:type="dxa"/>
            <w:tcBorders>
              <w:top w:val="nil"/>
              <w:left w:val="nil"/>
              <w:bottom w:val="nil"/>
              <w:right w:val="nil"/>
            </w:tcBorders>
            <w:shd w:val="clear" w:color="auto" w:fill="auto"/>
            <w:hideMark/>
          </w:tcPr>
          <w:p w14:paraId="23DD7ADC"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02BF1288"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Forest Products Research and Development Institute (FPRDI)</w:t>
            </w:r>
          </w:p>
        </w:tc>
        <w:tc>
          <w:tcPr>
            <w:tcW w:w="3400" w:type="dxa"/>
            <w:tcBorders>
              <w:top w:val="nil"/>
              <w:left w:val="nil"/>
              <w:bottom w:val="nil"/>
              <w:right w:val="nil"/>
            </w:tcBorders>
            <w:shd w:val="clear" w:color="auto" w:fill="auto"/>
            <w:hideMark/>
          </w:tcPr>
          <w:p w14:paraId="77369F41"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Quality infrastructure</w:t>
            </w:r>
          </w:p>
        </w:tc>
      </w:tr>
      <w:tr w:rsidR="00F354EA" w:rsidRPr="00F354EA" w14:paraId="2EF7133E" w14:textId="77777777" w:rsidTr="0075041F">
        <w:trPr>
          <w:trHeight w:val="520"/>
        </w:trPr>
        <w:tc>
          <w:tcPr>
            <w:tcW w:w="1940" w:type="dxa"/>
            <w:tcBorders>
              <w:top w:val="nil"/>
              <w:left w:val="nil"/>
              <w:bottom w:val="nil"/>
              <w:right w:val="nil"/>
            </w:tcBorders>
            <w:shd w:val="clear" w:color="auto" w:fill="auto"/>
            <w:hideMark/>
          </w:tcPr>
          <w:p w14:paraId="5F024EC6"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Forest products technology transfer</w:t>
            </w:r>
          </w:p>
        </w:tc>
        <w:tc>
          <w:tcPr>
            <w:tcW w:w="560" w:type="dxa"/>
            <w:tcBorders>
              <w:top w:val="nil"/>
              <w:left w:val="nil"/>
              <w:bottom w:val="nil"/>
              <w:right w:val="nil"/>
            </w:tcBorders>
            <w:shd w:val="clear" w:color="auto" w:fill="auto"/>
            <w:hideMark/>
          </w:tcPr>
          <w:p w14:paraId="7694EF52"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4AAE247C"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Forest Products Research and Development Institute (FPRDI)</w:t>
            </w:r>
          </w:p>
        </w:tc>
        <w:tc>
          <w:tcPr>
            <w:tcW w:w="3400" w:type="dxa"/>
            <w:tcBorders>
              <w:top w:val="nil"/>
              <w:left w:val="nil"/>
              <w:bottom w:val="nil"/>
              <w:right w:val="nil"/>
            </w:tcBorders>
            <w:shd w:val="clear" w:color="auto" w:fill="auto"/>
            <w:hideMark/>
          </w:tcPr>
          <w:p w14:paraId="15BA8117"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Public procurement, business advisory, research infrastructure</w:t>
            </w:r>
          </w:p>
        </w:tc>
      </w:tr>
      <w:tr w:rsidR="00F354EA" w:rsidRPr="00F354EA" w14:paraId="2F5F3CB5" w14:textId="77777777" w:rsidTr="0075041F">
        <w:trPr>
          <w:trHeight w:val="520"/>
        </w:trPr>
        <w:tc>
          <w:tcPr>
            <w:tcW w:w="1940" w:type="dxa"/>
            <w:tcBorders>
              <w:top w:val="nil"/>
              <w:left w:val="nil"/>
              <w:bottom w:val="nil"/>
              <w:right w:val="nil"/>
            </w:tcBorders>
            <w:shd w:val="clear" w:color="auto" w:fill="auto"/>
            <w:hideMark/>
          </w:tcPr>
          <w:p w14:paraId="57A9FABA"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Textile S&amp;T services program</w:t>
            </w:r>
          </w:p>
        </w:tc>
        <w:tc>
          <w:tcPr>
            <w:tcW w:w="560" w:type="dxa"/>
            <w:tcBorders>
              <w:top w:val="nil"/>
              <w:left w:val="nil"/>
              <w:bottom w:val="nil"/>
              <w:right w:val="nil"/>
            </w:tcBorders>
            <w:shd w:val="clear" w:color="auto" w:fill="auto"/>
            <w:hideMark/>
          </w:tcPr>
          <w:p w14:paraId="2F049D2B"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5F0E4E2A"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Philippine Textile Research Institute (PTRI)</w:t>
            </w:r>
          </w:p>
        </w:tc>
        <w:tc>
          <w:tcPr>
            <w:tcW w:w="3400" w:type="dxa"/>
            <w:tcBorders>
              <w:top w:val="nil"/>
              <w:left w:val="nil"/>
              <w:bottom w:val="nil"/>
              <w:right w:val="nil"/>
            </w:tcBorders>
            <w:shd w:val="clear" w:color="auto" w:fill="auto"/>
            <w:hideMark/>
          </w:tcPr>
          <w:p w14:paraId="42D98F67"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Quality infrastructure, education and training for entrepreneurship and SMEs</w:t>
            </w:r>
          </w:p>
        </w:tc>
      </w:tr>
      <w:tr w:rsidR="00F354EA" w:rsidRPr="00F354EA" w14:paraId="004F3171" w14:textId="77777777" w:rsidTr="0075041F">
        <w:trPr>
          <w:trHeight w:val="520"/>
        </w:trPr>
        <w:tc>
          <w:tcPr>
            <w:tcW w:w="1940" w:type="dxa"/>
            <w:tcBorders>
              <w:top w:val="nil"/>
              <w:left w:val="nil"/>
              <w:bottom w:val="nil"/>
              <w:right w:val="nil"/>
            </w:tcBorders>
            <w:shd w:val="clear" w:color="auto" w:fill="auto"/>
            <w:hideMark/>
          </w:tcPr>
          <w:p w14:paraId="73A8C0DF"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Textile Technology Transfer Program</w:t>
            </w:r>
          </w:p>
        </w:tc>
        <w:tc>
          <w:tcPr>
            <w:tcW w:w="560" w:type="dxa"/>
            <w:tcBorders>
              <w:top w:val="nil"/>
              <w:left w:val="nil"/>
              <w:bottom w:val="nil"/>
              <w:right w:val="nil"/>
            </w:tcBorders>
            <w:shd w:val="clear" w:color="auto" w:fill="auto"/>
            <w:hideMark/>
          </w:tcPr>
          <w:p w14:paraId="2BFC120A"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nil"/>
              <w:right w:val="nil"/>
            </w:tcBorders>
            <w:shd w:val="clear" w:color="auto" w:fill="auto"/>
            <w:hideMark/>
          </w:tcPr>
          <w:p w14:paraId="004CDA2F"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Philippine Textile Research Institute (PTRI)</w:t>
            </w:r>
          </w:p>
        </w:tc>
        <w:tc>
          <w:tcPr>
            <w:tcW w:w="3400" w:type="dxa"/>
            <w:tcBorders>
              <w:top w:val="nil"/>
              <w:left w:val="nil"/>
              <w:bottom w:val="nil"/>
              <w:right w:val="nil"/>
            </w:tcBorders>
            <w:shd w:val="clear" w:color="auto" w:fill="auto"/>
            <w:hideMark/>
          </w:tcPr>
          <w:p w14:paraId="1F5AFAAB"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Grants</w:t>
            </w:r>
          </w:p>
        </w:tc>
      </w:tr>
      <w:tr w:rsidR="00F354EA" w:rsidRPr="00F354EA" w14:paraId="7810C69C" w14:textId="77777777" w:rsidTr="0075041F">
        <w:trPr>
          <w:trHeight w:val="520"/>
        </w:trPr>
        <w:tc>
          <w:tcPr>
            <w:tcW w:w="1940" w:type="dxa"/>
            <w:tcBorders>
              <w:top w:val="nil"/>
              <w:left w:val="nil"/>
              <w:bottom w:val="single" w:sz="4" w:space="0" w:color="auto"/>
              <w:right w:val="nil"/>
            </w:tcBorders>
            <w:shd w:val="clear" w:color="auto" w:fill="auto"/>
            <w:hideMark/>
          </w:tcPr>
          <w:p w14:paraId="79286A34"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Policy development for S&amp;T advisory</w:t>
            </w:r>
          </w:p>
        </w:tc>
        <w:tc>
          <w:tcPr>
            <w:tcW w:w="560" w:type="dxa"/>
            <w:tcBorders>
              <w:top w:val="nil"/>
              <w:left w:val="nil"/>
              <w:bottom w:val="single" w:sz="4" w:space="0" w:color="auto"/>
              <w:right w:val="nil"/>
            </w:tcBorders>
            <w:shd w:val="clear" w:color="auto" w:fill="auto"/>
            <w:hideMark/>
          </w:tcPr>
          <w:p w14:paraId="1E7F48E7"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DOST</w:t>
            </w:r>
          </w:p>
        </w:tc>
        <w:tc>
          <w:tcPr>
            <w:tcW w:w="2860" w:type="dxa"/>
            <w:tcBorders>
              <w:top w:val="nil"/>
              <w:left w:val="nil"/>
              <w:bottom w:val="single" w:sz="4" w:space="0" w:color="auto"/>
              <w:right w:val="nil"/>
            </w:tcBorders>
            <w:shd w:val="clear" w:color="auto" w:fill="auto"/>
            <w:hideMark/>
          </w:tcPr>
          <w:p w14:paraId="141C7919"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National Academy of Science and Technology (NAST)</w:t>
            </w:r>
          </w:p>
        </w:tc>
        <w:tc>
          <w:tcPr>
            <w:tcW w:w="3400" w:type="dxa"/>
            <w:tcBorders>
              <w:top w:val="nil"/>
              <w:left w:val="nil"/>
              <w:bottom w:val="single" w:sz="4" w:space="0" w:color="auto"/>
              <w:right w:val="nil"/>
            </w:tcBorders>
            <w:shd w:val="clear" w:color="auto" w:fill="auto"/>
            <w:hideMark/>
          </w:tcPr>
          <w:p w14:paraId="235E69E2" w14:textId="77777777" w:rsidR="00F354EA" w:rsidRPr="00F354EA" w:rsidRDefault="00F354EA" w:rsidP="00F354EA">
            <w:pPr>
              <w:spacing w:after="0" w:line="240" w:lineRule="auto"/>
              <w:rPr>
                <w:rFonts w:ascii="Times Roman" w:eastAsia="Times New Roman" w:hAnsi="Times Roman" w:cs="Calibri"/>
                <w:color w:val="000000"/>
                <w:sz w:val="18"/>
                <w:szCs w:val="18"/>
                <w:lang w:val="en-PH" w:eastAsia="ko-KR"/>
              </w:rPr>
            </w:pPr>
            <w:r w:rsidRPr="00F354EA">
              <w:rPr>
                <w:rFonts w:ascii="Times Roman" w:eastAsia="Times New Roman" w:hAnsi="Times Roman" w:cs="Calibri"/>
                <w:color w:val="000000"/>
                <w:sz w:val="18"/>
                <w:szCs w:val="18"/>
                <w:lang w:val="en-PH" w:eastAsia="ko-KR"/>
              </w:rPr>
              <w:t>Policy advisory</w:t>
            </w:r>
          </w:p>
        </w:tc>
      </w:tr>
    </w:tbl>
    <w:p w14:paraId="36A041C3" w14:textId="77777777" w:rsidR="00F354EA" w:rsidRPr="00F354EA" w:rsidRDefault="00F354EA" w:rsidP="00F354EA">
      <w:pPr>
        <w:rPr>
          <w:b/>
        </w:rPr>
      </w:pPr>
    </w:p>
    <w:p w14:paraId="6CAB749A" w14:textId="5ABA5040" w:rsidR="00655843" w:rsidRDefault="00655843">
      <w:r>
        <w:br w:type="page"/>
      </w:r>
    </w:p>
    <w:p w14:paraId="38A59E50" w14:textId="77777777" w:rsidR="00F354EA" w:rsidRPr="00F354EA" w:rsidRDefault="00F354EA" w:rsidP="00EA1157"/>
    <w:p w14:paraId="2FAB6FD3" w14:textId="01D70138" w:rsidR="003E67B8" w:rsidRDefault="00F354EA" w:rsidP="005A6483">
      <w:pPr>
        <w:pStyle w:val="Heading1"/>
      </w:pPr>
      <w:bookmarkStart w:id="117" w:name="_Toc12503543"/>
      <w:r>
        <w:t xml:space="preserve">Annex </w:t>
      </w:r>
      <w:r w:rsidR="0018232F">
        <w:t>6</w:t>
      </w:r>
      <w:r>
        <w:t xml:space="preserve">: </w:t>
      </w:r>
      <w:r w:rsidR="00F61675">
        <w:t>Agency Performance</w:t>
      </w:r>
      <w:bookmarkEnd w:id="115"/>
      <w:bookmarkEnd w:id="117"/>
      <w:r w:rsidR="0010791B">
        <w:t xml:space="preserve"> </w:t>
      </w:r>
    </w:p>
    <w:p w14:paraId="60ECD1BE" w14:textId="77777777" w:rsidR="003E67B8" w:rsidRDefault="003E67B8" w:rsidP="003E67B8">
      <w:pPr>
        <w:rPr>
          <w:highlight w:val="yellow"/>
        </w:rPr>
      </w:pPr>
    </w:p>
    <w:p w14:paraId="1EC4C547" w14:textId="6BADBD06" w:rsidR="00F61675" w:rsidRPr="003E67B8" w:rsidRDefault="00F61675" w:rsidP="003E67B8">
      <w:pPr>
        <w:rPr>
          <w:b/>
        </w:rPr>
      </w:pPr>
      <w:r w:rsidRPr="003E67B8">
        <w:rPr>
          <w:b/>
        </w:rPr>
        <w:t>DTI</w:t>
      </w:r>
    </w:p>
    <w:p w14:paraId="7DD0E917" w14:textId="77777777" w:rsidR="00F61675" w:rsidRPr="00FF6DF5" w:rsidRDefault="00F61675" w:rsidP="00F61675">
      <w:pPr>
        <w:rPr>
          <w:rFonts w:ascii="Times" w:hAnsi="Times" w:cs="Times New Roman"/>
        </w:rPr>
      </w:pPr>
      <w:r w:rsidRPr="00FF6DF5">
        <w:rPr>
          <w:rFonts w:ascii="Times" w:hAnsi="Times" w:cs="Times New Roman"/>
        </w:rPr>
        <w:t xml:space="preserve">Ripples, ICE and P3 showed strong practice in design: </w:t>
      </w:r>
    </w:p>
    <w:p w14:paraId="528B0F51"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 xml:space="preserve">Integration with complementary instruments (credit guarantees) and beneficiaries in value chains (i.e. ICE), selection criteria, and monitoring systems by P3 and ICE,  </w:t>
      </w:r>
    </w:p>
    <w:p w14:paraId="3BD768EC"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justification of origin, targeting of multiple stakeholders and articulation of results by RIPPLES, and ICE</w:t>
      </w:r>
    </w:p>
    <w:p w14:paraId="51E0FF0C"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Justification and strong rationale (ICE)</w:t>
      </w:r>
    </w:p>
    <w:p w14:paraId="3FA55CFB" w14:textId="77777777" w:rsidR="00F61675" w:rsidRPr="00FF6DF5" w:rsidRDefault="00F61675" w:rsidP="00F61675">
      <w:pPr>
        <w:rPr>
          <w:rFonts w:ascii="Times" w:hAnsi="Times" w:cs="Times New Roman"/>
        </w:rPr>
      </w:pPr>
    </w:p>
    <w:p w14:paraId="45ECD90F" w14:textId="77777777" w:rsidR="00F61675" w:rsidRPr="00FF6DF5" w:rsidRDefault="00F61675" w:rsidP="00F61675">
      <w:pPr>
        <w:rPr>
          <w:rFonts w:ascii="Times" w:hAnsi="Times" w:cs="Times New Roman"/>
        </w:rPr>
      </w:pPr>
      <w:r w:rsidRPr="00FF6DF5">
        <w:rPr>
          <w:rFonts w:ascii="Times" w:hAnsi="Times" w:cs="Times New Roman"/>
        </w:rPr>
        <w:t xml:space="preserve">But we detected opportunities for improvement of design practices at DTI: </w:t>
      </w:r>
    </w:p>
    <w:p w14:paraId="2A4FE00E"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Absence of a logical framework, MME, ICE and SSF</w:t>
      </w:r>
    </w:p>
    <w:p w14:paraId="55533720"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 xml:space="preserve">Weak systems for monitoring: RIPPLES, </w:t>
      </w:r>
      <w:proofErr w:type="spellStart"/>
      <w:r w:rsidRPr="00FF6DF5">
        <w:rPr>
          <w:rFonts w:ascii="Times" w:hAnsi="Times" w:cs="Times New Roman"/>
        </w:rPr>
        <w:t>Negosyo</w:t>
      </w:r>
      <w:proofErr w:type="spellEnd"/>
      <w:r w:rsidRPr="00FF6DF5">
        <w:rPr>
          <w:rFonts w:ascii="Times" w:hAnsi="Times" w:cs="Times New Roman"/>
        </w:rPr>
        <w:t xml:space="preserve"> Centers, </w:t>
      </w:r>
    </w:p>
    <w:p w14:paraId="7476AFBF"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Poor justification: OTOP, P3</w:t>
      </w:r>
    </w:p>
    <w:p w14:paraId="08412C86"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Evaluation of alternative supporting mechanisms: SSF</w:t>
      </w:r>
    </w:p>
    <w:p w14:paraId="4755C727" w14:textId="77777777" w:rsidR="00F61675" w:rsidRPr="00FF6DF5" w:rsidRDefault="00F61675" w:rsidP="00F61675">
      <w:pPr>
        <w:rPr>
          <w:rFonts w:ascii="Times" w:hAnsi="Times" w:cs="Times New Roman"/>
        </w:rPr>
      </w:pPr>
    </w:p>
    <w:p w14:paraId="40C5FF08" w14:textId="77777777" w:rsidR="00F61675" w:rsidRPr="00FF6DF5" w:rsidRDefault="00F61675" w:rsidP="00F61675">
      <w:pPr>
        <w:rPr>
          <w:rFonts w:ascii="Times" w:hAnsi="Times" w:cs="Times New Roman"/>
        </w:rPr>
      </w:pPr>
      <w:r w:rsidRPr="00FF6DF5">
        <w:rPr>
          <w:rFonts w:ascii="Times" w:hAnsi="Times" w:cs="Times New Roman"/>
        </w:rPr>
        <w:t>Positive practices in implementation were found:</w:t>
      </w:r>
    </w:p>
    <w:p w14:paraId="06D5A3E9"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Learning from implementation by P3,</w:t>
      </w:r>
    </w:p>
    <w:p w14:paraId="4CFDD87E"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 xml:space="preserve">Selection of potential beneficiaries and application procedures by P3, </w:t>
      </w:r>
    </w:p>
    <w:p w14:paraId="4167321D" w14:textId="77777777" w:rsidR="00F61675" w:rsidRPr="00FF6DF5" w:rsidRDefault="00F61675" w:rsidP="00F61675">
      <w:pPr>
        <w:pStyle w:val="ListParagraph"/>
        <w:numPr>
          <w:ilvl w:val="0"/>
          <w:numId w:val="16"/>
        </w:numPr>
        <w:spacing w:after="0"/>
        <w:rPr>
          <w:rFonts w:ascii="Times" w:hAnsi="Times" w:cs="Times New Roman"/>
        </w:rPr>
      </w:pPr>
      <w:proofErr w:type="spellStart"/>
      <w:r w:rsidRPr="00FF6DF5">
        <w:rPr>
          <w:rFonts w:ascii="Times" w:hAnsi="Times" w:cs="Times New Roman"/>
        </w:rPr>
        <w:t>Negosyo</w:t>
      </w:r>
      <w:proofErr w:type="spellEnd"/>
      <w:r w:rsidRPr="00FF6DF5">
        <w:rPr>
          <w:rFonts w:ascii="Times" w:hAnsi="Times" w:cs="Times New Roman"/>
        </w:rPr>
        <w:t xml:space="preserve"> Centers showed good practice in selection of supporting mechanisms, and in integration</w:t>
      </w:r>
    </w:p>
    <w:p w14:paraId="2EFA624B"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 xml:space="preserve">Well-resourced program and management authority by P3, SSF and RIPPLES, </w:t>
      </w:r>
    </w:p>
    <w:p w14:paraId="5699B654"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Information management systems by RIPPLES</w:t>
      </w:r>
    </w:p>
    <w:p w14:paraId="61F4A19C"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Organizational management with regional partners, and good closure procedures by ICE.</w:t>
      </w:r>
    </w:p>
    <w:p w14:paraId="00E8C97F" w14:textId="77777777" w:rsidR="00F61675" w:rsidRPr="00FF6DF5" w:rsidRDefault="00F61675" w:rsidP="00F61675">
      <w:pPr>
        <w:rPr>
          <w:rFonts w:ascii="Times" w:hAnsi="Times" w:cs="Times New Roman"/>
          <w:b/>
        </w:rPr>
      </w:pPr>
    </w:p>
    <w:p w14:paraId="40BF5A15" w14:textId="77777777" w:rsidR="000B3AC5" w:rsidRDefault="000B3AC5">
      <w:r>
        <w:br w:type="page"/>
      </w:r>
    </w:p>
    <w:p w14:paraId="7D86CF38" w14:textId="44CE7DDD" w:rsidR="00F61675" w:rsidRPr="000B3AC5" w:rsidRDefault="00F61675" w:rsidP="000B3AC5">
      <w:pPr>
        <w:jc w:val="center"/>
        <w:rPr>
          <w:rFonts w:ascii="Times" w:hAnsi="Times" w:cs="Times New Roman"/>
          <w:b/>
        </w:rPr>
      </w:pPr>
      <w:r w:rsidRPr="000B3AC5">
        <w:rPr>
          <w:b/>
        </w:rPr>
        <w:t>Figure</w:t>
      </w:r>
      <w:r w:rsidR="000B3AC5" w:rsidRPr="000B3AC5">
        <w:rPr>
          <w:b/>
        </w:rPr>
        <w:t xml:space="preserve"> 1</w:t>
      </w:r>
      <w:r w:rsidRPr="000B3AC5">
        <w:rPr>
          <w:rFonts w:ascii="Times" w:hAnsi="Times" w:cs="Times New Roman"/>
          <w:b/>
        </w:rPr>
        <w:t>: Scores for DTI programs by functional dimension</w:t>
      </w:r>
    </w:p>
    <w:p w14:paraId="37C89F7E" w14:textId="77777777" w:rsidR="00F61675" w:rsidRPr="00FF6DF5" w:rsidRDefault="00F61675" w:rsidP="00F61675">
      <w:pPr>
        <w:rPr>
          <w:rFonts w:ascii="Times" w:hAnsi="Times" w:cs="Times New Roman"/>
        </w:rPr>
      </w:pPr>
      <w:r w:rsidRPr="00FF6DF5">
        <w:rPr>
          <w:rFonts w:ascii="Times" w:hAnsi="Times" w:cs="Times New Roman"/>
          <w:noProof/>
        </w:rPr>
        <w:drawing>
          <wp:inline distT="0" distB="0" distL="0" distR="0" wp14:anchorId="26A25DAA" wp14:editId="4BA645BF">
            <wp:extent cx="5390984" cy="389576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5393158" cy="3897331"/>
                    </a:xfrm>
                    <a:prstGeom prst="rect">
                      <a:avLst/>
                    </a:prstGeom>
                    <a:noFill/>
                    <a:ln>
                      <a:noFill/>
                    </a:ln>
                  </pic:spPr>
                </pic:pic>
              </a:graphicData>
            </a:graphic>
          </wp:inline>
        </w:drawing>
      </w:r>
    </w:p>
    <w:p w14:paraId="269B6570" w14:textId="77777777" w:rsidR="00F61675" w:rsidRPr="00FF6DF5" w:rsidRDefault="00F61675" w:rsidP="000B3AC5">
      <w:pPr>
        <w:jc w:val="center"/>
        <w:rPr>
          <w:rFonts w:ascii="Times" w:hAnsi="Times" w:cs="Times New Roman"/>
          <w:sz w:val="18"/>
          <w:szCs w:val="18"/>
        </w:rPr>
      </w:pPr>
      <w:r w:rsidRPr="00FF6DF5">
        <w:rPr>
          <w:rFonts w:ascii="Times" w:hAnsi="Times" w:cs="Times New Roman"/>
          <w:sz w:val="18"/>
          <w:szCs w:val="18"/>
        </w:rPr>
        <w:t xml:space="preserve">Source: WBG, based on interviews and available documentation from DTI, and </w:t>
      </w:r>
      <w:proofErr w:type="spellStart"/>
      <w:r w:rsidRPr="00FF6DF5">
        <w:rPr>
          <w:rFonts w:ascii="Times" w:hAnsi="Times" w:cs="Times New Roman"/>
          <w:sz w:val="18"/>
          <w:szCs w:val="18"/>
        </w:rPr>
        <w:t>DoST</w:t>
      </w:r>
      <w:proofErr w:type="spellEnd"/>
      <w:r w:rsidRPr="00FF6DF5">
        <w:rPr>
          <w:rFonts w:ascii="Times" w:hAnsi="Times" w:cs="Times New Roman"/>
          <w:sz w:val="18"/>
          <w:szCs w:val="18"/>
        </w:rPr>
        <w:t>.</w:t>
      </w:r>
    </w:p>
    <w:p w14:paraId="755F1889" w14:textId="77777777" w:rsidR="00F61675" w:rsidRPr="00FF6DF5" w:rsidRDefault="00F61675" w:rsidP="00F61675">
      <w:pPr>
        <w:rPr>
          <w:rFonts w:ascii="Times" w:hAnsi="Times" w:cs="Times New Roman"/>
        </w:rPr>
      </w:pPr>
      <w:r w:rsidRPr="00FF6DF5">
        <w:rPr>
          <w:rFonts w:ascii="Times" w:hAnsi="Times" w:cs="Times New Roman"/>
        </w:rPr>
        <w:t>And opportunities for improvement of implementation:</w:t>
      </w:r>
    </w:p>
    <w:p w14:paraId="5C3D2BE4"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 xml:space="preserve">Procedures for call for proposal at ICE, selection of potential applicants at MME, </w:t>
      </w:r>
      <w:proofErr w:type="spellStart"/>
      <w:r w:rsidRPr="00FF6DF5">
        <w:rPr>
          <w:rFonts w:ascii="Times" w:hAnsi="Times" w:cs="Times New Roman"/>
        </w:rPr>
        <w:t>Negosyo</w:t>
      </w:r>
      <w:proofErr w:type="spellEnd"/>
      <w:r w:rsidRPr="00FF6DF5">
        <w:rPr>
          <w:rFonts w:ascii="Times" w:hAnsi="Times" w:cs="Times New Roman"/>
        </w:rPr>
        <w:t>, OTOP, SSF</w:t>
      </w:r>
    </w:p>
    <w:p w14:paraId="31C9A7DD"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 xml:space="preserve">M&amp;E and Information management systems at ICE and MME, RIPPLES, </w:t>
      </w:r>
      <w:proofErr w:type="spellStart"/>
      <w:r w:rsidRPr="00FF6DF5">
        <w:rPr>
          <w:rFonts w:ascii="Times" w:hAnsi="Times" w:cs="Times New Roman"/>
        </w:rPr>
        <w:t>Negosyo</w:t>
      </w:r>
      <w:proofErr w:type="spellEnd"/>
      <w:r w:rsidRPr="00FF6DF5">
        <w:rPr>
          <w:rFonts w:ascii="Times" w:hAnsi="Times" w:cs="Times New Roman"/>
        </w:rPr>
        <w:t>, OTOP, SSF</w:t>
      </w:r>
    </w:p>
    <w:p w14:paraId="2039A18E" w14:textId="77777777" w:rsidR="00F61675" w:rsidRPr="00FF6DF5" w:rsidRDefault="00F61675" w:rsidP="00F61675">
      <w:pPr>
        <w:rPr>
          <w:rFonts w:ascii="Times" w:hAnsi="Times" w:cs="Times New Roman"/>
        </w:rPr>
      </w:pPr>
    </w:p>
    <w:p w14:paraId="5DF77703" w14:textId="77777777" w:rsidR="00F61675" w:rsidRPr="00FF6DF5" w:rsidRDefault="00F61675" w:rsidP="00F61675">
      <w:pPr>
        <w:rPr>
          <w:rFonts w:ascii="Times" w:hAnsi="Times" w:cs="Times New Roman"/>
        </w:rPr>
      </w:pPr>
      <w:r w:rsidRPr="00FF6DF5">
        <w:rPr>
          <w:rFonts w:ascii="Times" w:hAnsi="Times" w:cs="Times New Roman"/>
        </w:rPr>
        <w:t>Good practices for governance at DTI include:</w:t>
      </w:r>
    </w:p>
    <w:p w14:paraId="799D914B"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 xml:space="preserve">Committees that promote institutional coordination and address problems of implementation, and general communication among managers, for all programs, but also, we captured opportunities for improvement </w:t>
      </w:r>
    </w:p>
    <w:p w14:paraId="2CDBD6F8"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 xml:space="preserve">Lack of external awareness of potential factors that can negatively affect the performance of the project at MME, </w:t>
      </w:r>
      <w:proofErr w:type="spellStart"/>
      <w:r w:rsidRPr="00FF6DF5">
        <w:rPr>
          <w:rFonts w:ascii="Times" w:hAnsi="Times" w:cs="Times New Roman"/>
        </w:rPr>
        <w:t>Negosyo</w:t>
      </w:r>
      <w:proofErr w:type="spellEnd"/>
      <w:r w:rsidRPr="00FF6DF5">
        <w:rPr>
          <w:rFonts w:ascii="Times" w:hAnsi="Times" w:cs="Times New Roman"/>
        </w:rPr>
        <w:t>, OTOP</w:t>
      </w:r>
    </w:p>
    <w:p w14:paraId="08D2B127"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Absence of institutional relationship mechanisms at SSF</w:t>
      </w:r>
    </w:p>
    <w:p w14:paraId="15E2DC78" w14:textId="77777777" w:rsidR="00F61675" w:rsidRPr="00FF6DF5" w:rsidRDefault="00F61675" w:rsidP="00F61675">
      <w:pPr>
        <w:rPr>
          <w:rFonts w:ascii="Times" w:hAnsi="Times" w:cs="Times New Roman"/>
        </w:rPr>
      </w:pPr>
    </w:p>
    <w:p w14:paraId="3B309D05" w14:textId="301FBE54" w:rsidR="00F61675" w:rsidRPr="00FF6DF5" w:rsidRDefault="00F61675" w:rsidP="00F61675">
      <w:pPr>
        <w:rPr>
          <w:rFonts w:ascii="Times" w:hAnsi="Times" w:cs="Times New Roman"/>
        </w:rPr>
      </w:pPr>
      <w:r w:rsidRPr="00FF6DF5">
        <w:rPr>
          <w:rFonts w:ascii="Times" w:hAnsi="Times" w:cs="Times New Roman"/>
        </w:rPr>
        <w:t>Finally, Figure</w:t>
      </w:r>
      <w:r w:rsidR="000B3AC5">
        <w:rPr>
          <w:rFonts w:ascii="Times" w:hAnsi="Times" w:cs="Times New Roman"/>
        </w:rPr>
        <w:t xml:space="preserve"> 2</w:t>
      </w:r>
      <w:r w:rsidRPr="00FF6DF5">
        <w:rPr>
          <w:rFonts w:ascii="Times" w:hAnsi="Times" w:cs="Times New Roman"/>
        </w:rPr>
        <w:t xml:space="preserve"> highlights the main implementation gaps and opportunities for internal learning in DTI</w:t>
      </w:r>
    </w:p>
    <w:p w14:paraId="53048FD9" w14:textId="77777777" w:rsidR="00F61675" w:rsidRPr="00FF6DF5" w:rsidRDefault="00F61675" w:rsidP="00F61675">
      <w:pPr>
        <w:rPr>
          <w:rFonts w:ascii="Times" w:hAnsi="Times" w:cs="Times New Roman"/>
        </w:rPr>
      </w:pPr>
    </w:p>
    <w:p w14:paraId="41976523" w14:textId="77777777" w:rsidR="000B3AC5" w:rsidRDefault="000B3AC5">
      <w:r>
        <w:br w:type="page"/>
      </w:r>
    </w:p>
    <w:p w14:paraId="710F5929" w14:textId="7525AE2A" w:rsidR="00F61675" w:rsidRPr="000B3AC5" w:rsidRDefault="00F61675" w:rsidP="000B3AC5">
      <w:pPr>
        <w:jc w:val="center"/>
        <w:rPr>
          <w:rFonts w:ascii="Times" w:hAnsi="Times" w:cs="Times New Roman"/>
          <w:b/>
        </w:rPr>
      </w:pPr>
      <w:r w:rsidRPr="000B3AC5">
        <w:rPr>
          <w:b/>
        </w:rPr>
        <w:t xml:space="preserve">Figure </w:t>
      </w:r>
      <w:r w:rsidR="000B3AC5" w:rsidRPr="000B3AC5">
        <w:rPr>
          <w:b/>
          <w:noProof/>
        </w:rPr>
        <w:t>2</w:t>
      </w:r>
      <w:r w:rsidRPr="000B3AC5">
        <w:rPr>
          <w:rFonts w:ascii="Times" w:hAnsi="Times" w:cs="Times New Roman"/>
          <w:b/>
        </w:rPr>
        <w:t>: Design and implementation gap in DTI</w:t>
      </w:r>
    </w:p>
    <w:p w14:paraId="74DC7839" w14:textId="77777777" w:rsidR="00F61675" w:rsidRPr="00FF6DF5" w:rsidRDefault="00F61675" w:rsidP="00F61675">
      <w:pPr>
        <w:rPr>
          <w:rFonts w:ascii="Times" w:hAnsi="Times" w:cs="Times New Roman"/>
          <w:b/>
        </w:rPr>
      </w:pPr>
      <w:r w:rsidRPr="00FF6DF5">
        <w:rPr>
          <w:rFonts w:ascii="Times" w:hAnsi="Times" w:cs="Times New Roman"/>
          <w:b/>
          <w:noProof/>
        </w:rPr>
        <w:drawing>
          <wp:inline distT="0" distB="0" distL="0" distR="0" wp14:anchorId="3F0D30B0" wp14:editId="78119697">
            <wp:extent cx="5949950" cy="432723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5956137" cy="4331735"/>
                    </a:xfrm>
                    <a:prstGeom prst="rect">
                      <a:avLst/>
                    </a:prstGeom>
                    <a:noFill/>
                    <a:ln>
                      <a:noFill/>
                    </a:ln>
                  </pic:spPr>
                </pic:pic>
              </a:graphicData>
            </a:graphic>
          </wp:inline>
        </w:drawing>
      </w:r>
    </w:p>
    <w:p w14:paraId="48FD0623" w14:textId="77777777" w:rsidR="00F61675" w:rsidRPr="00FF6DF5" w:rsidRDefault="00F61675" w:rsidP="00F61675">
      <w:pPr>
        <w:rPr>
          <w:rFonts w:ascii="Times" w:hAnsi="Times" w:cs="Times New Roman"/>
          <w:sz w:val="18"/>
          <w:szCs w:val="18"/>
        </w:rPr>
      </w:pPr>
      <w:r w:rsidRPr="00FF6DF5">
        <w:rPr>
          <w:rFonts w:ascii="Times" w:hAnsi="Times" w:cs="Times New Roman"/>
          <w:sz w:val="18"/>
          <w:szCs w:val="18"/>
        </w:rPr>
        <w:t xml:space="preserve">Source: WBG, based on interviews and available documentation from DTI, and </w:t>
      </w:r>
      <w:proofErr w:type="spellStart"/>
      <w:r w:rsidRPr="00FF6DF5">
        <w:rPr>
          <w:rFonts w:ascii="Times" w:hAnsi="Times" w:cs="Times New Roman"/>
          <w:sz w:val="18"/>
          <w:szCs w:val="18"/>
        </w:rPr>
        <w:t>DoST</w:t>
      </w:r>
      <w:proofErr w:type="spellEnd"/>
      <w:r w:rsidRPr="00FF6DF5">
        <w:rPr>
          <w:rFonts w:ascii="Times" w:hAnsi="Times" w:cs="Times New Roman"/>
          <w:sz w:val="18"/>
          <w:szCs w:val="18"/>
        </w:rPr>
        <w:t>.</w:t>
      </w:r>
    </w:p>
    <w:p w14:paraId="2DE1480E" w14:textId="77777777" w:rsidR="00F61675" w:rsidRPr="00ED5A90" w:rsidRDefault="00F61675" w:rsidP="00F61675"/>
    <w:p w14:paraId="369604AC" w14:textId="77777777" w:rsidR="00F61675" w:rsidRPr="003E67B8" w:rsidRDefault="00F61675" w:rsidP="003E67B8">
      <w:pPr>
        <w:rPr>
          <w:b/>
        </w:rPr>
      </w:pPr>
      <w:r w:rsidRPr="003E67B8">
        <w:rPr>
          <w:b/>
        </w:rPr>
        <w:t>DOST</w:t>
      </w:r>
    </w:p>
    <w:p w14:paraId="343E0E2E" w14:textId="77777777" w:rsidR="00F61675" w:rsidRPr="00FF6DF5" w:rsidRDefault="00F61675" w:rsidP="00F61675">
      <w:pPr>
        <w:rPr>
          <w:rFonts w:ascii="Times" w:hAnsi="Times" w:cs="Times New Roman"/>
        </w:rPr>
      </w:pPr>
      <w:r w:rsidRPr="00FF6DF5">
        <w:rPr>
          <w:rFonts w:ascii="Times" w:hAnsi="Times" w:cs="Times New Roman"/>
        </w:rPr>
        <w:t xml:space="preserve">A granular view into the </w:t>
      </w:r>
      <w:proofErr w:type="spellStart"/>
      <w:r w:rsidRPr="00FF6DF5">
        <w:rPr>
          <w:rFonts w:ascii="Times" w:hAnsi="Times" w:cs="Times New Roman"/>
        </w:rPr>
        <w:t>DoST</w:t>
      </w:r>
      <w:proofErr w:type="spellEnd"/>
      <w:r w:rsidRPr="00FF6DF5">
        <w:rPr>
          <w:rFonts w:ascii="Times" w:hAnsi="Times" w:cs="Times New Roman"/>
        </w:rPr>
        <w:t xml:space="preserve"> design practices showed:</w:t>
      </w:r>
    </w:p>
    <w:p w14:paraId="4BB2D06E" w14:textId="77777777" w:rsidR="00F61675" w:rsidRPr="00FF6DF5" w:rsidRDefault="00F61675" w:rsidP="00F61675">
      <w:pPr>
        <w:pStyle w:val="ListParagraph"/>
        <w:numPr>
          <w:ilvl w:val="0"/>
          <w:numId w:val="16"/>
        </w:numPr>
        <w:spacing w:after="0"/>
        <w:jc w:val="both"/>
        <w:rPr>
          <w:rFonts w:ascii="Times" w:hAnsi="Times" w:cs="Times New Roman"/>
        </w:rPr>
      </w:pPr>
      <w:r w:rsidRPr="00FF6DF5">
        <w:rPr>
          <w:rFonts w:ascii="Times" w:hAnsi="Times" w:cs="Times New Roman"/>
        </w:rPr>
        <w:t xml:space="preserve">Good practices in the specificity of activities, deliverables, and outcomes </w:t>
      </w:r>
    </w:p>
    <w:p w14:paraId="25F2DE02" w14:textId="77777777" w:rsidR="00F61675" w:rsidRPr="00FF6DF5" w:rsidRDefault="00F61675" w:rsidP="00F61675">
      <w:pPr>
        <w:pStyle w:val="ListParagraph"/>
        <w:numPr>
          <w:ilvl w:val="0"/>
          <w:numId w:val="16"/>
        </w:numPr>
        <w:spacing w:after="0"/>
        <w:jc w:val="both"/>
        <w:rPr>
          <w:rFonts w:ascii="Times" w:hAnsi="Times" w:cs="Times New Roman"/>
        </w:rPr>
      </w:pPr>
      <w:r w:rsidRPr="00FF6DF5">
        <w:rPr>
          <w:rFonts w:ascii="Times" w:hAnsi="Times" w:cs="Times New Roman"/>
        </w:rPr>
        <w:t>Good alignment and coordination between the program and other initiatives (TECHNICOM, ENTERP)</w:t>
      </w:r>
    </w:p>
    <w:p w14:paraId="713BC897" w14:textId="77777777" w:rsidR="00F61675" w:rsidRPr="00FF6DF5" w:rsidRDefault="00F61675" w:rsidP="00F61675">
      <w:pPr>
        <w:pStyle w:val="ListParagraph"/>
        <w:numPr>
          <w:ilvl w:val="0"/>
          <w:numId w:val="16"/>
        </w:numPr>
        <w:spacing w:after="0"/>
        <w:jc w:val="both"/>
        <w:rPr>
          <w:rFonts w:ascii="Times" w:hAnsi="Times" w:cs="Times New Roman"/>
        </w:rPr>
      </w:pPr>
      <w:r w:rsidRPr="00FF6DF5">
        <w:rPr>
          <w:rFonts w:ascii="Times" w:hAnsi="Times" w:cs="Times New Roman"/>
        </w:rPr>
        <w:t>Use of some logical framework (FIC) that could be disseminated to other programs</w:t>
      </w:r>
    </w:p>
    <w:p w14:paraId="1D8B4F34" w14:textId="77777777" w:rsidR="00F61675" w:rsidRPr="00FF6DF5" w:rsidRDefault="00F61675" w:rsidP="00F61675">
      <w:pPr>
        <w:rPr>
          <w:rFonts w:ascii="Times" w:hAnsi="Times" w:cs="Times New Roman"/>
        </w:rPr>
      </w:pPr>
    </w:p>
    <w:p w14:paraId="046A4B98" w14:textId="77777777" w:rsidR="00F61675" w:rsidRPr="00FF6DF5" w:rsidRDefault="00F61675" w:rsidP="00F61675">
      <w:pPr>
        <w:rPr>
          <w:rFonts w:ascii="Times" w:hAnsi="Times" w:cs="Times New Roman"/>
        </w:rPr>
      </w:pPr>
      <w:r w:rsidRPr="00FF6DF5">
        <w:rPr>
          <w:rFonts w:ascii="Times" w:hAnsi="Times" w:cs="Times New Roman"/>
        </w:rPr>
        <w:t>And a few areas for improvement</w:t>
      </w:r>
    </w:p>
    <w:p w14:paraId="7CE2C78E"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Absence of a logical framework in almost all instruments</w:t>
      </w:r>
    </w:p>
    <w:p w14:paraId="230E7B6A"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 xml:space="preserve">Weak mechanisms targeting and selecting beneficiaries and defining stakeholders </w:t>
      </w:r>
    </w:p>
    <w:p w14:paraId="7DA1497A"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 xml:space="preserve">Lack of consideration of alternative mechanisms to address the problem </w:t>
      </w:r>
    </w:p>
    <w:p w14:paraId="2F8CC176"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Absence of program rationale and justification</w:t>
      </w:r>
    </w:p>
    <w:p w14:paraId="45E69453"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 xml:space="preserve">Definition of objectives, and expected outcomes </w:t>
      </w:r>
    </w:p>
    <w:p w14:paraId="39D5006E" w14:textId="77777777" w:rsidR="00F61675" w:rsidRPr="00FF6DF5" w:rsidRDefault="00F61675" w:rsidP="00F61675">
      <w:pPr>
        <w:rPr>
          <w:rFonts w:ascii="Times" w:hAnsi="Times" w:cs="Times New Roman"/>
        </w:rPr>
      </w:pPr>
    </w:p>
    <w:p w14:paraId="3B7E525B" w14:textId="77777777" w:rsidR="00F61675" w:rsidRPr="00FF6DF5" w:rsidRDefault="00F61675" w:rsidP="00F61675">
      <w:pPr>
        <w:rPr>
          <w:rFonts w:ascii="Times" w:hAnsi="Times" w:cs="Times New Roman"/>
        </w:rPr>
      </w:pPr>
      <w:r w:rsidRPr="00FF6DF5">
        <w:rPr>
          <w:rFonts w:ascii="Times" w:hAnsi="Times" w:cs="Times New Roman"/>
        </w:rPr>
        <w:t>Implementation strengths:</w:t>
      </w:r>
    </w:p>
    <w:p w14:paraId="782A3117"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Learning mechanisms, including conferences to disseminate good practices</w:t>
      </w:r>
      <w:r w:rsidRPr="00FF6DF5">
        <w:rPr>
          <w:rFonts w:ascii="Times" w:hAnsi="Times" w:cs="Times New Roman"/>
        </w:rPr>
        <w:br/>
        <w:t>closing procedures (SETUP, IFCs)</w:t>
      </w:r>
    </w:p>
    <w:p w14:paraId="05AA3CDD"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Good coordination with regional teams (FICs)</w:t>
      </w:r>
    </w:p>
    <w:p w14:paraId="6EEDA759"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Autonomy given to its staff and its regional coordination (EM)</w:t>
      </w:r>
    </w:p>
    <w:p w14:paraId="2E3A02F6"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Mechanisms for closure of support and follow up to beneficiaries (FICs, TCNM)</w:t>
      </w:r>
    </w:p>
    <w:p w14:paraId="02905423" w14:textId="77777777" w:rsidR="00F61675" w:rsidRPr="00FF6DF5" w:rsidRDefault="00F61675" w:rsidP="00F61675">
      <w:pPr>
        <w:rPr>
          <w:rFonts w:ascii="Times" w:hAnsi="Times" w:cs="Times New Roman"/>
          <w:b/>
        </w:rPr>
      </w:pPr>
    </w:p>
    <w:p w14:paraId="75F8821A" w14:textId="77777777" w:rsidR="00F61675" w:rsidRPr="00FF6DF5" w:rsidRDefault="00F61675" w:rsidP="00F61675">
      <w:pPr>
        <w:rPr>
          <w:rFonts w:ascii="Times" w:hAnsi="Times" w:cs="Times New Roman"/>
        </w:rPr>
      </w:pPr>
      <w:r w:rsidRPr="00FF6DF5">
        <w:rPr>
          <w:rFonts w:ascii="Times" w:hAnsi="Times" w:cs="Times New Roman"/>
        </w:rPr>
        <w:t>Opportunities for improving practices in implementation and governance were found in:</w:t>
      </w:r>
    </w:p>
    <w:p w14:paraId="59A412E9"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Control of the M&amp;E process (IFCs), and absence of a strong M&amp;E system (EM)</w:t>
      </w:r>
    </w:p>
    <w:p w14:paraId="067661F8" w14:textId="77777777" w:rsidR="00F61675" w:rsidRPr="00FF6DF5" w:rsidRDefault="00F61675" w:rsidP="00F61675">
      <w:pPr>
        <w:pStyle w:val="ListParagraph"/>
        <w:numPr>
          <w:ilvl w:val="0"/>
          <w:numId w:val="16"/>
        </w:numPr>
        <w:spacing w:after="0"/>
        <w:rPr>
          <w:rFonts w:ascii="Times" w:hAnsi="Times" w:cs="Times New Roman"/>
        </w:rPr>
      </w:pPr>
      <w:r w:rsidRPr="00FF6DF5">
        <w:rPr>
          <w:rFonts w:ascii="Times" w:hAnsi="Times" w:cs="Times New Roman"/>
        </w:rPr>
        <w:t>lack of external awareness of potential factors affecting the program performance (TNCM, FICs)</w:t>
      </w:r>
    </w:p>
    <w:p w14:paraId="06991B19" w14:textId="77777777" w:rsidR="00F61675" w:rsidRPr="00FF6DF5" w:rsidRDefault="00F61675" w:rsidP="00F61675">
      <w:pPr>
        <w:rPr>
          <w:rFonts w:ascii="Times" w:hAnsi="Times" w:cs="Times New Roman"/>
          <w:b/>
        </w:rPr>
      </w:pPr>
    </w:p>
    <w:p w14:paraId="3AB143CE" w14:textId="6BF464AE" w:rsidR="00F61675" w:rsidRPr="000B3AC5" w:rsidRDefault="00F61675" w:rsidP="000B3AC5">
      <w:pPr>
        <w:jc w:val="center"/>
        <w:rPr>
          <w:rFonts w:ascii="Times" w:hAnsi="Times" w:cs="Times New Roman"/>
          <w:b/>
        </w:rPr>
      </w:pPr>
      <w:r w:rsidRPr="000B3AC5">
        <w:rPr>
          <w:b/>
        </w:rPr>
        <w:t>Figure</w:t>
      </w:r>
      <w:r w:rsidR="000B3AC5" w:rsidRPr="000B3AC5">
        <w:rPr>
          <w:b/>
        </w:rPr>
        <w:t xml:space="preserve"> 3</w:t>
      </w:r>
      <w:r w:rsidRPr="000B3AC5">
        <w:rPr>
          <w:rFonts w:ascii="Times" w:hAnsi="Times" w:cs="Times New Roman"/>
          <w:b/>
        </w:rPr>
        <w:t xml:space="preserve">: Scores for </w:t>
      </w:r>
      <w:proofErr w:type="spellStart"/>
      <w:r w:rsidRPr="000B3AC5">
        <w:rPr>
          <w:rFonts w:ascii="Times" w:hAnsi="Times" w:cs="Times New Roman"/>
          <w:b/>
        </w:rPr>
        <w:t>DoST</w:t>
      </w:r>
      <w:proofErr w:type="spellEnd"/>
      <w:r w:rsidRPr="000B3AC5">
        <w:rPr>
          <w:rFonts w:ascii="Times" w:hAnsi="Times" w:cs="Times New Roman"/>
          <w:b/>
        </w:rPr>
        <w:t xml:space="preserve"> programs by functional dimension</w:t>
      </w:r>
    </w:p>
    <w:p w14:paraId="3D8318BE" w14:textId="77777777" w:rsidR="00F61675" w:rsidRPr="00FF6DF5" w:rsidRDefault="00F61675" w:rsidP="000B3AC5">
      <w:pPr>
        <w:jc w:val="center"/>
        <w:rPr>
          <w:rFonts w:ascii="Times" w:hAnsi="Times" w:cs="Times New Roman"/>
        </w:rPr>
      </w:pPr>
      <w:r w:rsidRPr="00FF6DF5">
        <w:rPr>
          <w:rFonts w:ascii="Times" w:hAnsi="Times" w:cs="Times New Roman"/>
          <w:noProof/>
        </w:rPr>
        <w:drawing>
          <wp:inline distT="0" distB="0" distL="0" distR="0" wp14:anchorId="55CB2A12" wp14:editId="28814F29">
            <wp:extent cx="5491192" cy="3522428"/>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5494710" cy="3524685"/>
                    </a:xfrm>
                    <a:prstGeom prst="rect">
                      <a:avLst/>
                    </a:prstGeom>
                    <a:noFill/>
                    <a:ln>
                      <a:noFill/>
                    </a:ln>
                  </pic:spPr>
                </pic:pic>
              </a:graphicData>
            </a:graphic>
          </wp:inline>
        </w:drawing>
      </w:r>
    </w:p>
    <w:p w14:paraId="695901DE" w14:textId="77777777" w:rsidR="00F61675" w:rsidRPr="00FF6DF5" w:rsidRDefault="00F61675" w:rsidP="000B3AC5">
      <w:pPr>
        <w:jc w:val="center"/>
        <w:rPr>
          <w:rFonts w:ascii="Times" w:hAnsi="Times" w:cs="Times New Roman"/>
          <w:sz w:val="18"/>
          <w:szCs w:val="18"/>
        </w:rPr>
      </w:pPr>
      <w:r w:rsidRPr="00FF6DF5">
        <w:rPr>
          <w:rFonts w:ascii="Times" w:hAnsi="Times" w:cs="Times New Roman"/>
          <w:sz w:val="18"/>
          <w:szCs w:val="18"/>
        </w:rPr>
        <w:t xml:space="preserve">Source: WBG, based on interviews and available documentation from DTI, and </w:t>
      </w:r>
      <w:proofErr w:type="spellStart"/>
      <w:r w:rsidRPr="00FF6DF5">
        <w:rPr>
          <w:rFonts w:ascii="Times" w:hAnsi="Times" w:cs="Times New Roman"/>
          <w:sz w:val="18"/>
          <w:szCs w:val="18"/>
        </w:rPr>
        <w:t>DoST</w:t>
      </w:r>
      <w:proofErr w:type="spellEnd"/>
      <w:r w:rsidRPr="00FF6DF5">
        <w:rPr>
          <w:rFonts w:ascii="Times" w:hAnsi="Times" w:cs="Times New Roman"/>
          <w:sz w:val="18"/>
          <w:szCs w:val="18"/>
        </w:rPr>
        <w:t>.</w:t>
      </w:r>
    </w:p>
    <w:p w14:paraId="16A9A17B" w14:textId="12109CAC" w:rsidR="00F61675" w:rsidRPr="00FF6DF5" w:rsidRDefault="00F61675" w:rsidP="00F61675">
      <w:pPr>
        <w:rPr>
          <w:rFonts w:ascii="Times" w:hAnsi="Times" w:cs="Times New Roman"/>
        </w:rPr>
      </w:pPr>
      <w:r w:rsidRPr="00FF6DF5">
        <w:rPr>
          <w:rFonts w:ascii="Times" w:hAnsi="Times" w:cs="Times New Roman"/>
        </w:rPr>
        <w:t xml:space="preserve">Finally Figure </w:t>
      </w:r>
      <w:r w:rsidR="000B3AC5">
        <w:rPr>
          <w:rFonts w:ascii="Times" w:hAnsi="Times" w:cs="Times New Roman"/>
        </w:rPr>
        <w:t>4</w:t>
      </w:r>
      <w:r w:rsidRPr="00FF6DF5">
        <w:rPr>
          <w:rFonts w:ascii="Times" w:hAnsi="Times" w:cs="Times New Roman"/>
        </w:rPr>
        <w:t xml:space="preserve"> shows the implementation gap within the institution. The blue line shows the difference between best and worst performer. Higher values correspond to elements where the potential to transfer good practices can be higher. </w:t>
      </w:r>
    </w:p>
    <w:p w14:paraId="04A49A85" w14:textId="77777777" w:rsidR="00F61675" w:rsidRPr="00FF6DF5" w:rsidRDefault="00F61675" w:rsidP="00F61675">
      <w:pPr>
        <w:rPr>
          <w:rFonts w:ascii="Times" w:hAnsi="Times" w:cs="Times New Roman"/>
        </w:rPr>
      </w:pPr>
    </w:p>
    <w:p w14:paraId="4171D5B9" w14:textId="77777777" w:rsidR="000B3AC5" w:rsidRDefault="000B3AC5">
      <w:pPr>
        <w:rPr>
          <w:b/>
        </w:rPr>
      </w:pPr>
      <w:r>
        <w:rPr>
          <w:b/>
        </w:rPr>
        <w:br w:type="page"/>
      </w:r>
    </w:p>
    <w:p w14:paraId="39C88196" w14:textId="680FCE7F" w:rsidR="00F61675" w:rsidRPr="000B3AC5" w:rsidRDefault="00F61675" w:rsidP="000B3AC5">
      <w:pPr>
        <w:jc w:val="center"/>
        <w:rPr>
          <w:rFonts w:ascii="Times" w:hAnsi="Times" w:cs="Times New Roman"/>
          <w:b/>
        </w:rPr>
      </w:pPr>
      <w:r w:rsidRPr="000B3AC5">
        <w:rPr>
          <w:b/>
        </w:rPr>
        <w:t>Figure</w:t>
      </w:r>
      <w:r w:rsidR="000B3AC5" w:rsidRPr="000B3AC5">
        <w:rPr>
          <w:b/>
        </w:rPr>
        <w:t xml:space="preserve"> </w:t>
      </w:r>
      <w:r w:rsidR="000B3AC5" w:rsidRPr="000B3AC5">
        <w:rPr>
          <w:b/>
          <w:noProof/>
        </w:rPr>
        <w:t>4</w:t>
      </w:r>
      <w:r w:rsidRPr="000B3AC5">
        <w:rPr>
          <w:rFonts w:ascii="Times" w:hAnsi="Times" w:cs="Times New Roman"/>
          <w:b/>
        </w:rPr>
        <w:t xml:space="preserve">: Implementation gap in </w:t>
      </w:r>
      <w:proofErr w:type="spellStart"/>
      <w:r w:rsidRPr="000B3AC5">
        <w:rPr>
          <w:rFonts w:ascii="Times" w:hAnsi="Times" w:cs="Times New Roman"/>
          <w:b/>
        </w:rPr>
        <w:t>DoST</w:t>
      </w:r>
      <w:proofErr w:type="spellEnd"/>
    </w:p>
    <w:p w14:paraId="5C2023D8" w14:textId="77777777" w:rsidR="00F61675" w:rsidRPr="00FF6DF5" w:rsidRDefault="00F61675" w:rsidP="000B3AC5">
      <w:pPr>
        <w:jc w:val="center"/>
        <w:rPr>
          <w:rFonts w:ascii="Times" w:hAnsi="Times" w:cs="Times New Roman"/>
        </w:rPr>
      </w:pPr>
      <w:r w:rsidRPr="00FF6DF5">
        <w:rPr>
          <w:rFonts w:ascii="Times" w:hAnsi="Times" w:cs="Times New Roman"/>
          <w:noProof/>
        </w:rPr>
        <w:drawing>
          <wp:inline distT="0" distB="0" distL="0" distR="0" wp14:anchorId="71E39051" wp14:editId="021DA8EE">
            <wp:extent cx="5168348" cy="34529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5172924" cy="3456000"/>
                    </a:xfrm>
                    <a:prstGeom prst="rect">
                      <a:avLst/>
                    </a:prstGeom>
                    <a:noFill/>
                    <a:ln>
                      <a:noFill/>
                    </a:ln>
                  </pic:spPr>
                </pic:pic>
              </a:graphicData>
            </a:graphic>
          </wp:inline>
        </w:drawing>
      </w:r>
    </w:p>
    <w:p w14:paraId="580BF2D4" w14:textId="77777777" w:rsidR="00F61675" w:rsidRPr="00FF6DF5" w:rsidRDefault="00F61675" w:rsidP="000B3AC5">
      <w:pPr>
        <w:jc w:val="center"/>
        <w:rPr>
          <w:rFonts w:ascii="Times" w:hAnsi="Times" w:cs="Times New Roman"/>
          <w:sz w:val="18"/>
          <w:szCs w:val="18"/>
        </w:rPr>
      </w:pPr>
      <w:r w:rsidRPr="00FF6DF5">
        <w:rPr>
          <w:rFonts w:ascii="Times" w:hAnsi="Times" w:cs="Times New Roman"/>
          <w:sz w:val="18"/>
          <w:szCs w:val="18"/>
        </w:rPr>
        <w:t xml:space="preserve">Source: WBG, based on interviews and available documentation from DTI, and </w:t>
      </w:r>
      <w:proofErr w:type="spellStart"/>
      <w:r w:rsidRPr="00FF6DF5">
        <w:rPr>
          <w:rFonts w:ascii="Times" w:hAnsi="Times" w:cs="Times New Roman"/>
          <w:sz w:val="18"/>
          <w:szCs w:val="18"/>
        </w:rPr>
        <w:t>DoST</w:t>
      </w:r>
      <w:proofErr w:type="spellEnd"/>
      <w:r w:rsidRPr="00FF6DF5">
        <w:rPr>
          <w:rFonts w:ascii="Times" w:hAnsi="Times" w:cs="Times New Roman"/>
          <w:sz w:val="18"/>
          <w:szCs w:val="18"/>
        </w:rPr>
        <w:t>.</w:t>
      </w:r>
    </w:p>
    <w:p w14:paraId="5D6F954B" w14:textId="77777777" w:rsidR="00F61675" w:rsidRPr="00F61675" w:rsidRDefault="00F61675" w:rsidP="00F61675"/>
    <w:p w14:paraId="4D1DCFF8" w14:textId="541E3063" w:rsidR="00931647" w:rsidRDefault="00B43345" w:rsidP="00553291">
      <w:r>
        <w:br w:type="page"/>
      </w:r>
      <w:r w:rsidR="00553291">
        <w:t xml:space="preserve"> </w:t>
      </w:r>
    </w:p>
    <w:p w14:paraId="254C6E82" w14:textId="77777777" w:rsidR="006F3BE9" w:rsidRDefault="006F3BE9">
      <w:pPr>
        <w:rPr>
          <w:rFonts w:asciiTheme="majorHAnsi" w:eastAsiaTheme="majorEastAsia" w:hAnsiTheme="majorHAnsi" w:cstheme="majorBidi"/>
          <w:color w:val="2F5496" w:themeColor="accent1" w:themeShade="BF"/>
          <w:sz w:val="32"/>
          <w:szCs w:val="32"/>
        </w:rPr>
      </w:pPr>
      <w:r>
        <w:br w:type="page"/>
      </w:r>
    </w:p>
    <w:p w14:paraId="0BC0294D" w14:textId="5612AB8F" w:rsidR="006E6B31" w:rsidRDefault="000024C3" w:rsidP="000024C3">
      <w:pPr>
        <w:pStyle w:val="Heading1"/>
      </w:pPr>
      <w:bookmarkStart w:id="118" w:name="_Toc10740072"/>
      <w:bookmarkStart w:id="119" w:name="_Toc12503544"/>
      <w:r>
        <w:t>Notes and References</w:t>
      </w:r>
      <w:bookmarkEnd w:id="118"/>
      <w:bookmarkEnd w:id="119"/>
      <w:r>
        <w:t xml:space="preserve"> </w:t>
      </w:r>
    </w:p>
    <w:sectPr w:rsidR="006E6B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76B11" w14:textId="77777777" w:rsidR="006A439E" w:rsidRDefault="006A439E" w:rsidP="00064115">
      <w:pPr>
        <w:spacing w:after="0" w:line="240" w:lineRule="auto"/>
      </w:pPr>
      <w:r>
        <w:separator/>
      </w:r>
    </w:p>
  </w:endnote>
  <w:endnote w:type="continuationSeparator" w:id="0">
    <w:p w14:paraId="5BA33DEF" w14:textId="77777777" w:rsidR="006A439E" w:rsidRDefault="006A439E" w:rsidP="00064115">
      <w:pPr>
        <w:spacing w:after="0" w:line="240" w:lineRule="auto"/>
      </w:pPr>
      <w:r>
        <w:continuationSeparator/>
      </w:r>
    </w:p>
  </w:endnote>
  <w:endnote w:type="continuationNotice" w:id="1">
    <w:p w14:paraId="321851D7" w14:textId="77777777" w:rsidR="006A439E" w:rsidRDefault="006A439E">
      <w:pPr>
        <w:spacing w:after="0" w:line="240" w:lineRule="auto"/>
      </w:pPr>
    </w:p>
  </w:endnote>
  <w:endnote w:id="2">
    <w:p w14:paraId="0B9D322D" w14:textId="419DAD94" w:rsidR="006A439E" w:rsidRPr="00BD0ABE" w:rsidRDefault="006A439E" w:rsidP="00EB4F4B">
      <w:pPr>
        <w:pStyle w:val="EndnoteText"/>
        <w:rPr>
          <w:rFonts w:ascii="Times New Roman" w:hAnsi="Times New Roman" w:cs="Times New Roman"/>
          <w:sz w:val="18"/>
          <w:szCs w:val="18"/>
        </w:rPr>
      </w:pPr>
      <w:r>
        <w:rPr>
          <w:rStyle w:val="EndnoteReference"/>
        </w:rPr>
        <w:endnoteRef/>
      </w:r>
      <w:r>
        <w:t xml:space="preserve"> </w:t>
      </w:r>
      <w:r>
        <w:rPr>
          <w:rFonts w:ascii="Times New Roman" w:hAnsi="Times New Roman" w:cs="Times New Roman"/>
          <w:sz w:val="18"/>
          <w:szCs w:val="18"/>
        </w:rPr>
        <w:t xml:space="preserve">In supporting productive and innovative </w:t>
      </w:r>
      <w:r w:rsidRPr="008E742D">
        <w:rPr>
          <w:rFonts w:ascii="Times New Roman" w:hAnsi="Times New Roman" w:cs="Times New Roman"/>
          <w:sz w:val="18"/>
          <w:szCs w:val="18"/>
        </w:rPr>
        <w:t>MSMEs</w:t>
      </w:r>
      <w:r>
        <w:rPr>
          <w:rFonts w:ascii="Times New Roman" w:hAnsi="Times New Roman" w:cs="Times New Roman"/>
          <w:sz w:val="18"/>
          <w:szCs w:val="18"/>
        </w:rPr>
        <w:t>, the GoP considers</w:t>
      </w:r>
      <w:r w:rsidRPr="008E742D">
        <w:rPr>
          <w:rFonts w:ascii="Times New Roman" w:hAnsi="Times New Roman" w:cs="Times New Roman"/>
          <w:sz w:val="18"/>
          <w:szCs w:val="18"/>
        </w:rPr>
        <w:t xml:space="preserve"> entrepreneurship </w:t>
      </w:r>
      <w:r>
        <w:rPr>
          <w:rFonts w:ascii="Times New Roman" w:hAnsi="Times New Roman" w:cs="Times New Roman"/>
          <w:sz w:val="18"/>
          <w:szCs w:val="18"/>
        </w:rPr>
        <w:t>as an important channel for infusing competitiveness</w:t>
      </w:r>
      <w:r w:rsidRPr="008E742D">
        <w:rPr>
          <w:rFonts w:ascii="Times New Roman" w:hAnsi="Times New Roman" w:cs="Times New Roman"/>
          <w:sz w:val="18"/>
          <w:szCs w:val="18"/>
        </w:rPr>
        <w:t>. Entrepren</w:t>
      </w:r>
      <w:r>
        <w:rPr>
          <w:rFonts w:ascii="Times New Roman" w:hAnsi="Times New Roman" w:cs="Times New Roman"/>
          <w:sz w:val="18"/>
          <w:szCs w:val="18"/>
        </w:rPr>
        <w:t>eu</w:t>
      </w:r>
      <w:r w:rsidRPr="008E742D">
        <w:rPr>
          <w:rFonts w:ascii="Times New Roman" w:hAnsi="Times New Roman" w:cs="Times New Roman"/>
          <w:sz w:val="18"/>
          <w:szCs w:val="18"/>
        </w:rPr>
        <w:t xml:space="preserve">rship can be promoted </w:t>
      </w:r>
      <w:r>
        <w:rPr>
          <w:rFonts w:ascii="Times New Roman" w:hAnsi="Times New Roman" w:cs="Times New Roman"/>
          <w:sz w:val="18"/>
          <w:szCs w:val="18"/>
        </w:rPr>
        <w:t>through</w:t>
      </w:r>
      <w:r w:rsidRPr="008E742D">
        <w:rPr>
          <w:rFonts w:ascii="Times New Roman" w:hAnsi="Times New Roman" w:cs="Times New Roman"/>
          <w:sz w:val="18"/>
          <w:szCs w:val="18"/>
        </w:rPr>
        <w:t xml:space="preserve"> </w:t>
      </w:r>
      <w:r>
        <w:rPr>
          <w:rFonts w:ascii="Times New Roman" w:hAnsi="Times New Roman" w:cs="Times New Roman"/>
          <w:sz w:val="18"/>
          <w:szCs w:val="18"/>
        </w:rPr>
        <w:t xml:space="preserve">entry of </w:t>
      </w:r>
      <w:r w:rsidRPr="008E742D">
        <w:rPr>
          <w:rFonts w:ascii="Times New Roman" w:hAnsi="Times New Roman" w:cs="Times New Roman"/>
          <w:sz w:val="18"/>
          <w:szCs w:val="18"/>
        </w:rPr>
        <w:t xml:space="preserve">new enterprises </w:t>
      </w:r>
      <w:r>
        <w:rPr>
          <w:rFonts w:ascii="Times New Roman" w:hAnsi="Times New Roman" w:cs="Times New Roman"/>
          <w:sz w:val="18"/>
          <w:szCs w:val="18"/>
        </w:rPr>
        <w:t xml:space="preserve">that are </w:t>
      </w:r>
      <w:r w:rsidRPr="00BD0ABE">
        <w:rPr>
          <w:rFonts w:ascii="Times New Roman" w:hAnsi="Times New Roman" w:cs="Times New Roman"/>
          <w:sz w:val="18"/>
          <w:szCs w:val="18"/>
        </w:rPr>
        <w:t>“growth</w:t>
      </w:r>
      <w:r>
        <w:rPr>
          <w:rFonts w:ascii="Times New Roman" w:hAnsi="Times New Roman" w:cs="Times New Roman"/>
          <w:sz w:val="18"/>
          <w:szCs w:val="18"/>
        </w:rPr>
        <w:t>-oriented</w:t>
      </w:r>
      <w:r w:rsidRPr="00BD0ABE">
        <w:rPr>
          <w:rFonts w:ascii="Times New Roman" w:hAnsi="Times New Roman" w:cs="Times New Roman"/>
          <w:sz w:val="18"/>
          <w:szCs w:val="18"/>
        </w:rPr>
        <w:t>” or “innovative” entrepreneurs</w:t>
      </w:r>
      <w:r>
        <w:rPr>
          <w:rFonts w:ascii="Times New Roman" w:hAnsi="Times New Roman" w:cs="Times New Roman"/>
          <w:sz w:val="18"/>
          <w:szCs w:val="18"/>
        </w:rPr>
        <w:t xml:space="preserve"> or through competitiveness in existing MSMEs. </w:t>
      </w:r>
      <w:r w:rsidRPr="008E742D">
        <w:rPr>
          <w:rFonts w:ascii="Times New Roman" w:hAnsi="Times New Roman" w:cs="Times New Roman"/>
          <w:sz w:val="18"/>
          <w:szCs w:val="18"/>
        </w:rPr>
        <w:t xml:space="preserve">The </w:t>
      </w:r>
      <w:r>
        <w:rPr>
          <w:rFonts w:ascii="Times New Roman" w:hAnsi="Times New Roman" w:cs="Times New Roman"/>
          <w:sz w:val="18"/>
          <w:szCs w:val="18"/>
        </w:rPr>
        <w:t xml:space="preserve">analysis in this </w:t>
      </w:r>
      <w:r w:rsidRPr="008E742D">
        <w:rPr>
          <w:rFonts w:ascii="Times New Roman" w:hAnsi="Times New Roman" w:cs="Times New Roman"/>
          <w:sz w:val="18"/>
          <w:szCs w:val="18"/>
        </w:rPr>
        <w:t>report adopts the Government’</w:t>
      </w:r>
      <w:r w:rsidRPr="00607338">
        <w:rPr>
          <w:rFonts w:ascii="Times New Roman" w:hAnsi="Times New Roman" w:cs="Times New Roman"/>
          <w:sz w:val="18"/>
          <w:szCs w:val="18"/>
        </w:rPr>
        <w:t>s approach</w:t>
      </w:r>
      <w:r>
        <w:rPr>
          <w:rFonts w:ascii="Times New Roman" w:hAnsi="Times New Roman" w:cs="Times New Roman"/>
          <w:sz w:val="18"/>
          <w:szCs w:val="18"/>
        </w:rPr>
        <w:t xml:space="preserve">. </w:t>
      </w:r>
      <w:r w:rsidRPr="00607338">
        <w:rPr>
          <w:rFonts w:ascii="Times New Roman" w:hAnsi="Times New Roman" w:cs="Times New Roman"/>
          <w:sz w:val="18"/>
          <w:szCs w:val="18"/>
        </w:rPr>
        <w:t xml:space="preserve">In legal terms, MSMEs are defined as   in the Philippine as follow: </w:t>
      </w:r>
      <w:r w:rsidRPr="00285578">
        <w:rPr>
          <w:rFonts w:ascii="Times New Roman" w:hAnsi="Times New Roman" w:cs="Times New Roman"/>
          <w:sz w:val="18"/>
          <w:szCs w:val="18"/>
        </w:rPr>
        <w:t>“micro, small and medium enterprises (MSMEs) are defined as “as any business activity or enterprise engaged in industry, agribusiness and/or services, whether single proprietorship, cooperative, partnership or</w:t>
      </w:r>
      <w:r w:rsidRPr="00BD0ABE">
        <w:rPr>
          <w:rFonts w:ascii="Times New Roman" w:hAnsi="Times New Roman" w:cs="Times New Roman"/>
          <w:sz w:val="18"/>
          <w:szCs w:val="18"/>
        </w:rPr>
        <w:t xml:space="preserve"> corporation whose total assets, inclusive of those arising from loans but exclusive of the land on which the particular business entity’s office, plant and equipment are situated, must have value falling under the following categories: Micro enterprises  are those with asset sizes of P3 million and below; Small enterprises have assets from P3,000,001 to P15 million; and Medium-sized enterprises, on the other hand, have assets in the range of P15,000,001 to P100 million” (Source: Republic Act 9501 –also known as the Magna Carta for MSMEs). </w:t>
      </w:r>
      <w:r>
        <w:rPr>
          <w:rFonts w:ascii="Times New Roman" w:hAnsi="Times New Roman" w:cs="Times New Roman"/>
          <w:sz w:val="18"/>
          <w:szCs w:val="18"/>
        </w:rPr>
        <w:t xml:space="preserve"> </w:t>
      </w:r>
      <w:r w:rsidRPr="00AA589B">
        <w:rPr>
          <w:rFonts w:ascii="Times New Roman" w:hAnsi="Times New Roman" w:cs="Times New Roman"/>
          <w:sz w:val="18"/>
          <w:szCs w:val="18"/>
        </w:rPr>
        <w:t xml:space="preserve">The Philippine Statistical Authority (PSA), however, classifies MSMEs on employment basis where micro-enterprises have </w:t>
      </w:r>
      <w:r w:rsidRPr="009249D1">
        <w:rPr>
          <w:rFonts w:ascii="Times New Roman" w:hAnsi="Times New Roman" w:cs="Times New Roman"/>
          <w:b/>
          <w:sz w:val="18"/>
          <w:szCs w:val="18"/>
        </w:rPr>
        <w:t>1-9</w:t>
      </w:r>
      <w:r w:rsidRPr="00AA589B">
        <w:rPr>
          <w:rFonts w:ascii="Times New Roman" w:hAnsi="Times New Roman" w:cs="Times New Roman"/>
          <w:sz w:val="18"/>
          <w:szCs w:val="18"/>
        </w:rPr>
        <w:t xml:space="preserve"> employees; small enterprises have 10-99 employees; and medium enterprises have 100-199 employees. </w:t>
      </w:r>
      <w:r>
        <w:rPr>
          <w:rFonts w:ascii="Times New Roman" w:hAnsi="Times New Roman" w:cs="Times New Roman"/>
          <w:sz w:val="18"/>
          <w:szCs w:val="18"/>
        </w:rPr>
        <w:t xml:space="preserve">It is important to note that </w:t>
      </w:r>
      <w:r w:rsidRPr="001D47D3">
        <w:rPr>
          <w:rFonts w:ascii="Times New Roman" w:hAnsi="Times New Roman" w:cs="Times New Roman"/>
          <w:sz w:val="18"/>
          <w:szCs w:val="18"/>
        </w:rPr>
        <w:t>self-employed people a</w:t>
      </w:r>
      <w:r>
        <w:rPr>
          <w:rFonts w:ascii="Times New Roman" w:hAnsi="Times New Roman" w:cs="Times New Roman"/>
          <w:sz w:val="18"/>
          <w:szCs w:val="18"/>
        </w:rPr>
        <w:t>re considered part of</w:t>
      </w:r>
      <w:r w:rsidRPr="001D47D3">
        <w:rPr>
          <w:rFonts w:ascii="Times New Roman" w:hAnsi="Times New Roman" w:cs="Times New Roman"/>
          <w:sz w:val="18"/>
          <w:szCs w:val="18"/>
        </w:rPr>
        <w:t xml:space="preserve"> </w:t>
      </w:r>
      <w:r>
        <w:rPr>
          <w:rFonts w:ascii="Times New Roman" w:hAnsi="Times New Roman" w:cs="Times New Roman"/>
          <w:sz w:val="18"/>
          <w:szCs w:val="18"/>
        </w:rPr>
        <w:t>M</w:t>
      </w:r>
      <w:r w:rsidRPr="001D47D3">
        <w:rPr>
          <w:rFonts w:ascii="Times New Roman" w:hAnsi="Times New Roman" w:cs="Times New Roman"/>
          <w:sz w:val="18"/>
          <w:szCs w:val="18"/>
        </w:rPr>
        <w:t>SMEs</w:t>
      </w:r>
      <w:r>
        <w:rPr>
          <w:rFonts w:ascii="Times New Roman" w:hAnsi="Times New Roman" w:cs="Times New Roman"/>
          <w:sz w:val="18"/>
          <w:szCs w:val="18"/>
        </w:rPr>
        <w:t xml:space="preserve"> as they </w:t>
      </w:r>
      <w:r w:rsidRPr="001D47D3">
        <w:rPr>
          <w:rFonts w:ascii="Times New Roman" w:hAnsi="Times New Roman" w:cs="Times New Roman"/>
          <w:sz w:val="18"/>
          <w:szCs w:val="18"/>
        </w:rPr>
        <w:t>are required to register as a firm to be able to issue receipts.</w:t>
      </w:r>
      <w:r>
        <w:rPr>
          <w:rFonts w:ascii="Times New Roman" w:hAnsi="Times New Roman" w:cs="Times New Roman"/>
          <w:sz w:val="18"/>
          <w:szCs w:val="18"/>
        </w:rPr>
        <w:t xml:space="preserve"> </w:t>
      </w:r>
      <w:r w:rsidRPr="00AA589B">
        <w:rPr>
          <w:rFonts w:ascii="Times New Roman" w:hAnsi="Times New Roman" w:cs="Times New Roman"/>
          <w:sz w:val="18"/>
          <w:szCs w:val="18"/>
        </w:rPr>
        <w:t>Th</w:t>
      </w:r>
      <w:r>
        <w:rPr>
          <w:rFonts w:ascii="Times New Roman" w:hAnsi="Times New Roman" w:cs="Times New Roman"/>
          <w:sz w:val="18"/>
          <w:szCs w:val="18"/>
        </w:rPr>
        <w:t>is</w:t>
      </w:r>
      <w:r w:rsidRPr="00AA589B">
        <w:rPr>
          <w:rFonts w:ascii="Times New Roman" w:hAnsi="Times New Roman" w:cs="Times New Roman"/>
          <w:sz w:val="18"/>
          <w:szCs w:val="18"/>
        </w:rPr>
        <w:t xml:space="preserve"> report relies primarily on PSA in analyzing MSMEs performance.</w:t>
      </w:r>
    </w:p>
  </w:endnote>
  <w:endnote w:id="3">
    <w:p w14:paraId="6F00A6FE" w14:textId="77777777" w:rsidR="006A439E" w:rsidRPr="00B2379D" w:rsidRDefault="006A439E" w:rsidP="00F206BC">
      <w:pPr>
        <w:pStyle w:val="EndnoteText"/>
        <w:rPr>
          <w:i/>
        </w:rPr>
      </w:pPr>
      <w:r>
        <w:rPr>
          <w:rStyle w:val="EndnoteReference"/>
        </w:rPr>
        <w:endnoteRef/>
      </w:r>
      <w:r>
        <w:t xml:space="preserve"> </w:t>
      </w:r>
      <w:r w:rsidRPr="009249D1">
        <w:rPr>
          <w:rFonts w:ascii="Times New Roman" w:hAnsi="Times New Roman" w:cs="Times New Roman"/>
          <w:sz w:val="18"/>
          <w:szCs w:val="18"/>
        </w:rPr>
        <w:t xml:space="preserve">Refer to the GOP’s </w:t>
      </w:r>
      <w:r w:rsidRPr="009249D1">
        <w:rPr>
          <w:rFonts w:ascii="Times New Roman" w:hAnsi="Times New Roman" w:cs="Times New Roman"/>
          <w:i/>
          <w:sz w:val="18"/>
          <w:szCs w:val="18"/>
        </w:rPr>
        <w:t>MSME Development Plan 2017-2022</w:t>
      </w:r>
      <w:r w:rsidRPr="009249D1">
        <w:rPr>
          <w:rFonts w:ascii="Times New Roman" w:hAnsi="Times New Roman" w:cs="Times New Roman"/>
          <w:sz w:val="18"/>
          <w:szCs w:val="18"/>
        </w:rPr>
        <w:t xml:space="preserve"> as well as the overarching </w:t>
      </w:r>
      <w:r w:rsidRPr="009249D1">
        <w:rPr>
          <w:rFonts w:ascii="Times New Roman" w:hAnsi="Times New Roman" w:cs="Times New Roman"/>
          <w:i/>
          <w:sz w:val="18"/>
          <w:szCs w:val="18"/>
        </w:rPr>
        <w:t>Philippine Development Plan (PDP) 2017-2022.</w:t>
      </w:r>
    </w:p>
  </w:endnote>
  <w:endnote w:id="4">
    <w:p w14:paraId="587A16B3" w14:textId="77777777" w:rsidR="006A439E" w:rsidRPr="00B2379D" w:rsidRDefault="006A439E" w:rsidP="00712279">
      <w:pPr>
        <w:pStyle w:val="EndnoteText"/>
        <w:rPr>
          <w:rFonts w:ascii="Times New Roman" w:hAnsi="Times New Roman" w:cs="Times New Roman"/>
          <w:sz w:val="18"/>
          <w:szCs w:val="18"/>
        </w:rPr>
      </w:pPr>
      <w:r>
        <w:rPr>
          <w:rStyle w:val="EndnoteReference"/>
        </w:rPr>
        <w:endnoteRef/>
      </w:r>
      <w:r>
        <w:t xml:space="preserve"> </w:t>
      </w:r>
      <w:r w:rsidRPr="00B2379D">
        <w:rPr>
          <w:rFonts w:ascii="Times New Roman" w:hAnsi="Times New Roman" w:cs="Times New Roman"/>
          <w:sz w:val="18"/>
          <w:szCs w:val="18"/>
        </w:rPr>
        <w:t>The MSME sector in the Philippines consists of 896,839 or 99.54% of the 900,914 total establishments in the country</w:t>
      </w:r>
      <w:r>
        <w:rPr>
          <w:rFonts w:ascii="Times New Roman" w:hAnsi="Times New Roman" w:cs="Times New Roman"/>
          <w:sz w:val="18"/>
          <w:szCs w:val="18"/>
        </w:rPr>
        <w:t>. T</w:t>
      </w:r>
      <w:r w:rsidRPr="00711138">
        <w:rPr>
          <w:rFonts w:ascii="Times New Roman" w:hAnsi="Times New Roman" w:cs="Times New Roman"/>
          <w:sz w:val="18"/>
          <w:szCs w:val="18"/>
        </w:rPr>
        <w:t>hese MSMEs generate a total of 4,784,870 jobs or 61.61% of the</w:t>
      </w:r>
      <w:r>
        <w:rPr>
          <w:rFonts w:ascii="Times New Roman" w:hAnsi="Times New Roman" w:cs="Times New Roman"/>
          <w:sz w:val="18"/>
          <w:szCs w:val="18"/>
        </w:rPr>
        <w:t xml:space="preserve"> </w:t>
      </w:r>
      <w:r w:rsidRPr="00711138">
        <w:rPr>
          <w:rFonts w:ascii="Times New Roman" w:hAnsi="Times New Roman" w:cs="Times New Roman"/>
          <w:sz w:val="18"/>
          <w:szCs w:val="18"/>
        </w:rPr>
        <w:t>country’s total employment</w:t>
      </w:r>
      <w:r>
        <w:rPr>
          <w:rFonts w:ascii="Times New Roman" w:hAnsi="Times New Roman" w:cs="Times New Roman"/>
          <w:sz w:val="18"/>
          <w:szCs w:val="18"/>
        </w:rPr>
        <w:t xml:space="preserve"> (</w:t>
      </w:r>
      <w:r w:rsidRPr="00B2379D">
        <w:rPr>
          <w:rFonts w:ascii="Times New Roman" w:hAnsi="Times New Roman" w:cs="Times New Roman"/>
          <w:sz w:val="18"/>
          <w:szCs w:val="18"/>
        </w:rPr>
        <w:t>Philippine Statistics Authority</w:t>
      </w:r>
      <w:r>
        <w:rPr>
          <w:rFonts w:ascii="Times New Roman" w:hAnsi="Times New Roman" w:cs="Times New Roman"/>
          <w:sz w:val="18"/>
          <w:szCs w:val="18"/>
        </w:rPr>
        <w:t>).</w:t>
      </w:r>
    </w:p>
  </w:endnote>
  <w:endnote w:id="5">
    <w:p w14:paraId="1F571690" w14:textId="4C2EB5C5" w:rsidR="006A439E" w:rsidRPr="009249D1" w:rsidRDefault="006A439E">
      <w:pPr>
        <w:pStyle w:val="EndnoteText"/>
        <w:rPr>
          <w:rFonts w:ascii="Times New Roman" w:hAnsi="Times New Roman" w:cs="Times New Roman"/>
          <w:sz w:val="18"/>
          <w:szCs w:val="18"/>
        </w:rPr>
      </w:pPr>
      <w:r>
        <w:rPr>
          <w:rStyle w:val="EndnoteReference"/>
        </w:rPr>
        <w:endnoteRef/>
      </w:r>
      <w:r>
        <w:t xml:space="preserve"> </w:t>
      </w:r>
      <w:r w:rsidRPr="009249D1">
        <w:rPr>
          <w:rFonts w:ascii="Times New Roman" w:hAnsi="Times New Roman" w:cs="Times New Roman"/>
          <w:sz w:val="18"/>
          <w:szCs w:val="18"/>
        </w:rPr>
        <w:t xml:space="preserve">The early stage entrepreneurship </w:t>
      </w:r>
      <w:r>
        <w:rPr>
          <w:rFonts w:ascii="Times New Roman" w:hAnsi="Times New Roman" w:cs="Times New Roman"/>
          <w:sz w:val="18"/>
          <w:szCs w:val="18"/>
        </w:rPr>
        <w:t xml:space="preserve">activity </w:t>
      </w:r>
      <w:r w:rsidRPr="009249D1">
        <w:rPr>
          <w:rFonts w:ascii="Times New Roman" w:hAnsi="Times New Roman" w:cs="Times New Roman"/>
          <w:sz w:val="18"/>
          <w:szCs w:val="18"/>
        </w:rPr>
        <w:t>covers 4</w:t>
      </w:r>
      <w:r>
        <w:rPr>
          <w:rFonts w:ascii="Times New Roman" w:hAnsi="Times New Roman" w:cs="Times New Roman"/>
          <w:sz w:val="18"/>
          <w:szCs w:val="18"/>
        </w:rPr>
        <w:t>2</w:t>
      </w:r>
      <w:r w:rsidRPr="009249D1">
        <w:rPr>
          <w:rFonts w:ascii="Times New Roman" w:hAnsi="Times New Roman" w:cs="Times New Roman"/>
          <w:sz w:val="18"/>
          <w:szCs w:val="18"/>
        </w:rPr>
        <w:t xml:space="preserve"> months, starting from a “preconception” stage where an entrepreneur – between the age of 18-64 - intends to set up a business or pursue self-employment within the next 12 months</w:t>
      </w:r>
      <w:r>
        <w:rPr>
          <w:rFonts w:ascii="Times New Roman" w:hAnsi="Times New Roman" w:cs="Times New Roman"/>
          <w:sz w:val="18"/>
          <w:szCs w:val="18"/>
        </w:rPr>
        <w:t>,</w:t>
      </w:r>
      <w:r w:rsidRPr="009249D1">
        <w:rPr>
          <w:rFonts w:ascii="Times New Roman" w:hAnsi="Times New Roman" w:cs="Times New Roman"/>
          <w:sz w:val="18"/>
          <w:szCs w:val="18"/>
        </w:rPr>
        <w:t xml:space="preserve"> and a “nascent” entrepreneur in the “conception” stage who has started a business within the last 12 months. A firm’s birth covers the first year of a business, and its maturity is said to be attained after three and a half years. (Global Entrepreneurship Monitor, GEM, 2015-16).</w:t>
      </w:r>
    </w:p>
  </w:endnote>
  <w:endnote w:id="6">
    <w:p w14:paraId="1F83E2C3" w14:textId="419CC0EE" w:rsidR="006A439E" w:rsidRDefault="006A439E" w:rsidP="00A703FF">
      <w:pPr>
        <w:pStyle w:val="EndnoteText"/>
      </w:pPr>
      <w:r>
        <w:rPr>
          <w:rStyle w:val="EndnoteReference"/>
        </w:rPr>
        <w:endnoteRef/>
      </w:r>
      <w:r>
        <w:t xml:space="preserve"> </w:t>
      </w:r>
      <w:r w:rsidRPr="009249D1">
        <w:rPr>
          <w:rFonts w:ascii="Times New Roman" w:hAnsi="Times New Roman" w:cs="Times New Roman"/>
          <w:sz w:val="18"/>
          <w:szCs w:val="18"/>
        </w:rPr>
        <w:t>Micro-enterprises constitute the largest portion (89.53%), followed by small enterprises (9.59%), and medium enterprises (0.43%). This composition is at par with those of MSME sectors in other ASEAN countries.</w:t>
      </w:r>
      <w:r>
        <w:rPr>
          <w:rFonts w:ascii="Times New Roman" w:hAnsi="Times New Roman" w:cs="Times New Roman"/>
          <w:sz w:val="18"/>
          <w:szCs w:val="18"/>
        </w:rPr>
        <w:t xml:space="preserve"> Source: GOP (2018), </w:t>
      </w:r>
      <w:r w:rsidRPr="009249D1">
        <w:rPr>
          <w:rFonts w:ascii="Times New Roman" w:hAnsi="Times New Roman" w:cs="Times New Roman"/>
          <w:i/>
          <w:sz w:val="18"/>
          <w:szCs w:val="18"/>
        </w:rPr>
        <w:t>MSME Development Plan, 2017-2022.</w:t>
      </w:r>
    </w:p>
  </w:endnote>
  <w:endnote w:id="7">
    <w:p w14:paraId="1A0BC56A" w14:textId="7C0B8273" w:rsidR="006A439E" w:rsidRPr="005100F2" w:rsidRDefault="006A439E">
      <w:pPr>
        <w:pStyle w:val="EndnoteText"/>
        <w:rPr>
          <w:rFonts w:ascii="Times New Roman" w:hAnsi="Times New Roman" w:cs="Times New Roman"/>
          <w:sz w:val="18"/>
          <w:szCs w:val="18"/>
        </w:rPr>
      </w:pPr>
      <w:r>
        <w:rPr>
          <w:rStyle w:val="EndnoteReference"/>
        </w:rPr>
        <w:endnoteRef/>
      </w:r>
      <w:r>
        <w:t xml:space="preserve"> </w:t>
      </w:r>
      <w:r w:rsidRPr="005100F2">
        <w:rPr>
          <w:rFonts w:ascii="Times New Roman" w:hAnsi="Times New Roman" w:cs="Times New Roman"/>
          <w:sz w:val="18"/>
          <w:szCs w:val="18"/>
        </w:rPr>
        <w:t>See Philippines GEM Report, 2015-16. Established businesses refer enterprises that have existed for more than 3.5 years, and effectively moved to a more mature stage of firm life cycle.</w:t>
      </w:r>
    </w:p>
  </w:endnote>
  <w:endnote w:id="8">
    <w:p w14:paraId="24E5C4EA" w14:textId="77777777" w:rsidR="006A439E" w:rsidRDefault="006A439E" w:rsidP="00824BF5">
      <w:pPr>
        <w:pStyle w:val="EndnoteText"/>
      </w:pPr>
      <w:r>
        <w:rPr>
          <w:rStyle w:val="EndnoteReference"/>
        </w:rPr>
        <w:endnoteRef/>
      </w:r>
      <w:r>
        <w:t xml:space="preserve"> </w:t>
      </w:r>
      <w:r>
        <w:rPr>
          <w:rFonts w:ascii="Times New Roman" w:hAnsi="Times New Roman" w:cs="Times New Roman"/>
          <w:sz w:val="18"/>
          <w:szCs w:val="18"/>
        </w:rPr>
        <w:t>D</w:t>
      </w:r>
      <w:r w:rsidRPr="00B2379D">
        <w:rPr>
          <w:rFonts w:ascii="Times New Roman" w:hAnsi="Times New Roman" w:cs="Times New Roman"/>
          <w:sz w:val="18"/>
          <w:szCs w:val="18"/>
        </w:rPr>
        <w:t xml:space="preserve">omestic and external conditions combined with structural reforms helped boost </w:t>
      </w:r>
      <w:r>
        <w:rPr>
          <w:rFonts w:ascii="Times New Roman" w:hAnsi="Times New Roman" w:cs="Times New Roman"/>
          <w:sz w:val="18"/>
          <w:szCs w:val="18"/>
        </w:rPr>
        <w:t>growth.</w:t>
      </w:r>
      <w:r w:rsidRPr="00B2379D">
        <w:rPr>
          <w:rFonts w:ascii="Times New Roman" w:hAnsi="Times New Roman" w:cs="Times New Roman"/>
          <w:sz w:val="18"/>
          <w:szCs w:val="18"/>
        </w:rPr>
        <w:t xml:space="preserve"> By 2016 the unemployment rate declined to 5.5 percent from 8 percent in the previous decade. Mirroring the economic growth, real per capita income growth averaged 4.6 percent during the period leading to significant poverty reduction and more inclusive growth.</w:t>
      </w:r>
      <w:r w:rsidRPr="008B27FC">
        <w:t xml:space="preserve">  </w:t>
      </w:r>
    </w:p>
  </w:endnote>
  <w:endnote w:id="9">
    <w:p w14:paraId="1BE4BE3B" w14:textId="77777777" w:rsidR="006A439E" w:rsidRDefault="006A439E" w:rsidP="00856F97">
      <w:pPr>
        <w:pStyle w:val="EndnoteText"/>
      </w:pPr>
      <w:r>
        <w:rPr>
          <w:rStyle w:val="EndnoteReference"/>
        </w:rPr>
        <w:endnoteRef/>
      </w:r>
      <w:r>
        <w:t xml:space="preserve"> </w:t>
      </w:r>
      <w:r w:rsidRPr="00B2379D">
        <w:rPr>
          <w:rFonts w:ascii="Times New Roman" w:hAnsi="Times New Roman" w:cs="Times New Roman"/>
          <w:sz w:val="18"/>
          <w:szCs w:val="18"/>
        </w:rPr>
        <w:t>This is reflected in the high underemployment in the Philippines - which remains at 18.3 percent - and has been stagnant at this relatively high level for over a decade despite the recent accelerated economic growth</w:t>
      </w:r>
      <w:r>
        <w:rPr>
          <w:rFonts w:ascii="Times New Roman" w:hAnsi="Times New Roman" w:cs="Times New Roman"/>
          <w:sz w:val="18"/>
          <w:szCs w:val="18"/>
        </w:rPr>
        <w:t xml:space="preserve">. </w:t>
      </w:r>
      <w:r w:rsidRPr="00B12595">
        <w:t xml:space="preserve"> </w:t>
      </w:r>
      <w:r w:rsidRPr="00B2379D">
        <w:rPr>
          <w:rFonts w:ascii="Times New Roman" w:hAnsi="Times New Roman" w:cs="Times New Roman"/>
          <w:sz w:val="18"/>
          <w:szCs w:val="18"/>
        </w:rPr>
        <w:t>The 2016 Occupational Wages Survey estimated that less than one quarter of wage workers earn middle-class wages (over 17,000 Philippine pesos or $325 per month), with some variation across sectors.</w:t>
      </w:r>
    </w:p>
  </w:endnote>
  <w:endnote w:id="10">
    <w:p w14:paraId="018DE2FA" w14:textId="77777777" w:rsidR="006A439E" w:rsidRPr="000B3AC5" w:rsidRDefault="006A439E" w:rsidP="000B3AC5">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This section draws from the recently completed Growth and Productivity Report (2018) and the Country Private Sector Diagnostic (2019)</w:t>
      </w:r>
    </w:p>
  </w:endnote>
  <w:endnote w:id="11">
    <w:p w14:paraId="76F5020F" w14:textId="77777777" w:rsidR="006A439E" w:rsidRPr="000B3AC5" w:rsidRDefault="006A439E" w:rsidP="00DE13CA">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World Bank Doing Business Entrepreneurship database, available at </w:t>
      </w:r>
      <w:hyperlink r:id="rId1" w:history="1">
        <w:r w:rsidRPr="000B3AC5">
          <w:rPr>
            <w:rStyle w:val="Hyperlink"/>
            <w:rFonts w:ascii="Times New Roman" w:hAnsi="Times New Roman" w:cs="Times New Roman"/>
            <w:sz w:val="18"/>
            <w:szCs w:val="18"/>
          </w:rPr>
          <w:t>http://www.doingbusiness.org/data/exploretopics/entrepreneurship</w:t>
        </w:r>
      </w:hyperlink>
      <w:r w:rsidRPr="000B3AC5">
        <w:rPr>
          <w:rStyle w:val="Hyperlink"/>
          <w:rFonts w:ascii="Times New Roman" w:hAnsi="Times New Roman" w:cs="Times New Roman"/>
          <w:sz w:val="18"/>
          <w:szCs w:val="18"/>
        </w:rPr>
        <w:t>.</w:t>
      </w:r>
      <w:r w:rsidRPr="000B3AC5">
        <w:rPr>
          <w:rFonts w:ascii="Times New Roman" w:hAnsi="Times New Roman" w:cs="Times New Roman"/>
          <w:sz w:val="18"/>
          <w:szCs w:val="18"/>
        </w:rPr>
        <w:t xml:space="preserve"> </w:t>
      </w:r>
    </w:p>
  </w:endnote>
  <w:endnote w:id="12">
    <w:p w14:paraId="305CE665" w14:textId="77777777" w:rsidR="006A439E" w:rsidRPr="000B3AC5" w:rsidRDefault="006A439E" w:rsidP="00DE13CA">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The success rate of start-ups in Manila are higher than elsewhere in the Philippines. For instance, the ecosystem in Manila is more mature and well-funded compared to Cebu. The overall ecosystem for start-ups needs strengthening at multiple fronts including early stage and venture capital financing, human capital, networks and mentoring systems, markets, infrastructure and cultural barriers to risk-taking. This information is based on data gathering, stakeholder consultation and site visits held in Manila and Cebu during the Scoping Mission for the Philippine SME Development ASA from December 11-16, 2017.</w:t>
      </w:r>
    </w:p>
  </w:endnote>
  <w:endnote w:id="13">
    <w:p w14:paraId="604DE124" w14:textId="6E5A8947" w:rsidR="006A439E" w:rsidRPr="000B3AC5" w:rsidRDefault="006A439E" w:rsidP="002F4FAB">
      <w:pPr>
        <w:spacing w:after="0" w:line="240" w:lineRule="auto"/>
        <w:jc w:val="both"/>
        <w:rPr>
          <w:rFonts w:cs="Times New Roman"/>
          <w:sz w:val="18"/>
          <w:szCs w:val="18"/>
        </w:rPr>
      </w:pPr>
      <w:r w:rsidRPr="000B3AC5">
        <w:rPr>
          <w:rStyle w:val="EndnoteReference"/>
          <w:rFonts w:cs="Times New Roman"/>
          <w:sz w:val="18"/>
          <w:szCs w:val="18"/>
        </w:rPr>
        <w:endnoteRef/>
      </w:r>
      <w:r w:rsidRPr="000B3AC5">
        <w:rPr>
          <w:rFonts w:cs="Times New Roman"/>
          <w:sz w:val="18"/>
          <w:szCs w:val="18"/>
        </w:rPr>
        <w:t xml:space="preserve">GEM comprises of 2 data elements in each economy i.e. (i) an entrepreneurial behavior and attitudes of </w:t>
      </w:r>
      <w:r w:rsidRPr="000B3AC5">
        <w:rPr>
          <w:rFonts w:cs="Times New Roman"/>
          <w:i/>
          <w:sz w:val="18"/>
          <w:szCs w:val="18"/>
        </w:rPr>
        <w:t>individuals</w:t>
      </w:r>
      <w:r w:rsidRPr="000B3AC5">
        <w:rPr>
          <w:rFonts w:cs="Times New Roman"/>
          <w:sz w:val="18"/>
          <w:szCs w:val="18"/>
        </w:rPr>
        <w:t xml:space="preserve"> gathered through an adult population survey (administered to a min. of 2000 adult between ages of 18-64); and a National Experts Survey that seeks expert’s opinion (administered to a min. of 36 experts) regarding the </w:t>
      </w:r>
      <w:r w:rsidRPr="000B3AC5">
        <w:rPr>
          <w:rFonts w:cs="Times New Roman"/>
          <w:i/>
          <w:sz w:val="18"/>
          <w:szCs w:val="18"/>
        </w:rPr>
        <w:t xml:space="preserve">institutional </w:t>
      </w:r>
      <w:r w:rsidRPr="000B3AC5">
        <w:rPr>
          <w:rFonts w:cs="Times New Roman"/>
          <w:sz w:val="18"/>
          <w:szCs w:val="18"/>
        </w:rPr>
        <w:t xml:space="preserve">or framework conditions. Together these elements </w:t>
      </w:r>
      <w:proofErr w:type="gramStart"/>
      <w:r w:rsidRPr="000B3AC5">
        <w:rPr>
          <w:rFonts w:cs="Times New Roman"/>
          <w:sz w:val="18"/>
          <w:szCs w:val="18"/>
        </w:rPr>
        <w:t>is</w:t>
      </w:r>
      <w:proofErr w:type="gramEnd"/>
      <w:r w:rsidRPr="000B3AC5">
        <w:rPr>
          <w:rFonts w:cs="Times New Roman"/>
          <w:sz w:val="18"/>
          <w:szCs w:val="18"/>
        </w:rPr>
        <w:t xml:space="preserve"> meant to allow GEM users to gain a deep understanding of the entrepreneurial environment.</w:t>
      </w:r>
    </w:p>
  </w:endnote>
  <w:endnote w:id="14">
    <w:p w14:paraId="0B96311F" w14:textId="0D00303F" w:rsidR="006A439E" w:rsidRDefault="006A439E">
      <w:pPr>
        <w:pStyle w:val="EndnoteText"/>
      </w:pPr>
      <w:r>
        <w:rPr>
          <w:rStyle w:val="EndnoteReference"/>
        </w:rPr>
        <w:endnoteRef/>
      </w:r>
      <w:r>
        <w:t xml:space="preserve"> </w:t>
      </w:r>
      <w:r w:rsidRPr="002F4FAB">
        <w:rPr>
          <w:rFonts w:ascii="Times New Roman" w:hAnsi="Times New Roman" w:cs="Times New Roman"/>
          <w:sz w:val="18"/>
          <w:szCs w:val="18"/>
        </w:rPr>
        <w:t>See Philippines GEM Report, 2015-16. Established businesses refer enterprises that have existed for more than 3.5 years, and effectively moved to a more mature stage of firm life cycle.</w:t>
      </w:r>
    </w:p>
  </w:endnote>
  <w:endnote w:id="15">
    <w:p w14:paraId="68C64181" w14:textId="77777777" w:rsidR="006A439E" w:rsidRPr="000B3AC5" w:rsidRDefault="006A439E" w:rsidP="00795944">
      <w:pPr>
        <w:pStyle w:val="EndnoteText"/>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These include </w:t>
      </w:r>
      <w:proofErr w:type="spellStart"/>
      <w:r w:rsidRPr="000B3AC5">
        <w:rPr>
          <w:rFonts w:ascii="Times New Roman" w:hAnsi="Times New Roman" w:cs="Times New Roman"/>
          <w:sz w:val="18"/>
          <w:szCs w:val="18"/>
        </w:rPr>
        <w:t>Ideaspace</w:t>
      </w:r>
      <w:proofErr w:type="spellEnd"/>
      <w:r w:rsidRPr="000B3AC5">
        <w:rPr>
          <w:rFonts w:ascii="Times New Roman" w:hAnsi="Times New Roman" w:cs="Times New Roman"/>
          <w:sz w:val="18"/>
          <w:szCs w:val="18"/>
        </w:rPr>
        <w:t>, Wireless Wings, and Kickstart Ventures.</w:t>
      </w:r>
    </w:p>
  </w:endnote>
  <w:endnote w:id="16">
    <w:p w14:paraId="18CBD8D1" w14:textId="77777777" w:rsidR="006A439E" w:rsidRPr="000B3AC5" w:rsidRDefault="006A439E" w:rsidP="00795944">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vertAlign w:val="superscript"/>
        </w:rPr>
        <w:t xml:space="preserve"> </w:t>
      </w:r>
      <w:r w:rsidRPr="000B3AC5">
        <w:rPr>
          <w:rFonts w:ascii="Times New Roman" w:hAnsi="Times New Roman" w:cs="Times New Roman"/>
          <w:sz w:val="18"/>
          <w:szCs w:val="18"/>
        </w:rPr>
        <w:t>DICT (Final draft, August 2015). “The Philippine Roadmap for Digital Startups: 2015 and Beyond”.</w:t>
      </w:r>
    </w:p>
  </w:endnote>
  <w:endnote w:id="17">
    <w:p w14:paraId="5F49936E" w14:textId="77777777" w:rsidR="006A439E" w:rsidRPr="000B3AC5" w:rsidRDefault="006A439E" w:rsidP="00795944">
      <w:pPr>
        <w:pStyle w:val="EndnoteText"/>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The YES Philippines is an organization of young entrepreneurs that was established to educate, promote, encourage, network, and develop aspiring and successful entrepreneurs. Through a series of engagements with successful business owners and executives, learning events, mentorship, and networking opportunities, members of the society learn the crucial elements necessary to become successful entrepreneurs.</w:t>
      </w:r>
    </w:p>
  </w:endnote>
  <w:endnote w:id="18">
    <w:p w14:paraId="24A9C412" w14:textId="77777777" w:rsidR="006A439E" w:rsidRPr="000B3AC5" w:rsidRDefault="006A439E" w:rsidP="00795944">
      <w:pPr>
        <w:pStyle w:val="EndnoteText"/>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QBO (pronounced kubo) is a partnership between tech startup accelerator Ideaspace, international grant-maker J.P. Morgan Chase Foundation, and the Philippines government’s Department of Trade and Industry (DTI) and Department of Science and Technology (DOST), with the aim to help grow the startup ecosystem in the country through the establishment of </w:t>
      </w:r>
      <w:proofErr w:type="gramStart"/>
      <w:r w:rsidRPr="000B3AC5">
        <w:rPr>
          <w:rFonts w:ascii="Times New Roman" w:hAnsi="Times New Roman" w:cs="Times New Roman"/>
          <w:sz w:val="18"/>
          <w:szCs w:val="18"/>
        </w:rPr>
        <w:t>a number of</w:t>
      </w:r>
      <w:proofErr w:type="gramEnd"/>
      <w:r w:rsidRPr="000B3AC5">
        <w:rPr>
          <w:rFonts w:ascii="Times New Roman" w:hAnsi="Times New Roman" w:cs="Times New Roman"/>
          <w:sz w:val="18"/>
          <w:szCs w:val="18"/>
        </w:rPr>
        <w:t xml:space="preserve"> innovation hubs nationwide.</w:t>
      </w:r>
    </w:p>
  </w:endnote>
  <w:endnote w:id="19">
    <w:p w14:paraId="1FD3A99A" w14:textId="77777777" w:rsidR="006A439E" w:rsidRPr="000B3AC5" w:rsidRDefault="006A439E" w:rsidP="00795944">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See Startup Genome (2018). “Global Startup Ecosystem Report 2018”. According to </w:t>
      </w:r>
      <w:r w:rsidRPr="000B3AC5">
        <w:rPr>
          <w:rFonts w:ascii="Times New Roman" w:hAnsi="Times New Roman" w:cs="Times New Roman"/>
          <w:i/>
          <w:sz w:val="18"/>
          <w:szCs w:val="18"/>
        </w:rPr>
        <w:t>Tholons Top 100 (2017</w:t>
      </w:r>
      <w:r w:rsidRPr="000B3AC5">
        <w:rPr>
          <w:rFonts w:ascii="Times New Roman" w:hAnsi="Times New Roman" w:cs="Times New Roman"/>
          <w:sz w:val="18"/>
          <w:szCs w:val="18"/>
        </w:rPr>
        <w:t>), only 100 startups are, arguably, noteworthy in the country.</w:t>
      </w:r>
    </w:p>
  </w:endnote>
  <w:endnote w:id="20">
    <w:p w14:paraId="161E423A" w14:textId="77777777" w:rsidR="006A439E" w:rsidRPr="000B3AC5" w:rsidRDefault="006A439E" w:rsidP="00795944">
      <w:pPr>
        <w:pStyle w:val="EndnoteText"/>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See “</w:t>
      </w:r>
      <w:r w:rsidRPr="000B3AC5">
        <w:rPr>
          <w:rFonts w:ascii="Times New Roman" w:hAnsi="Times New Roman" w:cs="Times New Roman"/>
          <w:i/>
          <w:sz w:val="18"/>
          <w:szCs w:val="18"/>
        </w:rPr>
        <w:t>Off to a great start: The Philippine startup ecosystem”</w:t>
      </w:r>
      <w:r w:rsidRPr="000B3AC5">
        <w:rPr>
          <w:rFonts w:ascii="Times New Roman" w:hAnsi="Times New Roman" w:cs="Times New Roman"/>
          <w:sz w:val="18"/>
          <w:szCs w:val="18"/>
        </w:rPr>
        <w:t xml:space="preserve"> (2017) which represents the first systematic attempt to understand the startup landscape in the Philippines. It is based on a startup survey of over 100 CEOs and founders. The report has been undertaken jointly by PWC, QBO Innovation Hub, DTI and DOST.</w:t>
      </w:r>
    </w:p>
  </w:endnote>
  <w:endnote w:id="21">
    <w:p w14:paraId="21DF7746" w14:textId="77777777" w:rsidR="006A439E" w:rsidRPr="000B3AC5" w:rsidRDefault="006A439E" w:rsidP="00795944">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Startup Genome, (2018). “Global Startup Ecosystem Report 2018”.</w:t>
      </w:r>
    </w:p>
  </w:endnote>
  <w:endnote w:id="22">
    <w:p w14:paraId="14EF87DB" w14:textId="77777777" w:rsidR="006A439E" w:rsidRPr="000B3AC5" w:rsidRDefault="006A439E" w:rsidP="00795944">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Among others, these include Xurpas, Sulit and Chikka.</w:t>
      </w:r>
    </w:p>
  </w:endnote>
  <w:endnote w:id="23">
    <w:p w14:paraId="443BA4B7" w14:textId="77777777" w:rsidR="006A439E" w:rsidRPr="000B3AC5" w:rsidRDefault="006A439E" w:rsidP="00795944">
      <w:pPr>
        <w:pStyle w:val="EndnoteText"/>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Startup Genome (2018). “Global Startup Ecosystem Report 2018”.</w:t>
      </w:r>
    </w:p>
  </w:endnote>
  <w:endnote w:id="24">
    <w:p w14:paraId="5D4C879E" w14:textId="210DE820" w:rsidR="006A439E" w:rsidRDefault="006A439E">
      <w:pPr>
        <w:pStyle w:val="EndnoteText"/>
      </w:pPr>
      <w:r>
        <w:rPr>
          <w:rStyle w:val="EndnoteReference"/>
        </w:rPr>
        <w:endnoteRef/>
      </w:r>
      <w:r>
        <w:t xml:space="preserve"> </w:t>
      </w:r>
      <w:r w:rsidRPr="009249D1">
        <w:rPr>
          <w:rFonts w:ascii="Times New Roman" w:hAnsi="Times New Roman" w:cs="Times New Roman"/>
          <w:sz w:val="18"/>
          <w:szCs w:val="18"/>
        </w:rPr>
        <w:t xml:space="preserve">This framework is drawn from Cusolito and Maloney (2018). </w:t>
      </w:r>
    </w:p>
  </w:endnote>
  <w:endnote w:id="25">
    <w:p w14:paraId="6E8C5EFD" w14:textId="2D8EEAC5" w:rsidR="006A439E" w:rsidRDefault="006A439E">
      <w:pPr>
        <w:pStyle w:val="EndnoteText"/>
      </w:pPr>
      <w:r>
        <w:rPr>
          <w:rStyle w:val="EndnoteReference"/>
        </w:rPr>
        <w:endnoteRef/>
      </w:r>
      <w:r>
        <w:t xml:space="preserve"> </w:t>
      </w:r>
      <w:r w:rsidRPr="009249D1">
        <w:rPr>
          <w:rFonts w:ascii="Times New Roman" w:hAnsi="Times New Roman" w:cs="Times New Roman"/>
          <w:sz w:val="18"/>
          <w:szCs w:val="18"/>
        </w:rPr>
        <w:t>These may include the policy environment for competition and private-sector investment; trade integration; spillover from FDI; access to finance and capital allocation; and education and skills quality and labor market regulations.</w:t>
      </w:r>
      <w:r w:rsidRPr="00051622">
        <w:t xml:space="preserve">  </w:t>
      </w:r>
    </w:p>
  </w:endnote>
  <w:endnote w:id="26">
    <w:p w14:paraId="18994F1E" w14:textId="7365179E" w:rsidR="006A439E" w:rsidRDefault="006A439E">
      <w:pPr>
        <w:pStyle w:val="EndnoteText"/>
      </w:pPr>
      <w:r>
        <w:rPr>
          <w:rStyle w:val="EndnoteReference"/>
        </w:rPr>
        <w:endnoteRef/>
      </w:r>
      <w:r>
        <w:t xml:space="preserve"> </w:t>
      </w:r>
      <w:r w:rsidRPr="009249D1">
        <w:rPr>
          <w:rFonts w:ascii="Times New Roman" w:hAnsi="Times New Roman" w:cs="Times New Roman"/>
          <w:sz w:val="18"/>
          <w:szCs w:val="18"/>
        </w:rPr>
        <w:t xml:space="preserve">This section draws heavily on the recently completed Philippines Growth and Productivity Report (June 2017). The </w:t>
      </w:r>
      <w:proofErr w:type="gramStart"/>
      <w:r w:rsidRPr="009249D1">
        <w:rPr>
          <w:rFonts w:ascii="Times New Roman" w:hAnsi="Times New Roman" w:cs="Times New Roman"/>
          <w:sz w:val="18"/>
          <w:szCs w:val="18"/>
        </w:rPr>
        <w:t>report  uses</w:t>
      </w:r>
      <w:proofErr w:type="gramEnd"/>
      <w:r w:rsidRPr="009249D1">
        <w:rPr>
          <w:rFonts w:ascii="Times New Roman" w:hAnsi="Times New Roman" w:cs="Times New Roman"/>
          <w:sz w:val="18"/>
          <w:szCs w:val="18"/>
        </w:rPr>
        <w:t xml:space="preserve"> firm-level data from the Census of Philippine Business and Industry (CPBI), and the Annual survey of Philippine Business and Industry (ASPBI) that cover formal sector of the economy.</w:t>
      </w:r>
    </w:p>
  </w:endnote>
  <w:endnote w:id="27">
    <w:p w14:paraId="76F924F2" w14:textId="77777777" w:rsidR="006A439E" w:rsidRPr="000B3AC5" w:rsidRDefault="006A439E" w:rsidP="00E90C5E">
      <w:pPr>
        <w:pStyle w:val="EndnoteText"/>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Philippines performance is compared to a select group of structural and regional peers.  The structural peers include Sri Lanka, Pakistan, Morocco, Kenya and Bangladesh. The section below compares performance with respect to selected outcomes and outputs that underpin the demand for MSME policy. The selection of Philippines’ regional peers is driven by geography and proximity, and include Vietnam, China, Indonesia, Malaysia and Thailand. </w:t>
      </w:r>
    </w:p>
  </w:endnote>
  <w:endnote w:id="28">
    <w:p w14:paraId="4F0B46F5" w14:textId="77777777" w:rsidR="006A439E" w:rsidRPr="000B3AC5" w:rsidRDefault="006A439E" w:rsidP="00E90C5E">
      <w:pPr>
        <w:pStyle w:val="EndnoteText"/>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The Global Entrepreneurship Index (GEI) is a joint project of the Global Entrepreneurship Development Institute (GEDI) and the Global Entrepreneurship Network (GEN). The GEI is designed to profile “national systems of entrepreneurship,” and provides information on the quality and scale of entrepreneurial attitudes, abilities, and aspirations in 130 countries. For details refer to </w:t>
      </w:r>
      <w:r w:rsidRPr="000B3AC5">
        <w:rPr>
          <w:rFonts w:ascii="Times New Roman" w:hAnsi="Times New Roman" w:cs="Times New Roman"/>
          <w:color w:val="0070C0"/>
          <w:sz w:val="18"/>
          <w:szCs w:val="18"/>
        </w:rPr>
        <w:t>http://thegedi.org/global-entrepreneurship-and-development-index</w:t>
      </w:r>
    </w:p>
  </w:endnote>
  <w:endnote w:id="29">
    <w:p w14:paraId="5C3E9E9D" w14:textId="77777777" w:rsidR="006A439E" w:rsidRPr="000B3AC5" w:rsidRDefault="006A439E" w:rsidP="00DB4656">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PWC, (2015). Doing Business and Investing in the Philippines, https://www.pwc.de/de/internationale-maerkte/assets/doing-business-and-investing-in-philippines-2015.pdf</w:t>
      </w:r>
    </w:p>
  </w:endnote>
  <w:endnote w:id="30">
    <w:p w14:paraId="6957E5D1" w14:textId="77777777" w:rsidR="006A439E" w:rsidRPr="000B3AC5" w:rsidRDefault="006A439E" w:rsidP="00DB4656">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Interview with Ideaspace</w:t>
      </w:r>
    </w:p>
  </w:endnote>
  <w:endnote w:id="31">
    <w:p w14:paraId="6C187BA2" w14:textId="77777777" w:rsidR="006A439E" w:rsidRPr="000B3AC5" w:rsidRDefault="006A439E" w:rsidP="00DB4656">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World Economic Forum (2017). Global Competiveness Index</w:t>
      </w:r>
    </w:p>
  </w:endnote>
  <w:endnote w:id="32">
    <w:p w14:paraId="024BE799" w14:textId="77777777" w:rsidR="006A439E" w:rsidRPr="000B3AC5" w:rsidRDefault="006A439E" w:rsidP="00DB4656">
      <w:pPr>
        <w:pStyle w:val="NoSpacing"/>
        <w:rPr>
          <w:rFonts w:ascii="Times New Roman" w:hAnsi="Times New Roman" w:cs="Times New Roman"/>
          <w:sz w:val="18"/>
          <w:szCs w:val="18"/>
        </w:rPr>
      </w:pPr>
      <w:r w:rsidRPr="000B3AC5">
        <w:rPr>
          <w:rFonts w:ascii="Times New Roman" w:hAnsi="Times New Roman" w:cs="Times New Roman"/>
          <w:sz w:val="18"/>
          <w:szCs w:val="18"/>
          <w:vertAlign w:val="superscript"/>
        </w:rPr>
        <w:endnoteRef/>
      </w:r>
      <w:r w:rsidRPr="000B3AC5">
        <w:rPr>
          <w:rFonts w:ascii="Times New Roman" w:hAnsi="Times New Roman" w:cs="Times New Roman"/>
          <w:sz w:val="18"/>
          <w:szCs w:val="18"/>
        </w:rPr>
        <w:t xml:space="preserve"> Deloitte, (2016). Applying for government incentives in Singapore. </w:t>
      </w:r>
      <w:hyperlink r:id="rId2" w:history="1">
        <w:r w:rsidRPr="000B3AC5">
          <w:rPr>
            <w:rStyle w:val="Hyperlink"/>
            <w:rFonts w:ascii="Times New Roman" w:hAnsi="Times New Roman" w:cs="Times New Roman"/>
            <w:sz w:val="18"/>
            <w:szCs w:val="18"/>
          </w:rPr>
          <w:t>https://www2.deloitte.com/content/dam/Deloitte/sg/Documents/tax/sg-tax-applying-for-gov-incentives-in-singapore-noexp.pdf</w:t>
        </w:r>
      </w:hyperlink>
      <w:r w:rsidRPr="000B3AC5">
        <w:rPr>
          <w:rFonts w:ascii="Times New Roman" w:hAnsi="Times New Roman" w:cs="Times New Roman"/>
          <w:sz w:val="18"/>
          <w:szCs w:val="18"/>
        </w:rPr>
        <w:t xml:space="preserve"> </w:t>
      </w:r>
    </w:p>
  </w:endnote>
  <w:endnote w:id="33">
    <w:p w14:paraId="6CBA7847" w14:textId="77777777" w:rsidR="006A439E" w:rsidRPr="000B3AC5" w:rsidRDefault="006A439E" w:rsidP="009C3967">
      <w:pPr>
        <w:pStyle w:val="EndnoteText"/>
        <w:rPr>
          <w:rStyle w:val="SubtleReference"/>
          <w:rFonts w:ascii="Times New Roman" w:hAnsi="Times New Roman" w:cs="Times New Roman"/>
          <w:szCs w:val="18"/>
        </w:rPr>
      </w:pPr>
      <w:r w:rsidRPr="000B3AC5">
        <w:rPr>
          <w:rStyle w:val="SubtleReference"/>
          <w:rFonts w:ascii="Times New Roman" w:hAnsi="Times New Roman" w:cs="Times New Roman"/>
          <w:szCs w:val="18"/>
        </w:rPr>
        <w:endnoteRef/>
      </w:r>
      <w:r w:rsidRPr="000B3AC5">
        <w:rPr>
          <w:rStyle w:val="SubtleReference"/>
          <w:rFonts w:ascii="Times New Roman" w:hAnsi="Times New Roman" w:cs="Times New Roman"/>
          <w:szCs w:val="18"/>
        </w:rPr>
        <w:t xml:space="preserve"> The index measures the timeliness of deliveries, the quality of infrastructure assets, logistics quality and competence, and the ability to track and trace shipments.</w:t>
      </w:r>
    </w:p>
  </w:endnote>
  <w:endnote w:id="34">
    <w:p w14:paraId="270B25EB" w14:textId="77777777" w:rsidR="006A439E" w:rsidRPr="000B3AC5" w:rsidRDefault="006A439E" w:rsidP="00617EC9">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w:t>
      </w:r>
      <w:hyperlink r:id="rId3" w:history="1">
        <w:r w:rsidRPr="000B3AC5">
          <w:rPr>
            <w:rStyle w:val="Hyperlink"/>
            <w:rFonts w:ascii="Times New Roman" w:hAnsi="Times New Roman" w:cs="Times New Roman"/>
            <w:sz w:val="18"/>
            <w:szCs w:val="18"/>
          </w:rPr>
          <w:t>https://www.iras.gov.sg/irashome/Businesses/Companies/Learning-the-basics-of-Corporate-Income-Tax/Common-Tax-Reliefs-That-Help-Reduce-The-Tax-Bills/</w:t>
        </w:r>
      </w:hyperlink>
    </w:p>
  </w:endnote>
  <w:endnote w:id="35">
    <w:p w14:paraId="294C4EFC" w14:textId="77777777" w:rsidR="006A439E" w:rsidRPr="000B3AC5" w:rsidRDefault="006A439E" w:rsidP="00294019">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Aldaba, R. M. (2011), ‘SMEs Access to Finance: Philippines’, in Harvie, C., S. Oum, and D. Narjoko (eds.), Small and Medium Enterprises (SMEs) Access to Finance in Selected East Asian Economies. ERIA Research Project Report 2010-14, Jakarta: ERIA. pp.291-350.</w:t>
      </w:r>
    </w:p>
  </w:endnote>
  <w:endnote w:id="36">
    <w:p w14:paraId="769A9D40" w14:textId="77777777" w:rsidR="006A439E" w:rsidRPr="000B3AC5" w:rsidRDefault="006A439E" w:rsidP="00692F00">
      <w:pPr>
        <w:pStyle w:val="EndnoteText"/>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World Bank, (2017). Global </w:t>
      </w:r>
      <w:proofErr w:type="spellStart"/>
      <w:r w:rsidRPr="000B3AC5">
        <w:rPr>
          <w:rFonts w:ascii="Times New Roman" w:hAnsi="Times New Roman" w:cs="Times New Roman"/>
          <w:sz w:val="18"/>
          <w:szCs w:val="18"/>
        </w:rPr>
        <w:t>Findex</w:t>
      </w:r>
      <w:proofErr w:type="spellEnd"/>
      <w:r w:rsidRPr="000B3AC5">
        <w:rPr>
          <w:rFonts w:ascii="Times New Roman" w:hAnsi="Times New Roman" w:cs="Times New Roman"/>
          <w:sz w:val="18"/>
          <w:szCs w:val="18"/>
        </w:rPr>
        <w:t>.</w:t>
      </w:r>
    </w:p>
  </w:endnote>
  <w:endnote w:id="37">
    <w:p w14:paraId="6F020B8C" w14:textId="77777777" w:rsidR="006A439E" w:rsidRPr="000B3AC5" w:rsidRDefault="006A439E" w:rsidP="00294019">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Startup Genome (2018). “Global Startup Ecosystem Report 2018”.</w:t>
      </w:r>
    </w:p>
  </w:endnote>
  <w:endnote w:id="38">
    <w:p w14:paraId="3C81EA2D" w14:textId="77777777" w:rsidR="006A439E" w:rsidRPr="000B3AC5" w:rsidRDefault="006A439E" w:rsidP="00294019">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Golden Gate Ventures</w:t>
      </w:r>
    </w:p>
  </w:endnote>
  <w:endnote w:id="39">
    <w:p w14:paraId="5F01A4FA" w14:textId="77777777" w:rsidR="006A439E" w:rsidRPr="000B3AC5" w:rsidRDefault="006A439E" w:rsidP="00294019">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w:t>
      </w:r>
      <w:r w:rsidRPr="000B3AC5">
        <w:rPr>
          <w:rFonts w:ascii="Times New Roman" w:eastAsia="Times New Roman" w:hAnsi="Times New Roman" w:cs="Times New Roman"/>
          <w:sz w:val="18"/>
          <w:szCs w:val="18"/>
          <w:shd w:val="clear" w:color="auto" w:fill="FFFFFF"/>
        </w:rPr>
        <w:t xml:space="preserve">One of the most famous IPOs of a tech company in the Southeast Asian market remains to be </w:t>
      </w:r>
      <w:r w:rsidRPr="000B3AC5">
        <w:rPr>
          <w:rFonts w:ascii="Times New Roman" w:hAnsi="Times New Roman" w:cs="Times New Roman"/>
          <w:sz w:val="18"/>
          <w:szCs w:val="18"/>
        </w:rPr>
        <w:t>Xurpas, a Philippine technology company that has created mobile products and services for the domestic market since 2001. (See: https://www.techinasia.com/xurpas-ipo-philippines)</w:t>
      </w:r>
    </w:p>
  </w:endnote>
  <w:endnote w:id="40">
    <w:p w14:paraId="5D22E27C" w14:textId="77777777" w:rsidR="006A439E" w:rsidRPr="000B3AC5" w:rsidRDefault="006A439E" w:rsidP="00294019">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vertAlign w:val="superscript"/>
        </w:rPr>
        <w:t xml:space="preserve"> </w:t>
      </w:r>
      <w:r w:rsidRPr="000B3AC5">
        <w:rPr>
          <w:rFonts w:ascii="Times New Roman" w:hAnsi="Times New Roman" w:cs="Times New Roman"/>
          <w:sz w:val="18"/>
          <w:szCs w:val="18"/>
        </w:rPr>
        <w:t xml:space="preserve">PwC. 2017. “Off to a great start: The Philippine startup ecosystem”. Available on online at </w:t>
      </w:r>
      <w:hyperlink r:id="rId4" w:history="1">
        <w:r w:rsidRPr="000B3AC5">
          <w:rPr>
            <w:rStyle w:val="Hyperlink"/>
            <w:rFonts w:ascii="Times New Roman" w:hAnsi="Times New Roman" w:cs="Times New Roman"/>
            <w:sz w:val="18"/>
            <w:szCs w:val="18"/>
          </w:rPr>
          <w:t>http://www.pwc.com/ph/startup</w:t>
        </w:r>
      </w:hyperlink>
      <w:r w:rsidRPr="000B3AC5">
        <w:rPr>
          <w:rFonts w:ascii="Times New Roman" w:hAnsi="Times New Roman" w:cs="Times New Roman"/>
          <w:sz w:val="18"/>
          <w:szCs w:val="18"/>
        </w:rPr>
        <w:t xml:space="preserve">. </w:t>
      </w:r>
    </w:p>
  </w:endnote>
  <w:endnote w:id="41">
    <w:p w14:paraId="1E579CD2" w14:textId="77777777" w:rsidR="006A439E" w:rsidRPr="000B3AC5" w:rsidRDefault="006A439E" w:rsidP="00294019">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The index measures the attractiveness of countries for investors in the venture capital (VC) and private equity (PE) asset classes. It provides the most up-to-date aggregated information on the quality of the investment environment and an assessment of the ease of transaction-making in 125 countries. Refer to Groh A et al (2018).</w:t>
      </w:r>
    </w:p>
  </w:endnote>
  <w:endnote w:id="42">
    <w:p w14:paraId="3968D403" w14:textId="54948493" w:rsidR="006A439E" w:rsidRDefault="006A439E">
      <w:pPr>
        <w:pStyle w:val="EndnoteText"/>
      </w:pPr>
      <w:r>
        <w:rPr>
          <w:rStyle w:val="EndnoteReference"/>
        </w:rPr>
        <w:endnoteRef/>
      </w:r>
      <w:r>
        <w:t xml:space="preserve"> </w:t>
      </w:r>
      <w:r w:rsidRPr="00DD6D4F">
        <w:rPr>
          <w:rFonts w:ascii="Times New Roman" w:hAnsi="Times New Roman" w:cs="Times New Roman"/>
          <w:sz w:val="18"/>
          <w:szCs w:val="18"/>
        </w:rPr>
        <w:t>World Bank Enterprise Survey (2017).</w:t>
      </w:r>
    </w:p>
  </w:endnote>
  <w:endnote w:id="43">
    <w:p w14:paraId="04435396" w14:textId="77777777" w:rsidR="006A439E" w:rsidRPr="000B3AC5" w:rsidRDefault="006A439E" w:rsidP="00EB34D0">
      <w:pPr>
        <w:pStyle w:val="EndnoteText"/>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Interviews with Endeavor and </w:t>
      </w:r>
      <w:proofErr w:type="spellStart"/>
      <w:r w:rsidRPr="000B3AC5">
        <w:rPr>
          <w:rFonts w:ascii="Times New Roman" w:hAnsi="Times New Roman" w:cs="Times New Roman"/>
          <w:sz w:val="18"/>
          <w:szCs w:val="18"/>
        </w:rPr>
        <w:t>Ideaspace</w:t>
      </w:r>
      <w:proofErr w:type="spellEnd"/>
      <w:r w:rsidRPr="000B3AC5">
        <w:rPr>
          <w:rFonts w:ascii="Times New Roman" w:hAnsi="Times New Roman" w:cs="Times New Roman"/>
          <w:sz w:val="18"/>
          <w:szCs w:val="18"/>
        </w:rPr>
        <w:t xml:space="preserve">. One example is </w:t>
      </w:r>
      <w:proofErr w:type="spellStart"/>
      <w:r w:rsidRPr="000B3AC5">
        <w:rPr>
          <w:rFonts w:ascii="Times New Roman" w:hAnsi="Times New Roman" w:cs="Times New Roman"/>
          <w:sz w:val="18"/>
          <w:szCs w:val="18"/>
        </w:rPr>
        <w:t>Edukasyon</w:t>
      </w:r>
      <w:proofErr w:type="spellEnd"/>
      <w:r w:rsidRPr="000B3AC5">
        <w:rPr>
          <w:rFonts w:ascii="Times New Roman" w:hAnsi="Times New Roman" w:cs="Times New Roman"/>
          <w:sz w:val="18"/>
          <w:szCs w:val="18"/>
        </w:rPr>
        <w:t xml:space="preserve">, an </w:t>
      </w:r>
      <w:proofErr w:type="gramStart"/>
      <w:r w:rsidRPr="000B3AC5">
        <w:rPr>
          <w:rFonts w:ascii="Times New Roman" w:hAnsi="Times New Roman" w:cs="Times New Roman"/>
          <w:sz w:val="18"/>
          <w:szCs w:val="18"/>
        </w:rPr>
        <w:t>online platform empowering students</w:t>
      </w:r>
      <w:proofErr w:type="gramEnd"/>
      <w:r w:rsidRPr="000B3AC5">
        <w:rPr>
          <w:rFonts w:ascii="Times New Roman" w:hAnsi="Times New Roman" w:cs="Times New Roman"/>
          <w:sz w:val="18"/>
          <w:szCs w:val="18"/>
        </w:rPr>
        <w:t xml:space="preserve"> to create more informed higher education decisions, through (1) a comprehensive database of 14,000+ colleges, 80,000+ courses and 4,000+ scholarships locally and abroad; (2) online career guidance to increase understanding on education pathways to their dream career; and (3) an online college application service. The two founders are both educated in the United States. </w:t>
      </w:r>
      <w:r w:rsidRPr="000B3AC5">
        <w:rPr>
          <w:rFonts w:ascii="Times New Roman" w:eastAsia="Times New Roman" w:hAnsi="Times New Roman" w:cs="Times New Roman"/>
          <w:sz w:val="18"/>
          <w:szCs w:val="18"/>
        </w:rPr>
        <w:t>It has</w:t>
      </w:r>
      <w:r w:rsidRPr="000B3AC5">
        <w:rPr>
          <w:rFonts w:ascii="Times New Roman" w:hAnsi="Times New Roman" w:cs="Times New Roman"/>
          <w:sz w:val="18"/>
          <w:szCs w:val="18"/>
        </w:rPr>
        <w:t xml:space="preserve"> </w:t>
      </w:r>
      <w:r w:rsidRPr="000B3AC5">
        <w:rPr>
          <w:rFonts w:ascii="Times New Roman" w:eastAsia="Times New Roman" w:hAnsi="Times New Roman" w:cs="Times New Roman"/>
          <w:sz w:val="18"/>
          <w:szCs w:val="18"/>
        </w:rPr>
        <w:t>received four rounds of pre-series A funding from VCs in the US (KSR Partners), France (French Partners), UK (Mustard Seed), and India (</w:t>
      </w:r>
      <w:proofErr w:type="spellStart"/>
      <w:r w:rsidRPr="000B3AC5">
        <w:rPr>
          <w:rFonts w:ascii="Times New Roman" w:eastAsia="Times New Roman" w:hAnsi="Times New Roman" w:cs="Times New Roman"/>
          <w:sz w:val="18"/>
          <w:szCs w:val="18"/>
        </w:rPr>
        <w:t>Villgro</w:t>
      </w:r>
      <w:proofErr w:type="spellEnd"/>
      <w:r w:rsidRPr="000B3AC5">
        <w:rPr>
          <w:rFonts w:ascii="Times New Roman" w:eastAsia="Times New Roman" w:hAnsi="Times New Roman" w:cs="Times New Roman"/>
          <w:sz w:val="18"/>
          <w:szCs w:val="18"/>
        </w:rPr>
        <w:t>).</w:t>
      </w:r>
    </w:p>
  </w:endnote>
  <w:endnote w:id="44">
    <w:p w14:paraId="25EA5738" w14:textId="77777777" w:rsidR="006A439E" w:rsidRPr="000B3AC5" w:rsidRDefault="006A439E" w:rsidP="00EB34D0">
      <w:pPr>
        <w:pStyle w:val="NoSpacing"/>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Note:  Human Capital (Are entrepreneurs highly educated, well trained in business and able to move freely in the labor market?); Startup skills (Does the population have the skills necessary to start a business based on their own perceptions and the availability of tertiary education?); Opportunity startups (Are entrepreneurs motivated by opportunity rather than necessity and does governance make the choice to be an entrepreneur easy?)</w:t>
      </w:r>
    </w:p>
  </w:endnote>
  <w:endnote w:id="45">
    <w:p w14:paraId="2A20BBE3" w14:textId="77777777" w:rsidR="006A439E" w:rsidRPr="000B3AC5" w:rsidRDefault="006A439E" w:rsidP="00EB34D0">
      <w:pPr>
        <w:pStyle w:val="EndnoteText"/>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See “</w:t>
      </w:r>
      <w:r w:rsidRPr="000B3AC5">
        <w:rPr>
          <w:rFonts w:ascii="Times New Roman" w:hAnsi="Times New Roman" w:cs="Times New Roman"/>
          <w:i/>
          <w:sz w:val="18"/>
          <w:szCs w:val="18"/>
        </w:rPr>
        <w:t>Off to a great start: The Philippine startup ecosystem”</w:t>
      </w:r>
      <w:r w:rsidRPr="000B3AC5">
        <w:rPr>
          <w:rFonts w:ascii="Times New Roman" w:hAnsi="Times New Roman" w:cs="Times New Roman"/>
          <w:sz w:val="18"/>
          <w:szCs w:val="18"/>
        </w:rPr>
        <w:t xml:space="preserve"> (2017) which represents the first systematic attempt to understand the startup landscape in the Philippines. It is based on a startup survey of over 100 CEOs and founders. The report has been undertaken jointly by PWC, QBO Innovation Hub, DTI and DOST.</w:t>
      </w:r>
    </w:p>
  </w:endnote>
  <w:endnote w:id="46">
    <w:p w14:paraId="44D4C450" w14:textId="77777777" w:rsidR="006A439E" w:rsidRPr="000B3AC5" w:rsidRDefault="006A439E" w:rsidP="00EB34D0">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DOST, (2015). Statistics, Science and Technology. </w:t>
      </w:r>
    </w:p>
  </w:endnote>
  <w:endnote w:id="47">
    <w:p w14:paraId="317C0A87" w14:textId="77777777" w:rsidR="006A439E" w:rsidRPr="000B3AC5" w:rsidRDefault="006A439E" w:rsidP="00EB34D0">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International Telecommunications Union, (2017). Global ICT Index</w:t>
      </w:r>
    </w:p>
  </w:endnote>
  <w:endnote w:id="48">
    <w:p w14:paraId="7EACB23C" w14:textId="77777777" w:rsidR="006A439E" w:rsidRPr="000B3AC5" w:rsidRDefault="006A439E" w:rsidP="00EB34D0">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Interviews with </w:t>
      </w:r>
      <w:proofErr w:type="spellStart"/>
      <w:r w:rsidRPr="000B3AC5">
        <w:rPr>
          <w:rFonts w:ascii="Times New Roman" w:hAnsi="Times New Roman" w:cs="Times New Roman"/>
          <w:sz w:val="18"/>
          <w:szCs w:val="18"/>
        </w:rPr>
        <w:t>Stratpoint</w:t>
      </w:r>
      <w:proofErr w:type="spellEnd"/>
      <w:r w:rsidRPr="000B3AC5">
        <w:rPr>
          <w:rFonts w:ascii="Times New Roman" w:hAnsi="Times New Roman" w:cs="Times New Roman"/>
          <w:sz w:val="18"/>
          <w:szCs w:val="18"/>
        </w:rPr>
        <w:t xml:space="preserve"> and </w:t>
      </w:r>
      <w:proofErr w:type="spellStart"/>
      <w:r w:rsidRPr="000B3AC5">
        <w:rPr>
          <w:rFonts w:ascii="Times New Roman" w:hAnsi="Times New Roman" w:cs="Times New Roman"/>
          <w:sz w:val="18"/>
          <w:szCs w:val="18"/>
        </w:rPr>
        <w:t>Ideaytech</w:t>
      </w:r>
      <w:proofErr w:type="spellEnd"/>
      <w:r w:rsidRPr="000B3AC5">
        <w:rPr>
          <w:rFonts w:ascii="Times New Roman" w:hAnsi="Times New Roman" w:cs="Times New Roman"/>
          <w:sz w:val="18"/>
          <w:szCs w:val="18"/>
        </w:rPr>
        <w:t>.</w:t>
      </w:r>
    </w:p>
  </w:endnote>
  <w:endnote w:id="49">
    <w:p w14:paraId="423E95CB" w14:textId="77777777" w:rsidR="006A439E" w:rsidRPr="000B3AC5" w:rsidRDefault="006A439E" w:rsidP="00EB34D0">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Interview with Endeavor</w:t>
      </w:r>
    </w:p>
  </w:endnote>
  <w:endnote w:id="50">
    <w:p w14:paraId="2227DBBD" w14:textId="77777777" w:rsidR="006A439E" w:rsidRPr="000B3AC5" w:rsidRDefault="006A439E" w:rsidP="00294019">
      <w:pPr>
        <w:pStyle w:val="NoSpacing"/>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w:t>
      </w:r>
      <w:r w:rsidRPr="000B3AC5">
        <w:rPr>
          <w:rFonts w:ascii="Times New Roman" w:hAnsi="Times New Roman" w:cs="Times New Roman"/>
          <w:sz w:val="18"/>
          <w:szCs w:val="18"/>
          <w:shd w:val="clear" w:color="auto" w:fill="FFFFFF"/>
        </w:rPr>
        <w:t xml:space="preserve">UN Economic and Social Commission for Asia and the Pacific, (2017). Asia-Pacific Countries with Special Needs Development Report </w:t>
      </w:r>
    </w:p>
  </w:endnote>
  <w:endnote w:id="51">
    <w:p w14:paraId="6E25A505" w14:textId="77777777" w:rsidR="006A439E" w:rsidRPr="000B3AC5" w:rsidRDefault="006A439E" w:rsidP="00294019">
      <w:pPr>
        <w:pStyle w:val="NoSpacing"/>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w:t>
      </w:r>
      <w:r w:rsidRPr="000B3AC5">
        <w:rPr>
          <w:rFonts w:ascii="Times New Roman" w:hAnsi="Times New Roman" w:cs="Times New Roman"/>
          <w:color w:val="101010"/>
          <w:sz w:val="18"/>
          <w:szCs w:val="18"/>
          <w:shd w:val="clear" w:color="auto" w:fill="FFFFFF"/>
        </w:rPr>
        <w:t>Speedtest, (2017). Global Broadband Index</w:t>
      </w:r>
    </w:p>
  </w:endnote>
  <w:endnote w:id="52">
    <w:p w14:paraId="353895F8" w14:textId="77777777" w:rsidR="006A439E" w:rsidRPr="000B3AC5" w:rsidRDefault="006A439E" w:rsidP="00294019">
      <w:pPr>
        <w:pStyle w:val="NoSpacing"/>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MEDEF, (2017)</w:t>
      </w:r>
    </w:p>
  </w:endnote>
  <w:endnote w:id="53">
    <w:p w14:paraId="56DE2D53" w14:textId="77777777" w:rsidR="006A439E" w:rsidRPr="000B3AC5" w:rsidRDefault="006A439E" w:rsidP="00294019">
      <w:pPr>
        <w:pStyle w:val="EndnoteText"/>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This </w:t>
      </w:r>
      <w:r w:rsidRPr="000B3AC5">
        <w:rPr>
          <w:rFonts w:ascii="Times New Roman" w:eastAsia="Times New Roman" w:hAnsi="Times New Roman" w:cs="Times New Roman"/>
          <w:bCs/>
          <w:sz w:val="18"/>
          <w:szCs w:val="18"/>
          <w:lang w:eastAsia="zh-CN"/>
        </w:rPr>
        <w:t xml:space="preserve">refers to digital payments that can facilitate the business of </w:t>
      </w:r>
      <w:proofErr w:type="gramStart"/>
      <w:r w:rsidRPr="000B3AC5">
        <w:rPr>
          <w:rFonts w:ascii="Times New Roman" w:eastAsia="Times New Roman" w:hAnsi="Times New Roman" w:cs="Times New Roman"/>
          <w:bCs/>
          <w:sz w:val="18"/>
          <w:szCs w:val="18"/>
          <w:lang w:eastAsia="zh-CN"/>
        </w:rPr>
        <w:t>the majority of</w:t>
      </w:r>
      <w:proofErr w:type="gramEnd"/>
      <w:r w:rsidRPr="000B3AC5">
        <w:rPr>
          <w:rFonts w:ascii="Times New Roman" w:eastAsia="Times New Roman" w:hAnsi="Times New Roman" w:cs="Times New Roman"/>
          <w:bCs/>
          <w:sz w:val="18"/>
          <w:szCs w:val="18"/>
          <w:lang w:eastAsia="zh-CN"/>
        </w:rPr>
        <w:t xml:space="preserve"> digital startups and traditional entrepreneurs going through the process of digitizing their businesses.</w:t>
      </w:r>
    </w:p>
  </w:endnote>
  <w:endnote w:id="54">
    <w:p w14:paraId="247DA803" w14:textId="77777777" w:rsidR="006A439E" w:rsidRPr="000B3AC5" w:rsidRDefault="006A439E" w:rsidP="00294019">
      <w:pPr>
        <w:pStyle w:val="EndnoteText"/>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MasterCard Worldwide, (2016). Mobile Payments Readiness Index</w:t>
      </w:r>
    </w:p>
  </w:endnote>
  <w:endnote w:id="55">
    <w:p w14:paraId="03A35349" w14:textId="77777777" w:rsidR="006A439E" w:rsidRPr="000B3AC5" w:rsidRDefault="006A439E" w:rsidP="00294019">
      <w:pPr>
        <w:pStyle w:val="EndnoteText"/>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The MasterCard Mobile Payments Readiness Index is a data-driven, quantitative survey of the global mobile payments landscape. Scores are derived from an algorithm comprised of over 50 inputs, including economic data, demographic data, telecommunications data, payments industry data, and proprietary consumer research.</w:t>
      </w:r>
    </w:p>
  </w:endnote>
  <w:endnote w:id="56">
    <w:p w14:paraId="2BBEC2FB" w14:textId="77777777" w:rsidR="006A439E" w:rsidRPr="000B3AC5" w:rsidRDefault="006A439E" w:rsidP="00294019">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DTI, (2016). The Startup Ecosystem Development Program</w:t>
      </w:r>
    </w:p>
  </w:endnote>
  <w:endnote w:id="57">
    <w:p w14:paraId="5756208B" w14:textId="735BB846" w:rsidR="006A439E" w:rsidRDefault="006A439E">
      <w:pPr>
        <w:pStyle w:val="EndnoteText"/>
      </w:pPr>
      <w:r>
        <w:rPr>
          <w:rStyle w:val="EndnoteReference"/>
        </w:rPr>
        <w:endnoteRef/>
      </w:r>
      <w:r>
        <w:t xml:space="preserve"> </w:t>
      </w:r>
      <w:r w:rsidRPr="0086446B">
        <w:rPr>
          <w:rFonts w:ascii="Times New Roman" w:hAnsi="Times New Roman" w:cs="Times New Roman"/>
          <w:sz w:val="18"/>
          <w:szCs w:val="18"/>
        </w:rPr>
        <w:t>See Innovation Paradox, World Bank (2017). The National Innovation System (NIS) frames the scope of innovation policies and institutions to a wider view of markets, institutions, and individuals and the links among them. On the demand side, it helps identify the key constraints faced by enterprises – i.e. existing firms and new/start-ups while on the supply side it shall review the research sector (GRIs and universities), business development services. Innovation infrastructure includes a country’s accumulated knowledge stock and talent pool; national investment and policy priorities -- such as higher education spending and intellectual property protection; the availability of information technology infrastructure</w:t>
      </w:r>
      <w:r w:rsidRPr="0086446B">
        <w:t>; and openness to competition, which will exert a cross-cutting impact on innovation across sectors.</w:t>
      </w:r>
    </w:p>
  </w:endnote>
  <w:endnote w:id="58">
    <w:p w14:paraId="2CD03B3A" w14:textId="77777777" w:rsidR="006A439E" w:rsidRPr="000B3AC5" w:rsidRDefault="006A439E" w:rsidP="006369C1">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This draws on the Mid-term Evaluation of the 2011-2016 MSMED (Jan. 2014) and empirical literature and interviews with stakeholders held during 2018 mission.</w:t>
      </w:r>
    </w:p>
  </w:endnote>
  <w:endnote w:id="59">
    <w:p w14:paraId="266219F1" w14:textId="77777777" w:rsidR="006A439E" w:rsidRPr="000B3AC5" w:rsidRDefault="006A439E" w:rsidP="00EC7409">
      <w:pPr>
        <w:pStyle w:val="EndnoteText"/>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This report uses the term “early stage entrepreneurs” and “start-ups” interchangeably, and clearly differentiates them from conventional SMEs or livelihood focused microenterprises that do not promote innovative products/processes or business models.</w:t>
      </w:r>
    </w:p>
  </w:endnote>
  <w:endnote w:id="60">
    <w:p w14:paraId="7BF71A75" w14:textId="77777777" w:rsidR="006A439E" w:rsidRPr="000B3AC5" w:rsidRDefault="006A439E" w:rsidP="006A424B">
      <w:pPr>
        <w:pStyle w:val="EndnoteText"/>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In line with the Government’s priorities, the overall Programmatic MSME ASA focuses on both existing innovative firms as well as new firms. The latter is the focus of this note while the former is being covered under the productivity note. It is worth emphasizing that the approach to study new and early stage entrepreneurship versus entrepreneurship in existing firms is driven primarily due to different data and methodology.</w:t>
      </w:r>
    </w:p>
  </w:endnote>
  <w:endnote w:id="61">
    <w:p w14:paraId="51BEEF3E" w14:textId="77777777" w:rsidR="006A439E" w:rsidRPr="000B3AC5" w:rsidRDefault="006A439E" w:rsidP="006A424B">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For Colombia, see Eslava and Haltiwanger, 2015. Census data for Moroccan, Tunisian and Ethiopian firms, also indicates that startups and large firms account for the bulk of net job creation (Freund 2011)</w:t>
      </w:r>
      <w:r w:rsidRPr="000B3AC5">
        <w:rPr>
          <w:rFonts w:ascii="Times New Roman" w:hAnsi="Times New Roman" w:cs="Times New Roman"/>
          <w:b/>
          <w:sz w:val="18"/>
          <w:szCs w:val="18"/>
        </w:rPr>
        <w:t xml:space="preserve">. </w:t>
      </w:r>
      <w:r w:rsidRPr="000B3AC5">
        <w:rPr>
          <w:rFonts w:ascii="Times New Roman" w:hAnsi="Times New Roman" w:cs="Times New Roman"/>
          <w:sz w:val="18"/>
          <w:szCs w:val="18"/>
        </w:rPr>
        <w:t xml:space="preserve">New research by the World Bank (2018), focusing on a select group of 11 developing countries across the globe, supports the earlier findings that high growth episodes tend to be drawn from a younger population of </w:t>
      </w:r>
      <w:proofErr w:type="gramStart"/>
      <w:r w:rsidRPr="000B3AC5">
        <w:rPr>
          <w:rFonts w:ascii="Times New Roman" w:hAnsi="Times New Roman" w:cs="Times New Roman"/>
          <w:sz w:val="18"/>
          <w:szCs w:val="18"/>
        </w:rPr>
        <w:t>firms</w:t>
      </w:r>
      <w:proofErr w:type="gramEnd"/>
      <w:r w:rsidRPr="000B3AC5">
        <w:rPr>
          <w:rFonts w:ascii="Times New Roman" w:hAnsi="Times New Roman" w:cs="Times New Roman"/>
          <w:sz w:val="18"/>
          <w:szCs w:val="18"/>
        </w:rPr>
        <w:t xml:space="preserve"> </w:t>
      </w:r>
      <w:r w:rsidRPr="000B3AC5">
        <w:rPr>
          <w:rFonts w:ascii="Times New Roman" w:hAnsi="Times New Roman" w:cs="Times New Roman"/>
          <w:i/>
          <w:sz w:val="18"/>
          <w:szCs w:val="18"/>
        </w:rPr>
        <w:t>vis a vis</w:t>
      </w:r>
      <w:r w:rsidRPr="000B3AC5">
        <w:rPr>
          <w:rFonts w:ascii="Times New Roman" w:hAnsi="Times New Roman" w:cs="Times New Roman"/>
          <w:sz w:val="18"/>
          <w:szCs w:val="18"/>
        </w:rPr>
        <w:t xml:space="preserve"> an average firm but they are not necessarily small. Moreover, these can be found across sectors and are not necessarily more common in high-tech industries.  </w:t>
      </w:r>
    </w:p>
  </w:endnote>
  <w:endnote w:id="62">
    <w:p w14:paraId="24ECF75D" w14:textId="77777777" w:rsidR="006A439E" w:rsidRPr="000B3AC5" w:rsidRDefault="006A439E" w:rsidP="006A424B">
      <w:pPr>
        <w:pStyle w:val="EndnoteText"/>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The emerging technologies cover robotics, 3 D printing, artificial intelligence (AI) and machine learning), the Internet of things, cloud computing and cognitive computing. Together the new and existing technologies can catalyze systems new systems in distribution and procurement, new systems in the development of products and services, among other things.</w:t>
      </w:r>
    </w:p>
  </w:endnote>
  <w:endnote w:id="63">
    <w:p w14:paraId="31DA7C75" w14:textId="77777777" w:rsidR="006A439E" w:rsidRPr="000B3AC5" w:rsidRDefault="006A439E" w:rsidP="006A424B">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To support these goals, a Startup Ecosystem Development program 2016-2021 has been rolled out, and a new Innovative Startup Act has been recently approved. Details are discussed under section 4.</w:t>
      </w:r>
    </w:p>
  </w:endnote>
  <w:endnote w:id="64">
    <w:p w14:paraId="25E56DE5" w14:textId="77777777" w:rsidR="006A439E" w:rsidRPr="000B3AC5" w:rsidRDefault="006A439E" w:rsidP="006A424B">
      <w:pPr>
        <w:spacing w:after="0" w:line="240" w:lineRule="auto"/>
        <w:jc w:val="both"/>
        <w:rPr>
          <w:rFonts w:cs="Times New Roman"/>
          <w:sz w:val="18"/>
          <w:szCs w:val="18"/>
        </w:rPr>
      </w:pPr>
      <w:r w:rsidRPr="000B3AC5">
        <w:rPr>
          <w:rStyle w:val="EndnoteReference"/>
          <w:rFonts w:cs="Times New Roman"/>
          <w:sz w:val="18"/>
          <w:szCs w:val="18"/>
        </w:rPr>
        <w:endnoteRef/>
      </w:r>
      <w:r w:rsidRPr="000B3AC5">
        <w:rPr>
          <w:rFonts w:cs="Times New Roman"/>
          <w:sz w:val="18"/>
          <w:szCs w:val="18"/>
        </w:rPr>
        <w:t xml:space="preserve"> Schoar (2009) defines</w:t>
      </w:r>
      <w:r w:rsidRPr="000B3AC5">
        <w:rPr>
          <w:rFonts w:cs="Times New Roman"/>
          <w:i/>
          <w:sz w:val="18"/>
          <w:szCs w:val="18"/>
        </w:rPr>
        <w:t xml:space="preserve"> “</w:t>
      </w:r>
      <w:r w:rsidRPr="000B3AC5">
        <w:rPr>
          <w:rFonts w:cs="Times New Roman"/>
          <w:sz w:val="18"/>
          <w:szCs w:val="18"/>
        </w:rPr>
        <w:t xml:space="preserve">necessity” (or subsistence) entrepreneur is someone who engages in entrepreneurial activity primarily as a means of providing subsistence income to himself/herself. Subsistence entrepreneurs typically do not aspire to grow the business to the point of creating employment opportunities for workers outside of their immediate family. On the other hand, “innovative” (i.e. “growth” or “transformational” or “opportunity”) entrepreneur is one who aims to create large, vibrant business that grows much beyond the scope of an individual’s subsistence needs and provide jobs and income for others. </w:t>
      </w:r>
    </w:p>
  </w:endnote>
  <w:endnote w:id="65">
    <w:p w14:paraId="6DB5B86A" w14:textId="77777777" w:rsidR="006A439E" w:rsidRPr="000B3AC5" w:rsidRDefault="006A439E" w:rsidP="006A424B">
      <w:pPr>
        <w:pStyle w:val="EndnoteText"/>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For this report when referring to startups, we subsume pre-seed and seed stages.  Pre-seed starts from the point of inception when an initial product or idea is developed (i.e. idea stage) to the point where a product demonstrating basic design features is developed (also called “minimum via product). At the seed stage, startup funding is sought by marketing and selling of products to potential funders.  </w:t>
      </w:r>
    </w:p>
  </w:endnote>
  <w:endnote w:id="66">
    <w:p w14:paraId="6F70AC9F" w14:textId="77777777" w:rsidR="006A439E" w:rsidRPr="000B3AC5" w:rsidRDefault="006A439E" w:rsidP="006A424B">
      <w:pPr>
        <w:pStyle w:val="EndnoteText"/>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For instance, accessing finance at the start-up stage is much more challenging than at the mature/established stage. Unlike the latter stage, specifications of an innovative product at start-up stage are not very visible to the financers. Private sector financers are thus more reluctant to invest in startups which may be on the ideation/pre-seed and seed stages and thus may have yet to prove that their products or services work.</w:t>
      </w:r>
    </w:p>
  </w:endnote>
  <w:endnote w:id="67">
    <w:p w14:paraId="509B422D" w14:textId="77777777" w:rsidR="006A439E" w:rsidRPr="000B3AC5" w:rsidRDefault="006A439E" w:rsidP="006A424B">
      <w:pPr>
        <w:pStyle w:val="EndnoteText"/>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For example, incubation services may support the creation of start-ups, but they address neither the post-entry growth barriers nor the market impediments facing established SMEs, such as family businesses. In addition, sectoral differences may also play a role.</w:t>
      </w:r>
    </w:p>
  </w:endnote>
  <w:endnote w:id="68">
    <w:p w14:paraId="6F46A045" w14:textId="77777777" w:rsidR="006A439E" w:rsidRPr="000B3AC5" w:rsidRDefault="006A439E" w:rsidP="006A424B">
      <w:pPr>
        <w:pStyle w:val="EndnoteText"/>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Aside from asymmetric information being the highest in the earliest stages, it is typically presumed that externalities are higher in earlier stages than in later stages of the innovation process, when in principle firms are better able to capture the benefits from their innovation. Both types of market failures are used as justification for Government intervention.</w:t>
      </w:r>
    </w:p>
  </w:endnote>
  <w:endnote w:id="69">
    <w:p w14:paraId="037F74CD" w14:textId="77777777" w:rsidR="006A439E" w:rsidRPr="000B3AC5" w:rsidRDefault="006A439E" w:rsidP="006A424B">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This is due the possibility of others copying their ideas and creating spillovers.</w:t>
      </w:r>
    </w:p>
  </w:endnote>
  <w:endnote w:id="70">
    <w:p w14:paraId="4BB08828" w14:textId="77777777" w:rsidR="006A439E" w:rsidRPr="000B3AC5" w:rsidRDefault="006A439E" w:rsidP="006A424B">
      <w:pPr>
        <w:pStyle w:val="EndnoteText"/>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This draws on the framework from Cusolito and Maloney (2018). External factors are generally deemed outside the control of the individual firm while internal factors are considered within the control of the firm. Nonetheless, this categorization has limitation as the internal factors – e.g.  human capital and innovation needs - may also be affected by the external environment. It is worth emphasizing that external and internal factors to the firm that affect productivity, innovation, and entrepreneurship performance are interlinked </w:t>
      </w:r>
      <w:proofErr w:type="gramStart"/>
      <w:r w:rsidRPr="000B3AC5">
        <w:rPr>
          <w:rFonts w:ascii="Times New Roman" w:hAnsi="Times New Roman" w:cs="Times New Roman"/>
          <w:sz w:val="18"/>
          <w:szCs w:val="18"/>
        </w:rPr>
        <w:t>and also</w:t>
      </w:r>
      <w:proofErr w:type="gramEnd"/>
      <w:r w:rsidRPr="000B3AC5">
        <w:rPr>
          <w:rFonts w:ascii="Times New Roman" w:hAnsi="Times New Roman" w:cs="Times New Roman"/>
          <w:sz w:val="18"/>
          <w:szCs w:val="18"/>
        </w:rPr>
        <w:t xml:space="preserve"> affect each other.  </w:t>
      </w:r>
    </w:p>
  </w:endnote>
  <w:endnote w:id="71">
    <w:p w14:paraId="4E643C66" w14:textId="77777777" w:rsidR="006A439E" w:rsidRPr="000B3AC5" w:rsidRDefault="006A439E" w:rsidP="006A424B">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Mason C. and Brown R. 2014. </w:t>
      </w:r>
    </w:p>
  </w:endnote>
  <w:endnote w:id="72">
    <w:p w14:paraId="766DF509" w14:textId="77777777" w:rsidR="006A439E" w:rsidRPr="000B3AC5" w:rsidRDefault="006A439E" w:rsidP="006A424B">
      <w:pPr>
        <w:pStyle w:val="EndnoteText"/>
        <w:jc w:val="both"/>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There may also be non-governmental organizations - such as small-business associations and private foundation grants - that offer advice and mentoring to entrepreneurs (e.g. through entrepreneurship centers or websites). Multilateral and bilateral development partners also support entrepreneurial programs.</w:t>
      </w:r>
    </w:p>
  </w:endnote>
  <w:endnote w:id="73">
    <w:p w14:paraId="5EA21A5D" w14:textId="77777777" w:rsidR="006A439E" w:rsidRPr="000B3AC5" w:rsidRDefault="006A439E" w:rsidP="00E941AF">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w:t>
      </w:r>
      <w:hyperlink r:id="rId5" w:history="1">
        <w:r w:rsidRPr="000B3AC5">
          <w:rPr>
            <w:rStyle w:val="Hyperlink"/>
            <w:rFonts w:ascii="Times New Roman" w:hAnsi="Times New Roman" w:cs="Times New Roman"/>
            <w:sz w:val="18"/>
            <w:szCs w:val="18"/>
          </w:rPr>
          <w:t>http://www.senate.gov.ph/press_release/2018/0516_prib3.asp</w:t>
        </w:r>
      </w:hyperlink>
    </w:p>
  </w:endnote>
  <w:endnote w:id="74">
    <w:p w14:paraId="0C431ADE" w14:textId="77777777" w:rsidR="006A439E" w:rsidRPr="000B3AC5" w:rsidRDefault="006A439E" w:rsidP="000B3AC5">
      <w:pPr>
        <w:pStyle w:val="EndnoteText"/>
        <w:rPr>
          <w:rFonts w:ascii="Times New Roman" w:hAnsi="Times New Roman" w:cs="Times New Roman"/>
          <w:sz w:val="18"/>
          <w:szCs w:val="18"/>
        </w:rPr>
      </w:pPr>
      <w:r w:rsidRPr="000B3AC5">
        <w:rPr>
          <w:rStyle w:val="EndnoteReference"/>
          <w:rFonts w:ascii="Times New Roman" w:hAnsi="Times New Roman" w:cs="Times New Roman"/>
          <w:sz w:val="18"/>
          <w:szCs w:val="18"/>
        </w:rPr>
        <w:endnoteRef/>
      </w:r>
      <w:r w:rsidRPr="000B3AC5">
        <w:rPr>
          <w:rFonts w:ascii="Times New Roman" w:hAnsi="Times New Roman" w:cs="Times New Roman"/>
          <w:sz w:val="18"/>
          <w:szCs w:val="18"/>
        </w:rPr>
        <w:t xml:space="preserve"> Implementation is always decentralized, but in many cases is done by subnational offices of the same agency or there is a tight direct control from the central agency that ensures that implementation follows all the procedures, and more importantly is responsible for the quality of implementation. </w:t>
      </w:r>
    </w:p>
  </w:endnote>
  <w:endnote w:id="75">
    <w:p w14:paraId="63D3F687" w14:textId="77777777" w:rsidR="006A439E" w:rsidRPr="000B3AC5" w:rsidRDefault="006A439E" w:rsidP="00F918A8">
      <w:pPr>
        <w:spacing w:after="0" w:line="240" w:lineRule="auto"/>
        <w:rPr>
          <w:rFonts w:eastAsia="Times New Roman" w:cs="Times New Roman"/>
          <w:sz w:val="18"/>
          <w:szCs w:val="18"/>
        </w:rPr>
      </w:pPr>
      <w:r w:rsidRPr="000B3AC5">
        <w:rPr>
          <w:rStyle w:val="EndnoteReference"/>
          <w:rFonts w:cs="Times New Roman"/>
          <w:sz w:val="18"/>
          <w:szCs w:val="18"/>
        </w:rPr>
        <w:endnoteRef/>
      </w:r>
      <w:r w:rsidRPr="000B3AC5">
        <w:rPr>
          <w:rFonts w:cs="Times New Roman"/>
          <w:sz w:val="18"/>
          <w:szCs w:val="18"/>
        </w:rPr>
        <w:t xml:space="preserve"> Senate of the Philippines, (2018). </w:t>
      </w:r>
      <w:r w:rsidRPr="000B3AC5">
        <w:rPr>
          <w:rFonts w:eastAsia="Times New Roman" w:cs="Times New Roman"/>
          <w:color w:val="000000"/>
          <w:sz w:val="18"/>
          <w:szCs w:val="18"/>
          <w:shd w:val="clear" w:color="auto" w:fill="FFFFFF"/>
        </w:rPr>
        <w:t>Senate approves Innovative Startup Act</w:t>
      </w:r>
    </w:p>
    <w:p w14:paraId="55A57820" w14:textId="77777777" w:rsidR="006A439E" w:rsidRPr="000B3AC5" w:rsidRDefault="006A439E" w:rsidP="00F918A8">
      <w:pPr>
        <w:pStyle w:val="EndnoteText"/>
        <w:rPr>
          <w:rFonts w:ascii="Times New Roman" w:hAnsi="Times New Roman" w:cs="Times New Roman"/>
          <w:sz w:val="18"/>
          <w:szCs w:val="18"/>
        </w:rPr>
      </w:pPr>
      <w:hyperlink r:id="rId6" w:history="1">
        <w:r w:rsidRPr="000B3AC5">
          <w:rPr>
            <w:rStyle w:val="Hyperlink"/>
            <w:rFonts w:ascii="Times New Roman" w:hAnsi="Times New Roman" w:cs="Times New Roman"/>
            <w:sz w:val="18"/>
            <w:szCs w:val="18"/>
          </w:rPr>
          <w:t>http://www.senate.gov.ph/press_release/2018/0516_prib3.asp</w:t>
        </w:r>
      </w:hyperlink>
    </w:p>
  </w:endnote>
  <w:endnote w:id="76">
    <w:p w14:paraId="47FE50B8" w14:textId="77777777" w:rsidR="006A439E" w:rsidRPr="000B3AC5" w:rsidRDefault="006A439E" w:rsidP="00F918A8">
      <w:pPr>
        <w:shd w:val="clear" w:color="auto" w:fill="FFFFFF"/>
        <w:spacing w:after="0" w:line="240" w:lineRule="auto"/>
        <w:jc w:val="both"/>
        <w:rPr>
          <w:rFonts w:cs="Times New Roman"/>
          <w:color w:val="000000"/>
          <w:sz w:val="18"/>
          <w:szCs w:val="18"/>
        </w:rPr>
      </w:pPr>
      <w:r w:rsidRPr="000B3AC5">
        <w:rPr>
          <w:rStyle w:val="EndnoteReference"/>
          <w:rFonts w:cs="Times New Roman"/>
          <w:sz w:val="18"/>
          <w:szCs w:val="18"/>
        </w:rPr>
        <w:endnoteRef/>
      </w:r>
      <w:r w:rsidRPr="000B3AC5">
        <w:rPr>
          <w:rFonts w:cs="Times New Roman"/>
          <w:sz w:val="18"/>
          <w:szCs w:val="18"/>
        </w:rPr>
        <w:t xml:space="preserve"> </w:t>
      </w:r>
      <w:r w:rsidRPr="000B3AC5">
        <w:rPr>
          <w:rFonts w:cs="Times New Roman"/>
          <w:color w:val="000000"/>
          <w:sz w:val="18"/>
          <w:szCs w:val="18"/>
        </w:rPr>
        <w:t>Under the bill, the benefits will include: (1) waived application fees; (2) Refund of fees for the permits and certificates; and (3) Expedited processing of permits and certificates. Other benefits include research and development grants, exemption from fees and charges, exemption from fees and charges levied by the national government agencies for the use of equipment, facilities, or services availed by the innovative startup, access to applicable benefits and incentives provided by the Intellectual Property of the Philippines; and Subsidy for Visa application, renewal, or extension of foreign owners, employees, and/or investors of an innovative startup and support service provider, and exemption from the alien employment permit.</w:t>
      </w:r>
    </w:p>
  </w:endnote>
  <w:endnote w:id="77">
    <w:p w14:paraId="026B8EAB" w14:textId="77777777" w:rsidR="006A439E" w:rsidRPr="000B3AC5" w:rsidRDefault="006A439E" w:rsidP="00F918A8">
      <w:pPr>
        <w:spacing w:after="0" w:line="240" w:lineRule="auto"/>
        <w:rPr>
          <w:rFonts w:cs="Times New Roman"/>
          <w:sz w:val="18"/>
          <w:szCs w:val="18"/>
        </w:rPr>
      </w:pPr>
      <w:r w:rsidRPr="000B3AC5">
        <w:rPr>
          <w:rStyle w:val="EndnoteReference"/>
          <w:rFonts w:cs="Times New Roman"/>
          <w:sz w:val="18"/>
          <w:szCs w:val="18"/>
        </w:rPr>
        <w:endnoteRef/>
      </w:r>
      <w:r w:rsidRPr="000B3AC5">
        <w:rPr>
          <w:rFonts w:cs="Times New Roman"/>
          <w:sz w:val="18"/>
          <w:szCs w:val="18"/>
        </w:rPr>
        <w:t xml:space="preserve"> </w:t>
      </w:r>
      <w:hyperlink r:id="rId7" w:history="1">
        <w:r w:rsidRPr="000B3AC5">
          <w:rPr>
            <w:rStyle w:val="Hyperlink"/>
            <w:rFonts w:cs="Times New Roman"/>
            <w:sz w:val="18"/>
            <w:szCs w:val="18"/>
          </w:rPr>
          <w:t>http://www.tradelinephilippines.dti.gov.ph/web/tradeline-portal/startup-ecosystem-development-program-sedp-</w:t>
        </w:r>
      </w:hyperlink>
    </w:p>
  </w:endnote>
  <w:endnote w:id="78">
    <w:p w14:paraId="734CF834" w14:textId="77777777" w:rsidR="006A439E" w:rsidRPr="000B3AC5" w:rsidRDefault="006A439E" w:rsidP="00F918A8">
      <w:pPr>
        <w:spacing w:after="0" w:line="240" w:lineRule="auto"/>
        <w:rPr>
          <w:rFonts w:eastAsia="Times New Roman" w:cs="Times New Roman"/>
          <w:sz w:val="18"/>
          <w:szCs w:val="18"/>
          <w:lang w:val="de-DE"/>
        </w:rPr>
      </w:pPr>
      <w:r w:rsidRPr="000B3AC5">
        <w:rPr>
          <w:rStyle w:val="EndnoteReference"/>
          <w:rFonts w:cs="Times New Roman"/>
          <w:sz w:val="18"/>
          <w:szCs w:val="18"/>
        </w:rPr>
        <w:endnoteRef/>
      </w:r>
      <w:r w:rsidRPr="000B3AC5">
        <w:rPr>
          <w:rFonts w:cs="Times New Roman"/>
          <w:sz w:val="18"/>
          <w:szCs w:val="18"/>
          <w:lang w:val="de-DE"/>
        </w:rPr>
        <w:t xml:space="preserve"> </w:t>
      </w:r>
      <w:r w:rsidRPr="000B3AC5">
        <w:rPr>
          <w:rFonts w:eastAsia="Times New Roman" w:cs="Times New Roman"/>
          <w:color w:val="000000"/>
          <w:sz w:val="18"/>
          <w:szCs w:val="18"/>
          <w:lang w:val="de-DE"/>
        </w:rPr>
        <w:t>Isenberg, D. (2010)</w:t>
      </w:r>
    </w:p>
  </w:endnote>
  <w:endnote w:id="79">
    <w:p w14:paraId="6ADAEB09" w14:textId="77777777" w:rsidR="006A439E" w:rsidRDefault="006A439E" w:rsidP="00F918A8">
      <w:pPr>
        <w:spacing w:after="0" w:line="240" w:lineRule="auto"/>
        <w:rPr>
          <w:rFonts w:eastAsia="Times New Roman" w:cs="Times New Roman"/>
          <w:color w:val="000000"/>
          <w:sz w:val="18"/>
          <w:szCs w:val="18"/>
        </w:rPr>
      </w:pPr>
      <w:r w:rsidRPr="000B3AC5">
        <w:rPr>
          <w:rStyle w:val="EndnoteReference"/>
          <w:rFonts w:cs="Times New Roman"/>
          <w:sz w:val="18"/>
          <w:szCs w:val="18"/>
        </w:rPr>
        <w:endnoteRef/>
      </w:r>
      <w:r w:rsidRPr="000B3AC5">
        <w:rPr>
          <w:rFonts w:cs="Times New Roman"/>
          <w:sz w:val="18"/>
          <w:szCs w:val="18"/>
          <w:lang w:val="de-DE"/>
        </w:rPr>
        <w:t xml:space="preserve"> </w:t>
      </w:r>
      <w:r w:rsidRPr="000B3AC5">
        <w:rPr>
          <w:rFonts w:eastAsia="Times New Roman" w:cs="Times New Roman"/>
          <w:color w:val="000000"/>
          <w:sz w:val="18"/>
          <w:szCs w:val="18"/>
          <w:lang w:val="de-DE"/>
        </w:rPr>
        <w:t xml:space="preserve">Spigel, B., Stam, E., (2016). </w:t>
      </w:r>
      <w:r w:rsidRPr="000B3AC5">
        <w:rPr>
          <w:rFonts w:eastAsia="Times New Roman" w:cs="Times New Roman"/>
          <w:color w:val="000000"/>
          <w:sz w:val="18"/>
          <w:szCs w:val="18"/>
        </w:rPr>
        <w:t>“</w:t>
      </w:r>
      <w:r w:rsidRPr="000B3AC5">
        <w:rPr>
          <w:rFonts w:eastAsia="Times New Roman" w:cs="Times New Roman"/>
          <w:i/>
          <w:iCs/>
          <w:color w:val="000000"/>
          <w:sz w:val="18"/>
          <w:szCs w:val="18"/>
        </w:rPr>
        <w:t>Entrepreneurial Ecosystems</w:t>
      </w:r>
      <w:r w:rsidRPr="000B3AC5">
        <w:rPr>
          <w:rFonts w:eastAsia="Times New Roman" w:cs="Times New Roman"/>
          <w:color w:val="000000"/>
          <w:sz w:val="18"/>
          <w:szCs w:val="18"/>
        </w:rPr>
        <w:t>.” Utrecht School of Economics, Tjalling C. Koopmans Research Institute, Discussion Paper Series 16-13.</w:t>
      </w:r>
    </w:p>
    <w:p w14:paraId="6B77AAAF" w14:textId="77777777" w:rsidR="006A439E" w:rsidRDefault="006A439E" w:rsidP="00F918A8">
      <w:pPr>
        <w:spacing w:after="0" w:line="240" w:lineRule="auto"/>
        <w:rPr>
          <w:rFonts w:eastAsia="Times New Roman" w:cs="Times New Roman"/>
          <w:sz w:val="18"/>
          <w:szCs w:val="18"/>
        </w:rPr>
      </w:pPr>
    </w:p>
    <w:p w14:paraId="68DBE37F" w14:textId="77777777" w:rsidR="006A439E" w:rsidRDefault="006A439E" w:rsidP="00F918A8">
      <w:pPr>
        <w:spacing w:after="0" w:line="240" w:lineRule="auto"/>
        <w:rPr>
          <w:rFonts w:eastAsia="Times New Roman" w:cs="Times New Roman"/>
          <w:sz w:val="18"/>
          <w:szCs w:val="18"/>
        </w:rPr>
      </w:pPr>
    </w:p>
    <w:p w14:paraId="56B37CF1" w14:textId="77777777" w:rsidR="006A439E" w:rsidRDefault="006A439E" w:rsidP="00F918A8">
      <w:pPr>
        <w:spacing w:after="240" w:line="240" w:lineRule="auto"/>
        <w:rPr>
          <w:rFonts w:ascii="Times" w:hAnsi="Times"/>
          <w:b/>
        </w:rPr>
      </w:pPr>
    </w:p>
    <w:p w14:paraId="3ECD026B" w14:textId="77777777" w:rsidR="006A439E" w:rsidRDefault="006A439E" w:rsidP="00F918A8">
      <w:pPr>
        <w:spacing w:after="240" w:line="240" w:lineRule="auto"/>
        <w:rPr>
          <w:rFonts w:ascii="Times" w:hAnsi="Times"/>
          <w:b/>
        </w:rPr>
      </w:pPr>
    </w:p>
    <w:p w14:paraId="59E286AE" w14:textId="77777777" w:rsidR="006A439E" w:rsidRDefault="006A439E" w:rsidP="00F918A8">
      <w:pPr>
        <w:spacing w:after="240" w:line="240" w:lineRule="auto"/>
        <w:rPr>
          <w:rFonts w:ascii="Times" w:hAnsi="Times"/>
          <w:b/>
        </w:rPr>
      </w:pPr>
    </w:p>
    <w:p w14:paraId="6255A9CF" w14:textId="77777777" w:rsidR="006A439E" w:rsidRDefault="006A439E" w:rsidP="00F918A8">
      <w:pPr>
        <w:spacing w:after="240" w:line="240" w:lineRule="auto"/>
        <w:rPr>
          <w:rFonts w:ascii="Times" w:hAnsi="Times"/>
          <w:b/>
        </w:rPr>
      </w:pPr>
    </w:p>
    <w:p w14:paraId="0B6059EC" w14:textId="77777777" w:rsidR="006A439E" w:rsidRDefault="006A439E" w:rsidP="00F918A8">
      <w:pPr>
        <w:spacing w:after="240" w:line="240" w:lineRule="auto"/>
        <w:rPr>
          <w:rFonts w:ascii="Times" w:hAnsi="Times"/>
          <w:b/>
        </w:rPr>
      </w:pPr>
    </w:p>
    <w:p w14:paraId="0A665F8C" w14:textId="77777777" w:rsidR="006A439E" w:rsidRDefault="006A439E" w:rsidP="00F918A8">
      <w:pPr>
        <w:spacing w:after="240" w:line="240" w:lineRule="auto"/>
        <w:rPr>
          <w:rFonts w:ascii="Times" w:hAnsi="Times"/>
          <w:b/>
        </w:rPr>
      </w:pPr>
    </w:p>
    <w:p w14:paraId="146C22CD" w14:textId="77777777" w:rsidR="006A439E" w:rsidRDefault="006A439E" w:rsidP="00F918A8">
      <w:pPr>
        <w:spacing w:after="240" w:line="240" w:lineRule="auto"/>
        <w:rPr>
          <w:rFonts w:ascii="Times" w:hAnsi="Times"/>
          <w:b/>
        </w:rPr>
      </w:pPr>
    </w:p>
    <w:p w14:paraId="137FDB02" w14:textId="77777777" w:rsidR="006A439E" w:rsidRDefault="006A439E" w:rsidP="00F918A8">
      <w:pPr>
        <w:spacing w:after="240" w:line="240" w:lineRule="auto"/>
        <w:rPr>
          <w:rFonts w:ascii="Times" w:hAnsi="Times"/>
          <w:b/>
        </w:rPr>
      </w:pPr>
    </w:p>
    <w:p w14:paraId="2B01889C" w14:textId="77777777" w:rsidR="006A439E" w:rsidRDefault="006A439E" w:rsidP="00F918A8">
      <w:pPr>
        <w:spacing w:after="240" w:line="240" w:lineRule="auto"/>
        <w:rPr>
          <w:rFonts w:ascii="Times" w:hAnsi="Times"/>
          <w:b/>
        </w:rPr>
      </w:pPr>
    </w:p>
    <w:p w14:paraId="74E29AF1" w14:textId="77777777" w:rsidR="006A439E" w:rsidRDefault="006A439E" w:rsidP="00F918A8">
      <w:pPr>
        <w:spacing w:after="240" w:line="240" w:lineRule="auto"/>
        <w:rPr>
          <w:rFonts w:ascii="Times" w:hAnsi="Times"/>
          <w:b/>
        </w:rPr>
      </w:pPr>
    </w:p>
    <w:p w14:paraId="345EFA53" w14:textId="77777777" w:rsidR="006A439E" w:rsidRDefault="006A439E" w:rsidP="00F918A8">
      <w:pPr>
        <w:spacing w:after="240" w:line="240" w:lineRule="auto"/>
        <w:rPr>
          <w:rFonts w:ascii="Times" w:hAnsi="Times"/>
          <w:b/>
        </w:rPr>
      </w:pPr>
    </w:p>
    <w:p w14:paraId="3AB615D9" w14:textId="77777777" w:rsidR="006A439E" w:rsidRDefault="006A439E" w:rsidP="00F918A8">
      <w:pPr>
        <w:spacing w:after="240" w:line="240" w:lineRule="auto"/>
        <w:rPr>
          <w:rFonts w:ascii="Times" w:hAnsi="Times"/>
          <w:b/>
        </w:rPr>
      </w:pPr>
    </w:p>
    <w:p w14:paraId="7670FB8C" w14:textId="77777777" w:rsidR="006A439E" w:rsidRDefault="006A439E" w:rsidP="00F918A8">
      <w:pPr>
        <w:pStyle w:val="Heading1"/>
      </w:pPr>
      <w:r w:rsidRPr="001E0C12">
        <w:t>Annex 7: Dendrograms for firm innovation and SME development programs groupings in 2017</w:t>
      </w:r>
    </w:p>
    <w:p w14:paraId="676F2244" w14:textId="77777777" w:rsidR="006A439E" w:rsidRDefault="006A439E" w:rsidP="00F918A8"/>
    <w:p w14:paraId="2D828703" w14:textId="77777777" w:rsidR="006A439E" w:rsidRPr="001E0C12" w:rsidRDefault="006A439E" w:rsidP="00F918A8">
      <w:pPr>
        <w:rPr>
          <w:rFonts w:ascii="Times" w:hAnsi="Times" w:cs="Times New Roman"/>
        </w:rPr>
      </w:pPr>
      <w:r>
        <w:t>A note on the hierarchical clustering exercise that we conducted. In the chart below, t</w:t>
      </w:r>
      <w:r w:rsidRPr="001E0C12">
        <w:rPr>
          <w:rFonts w:ascii="Times" w:hAnsi="Times" w:cs="Times New Roman"/>
        </w:rPr>
        <w:t xml:space="preserve">he horizontal axis of the dendrogram represents the distance or dissimilarity between clusters. </w:t>
      </w:r>
      <w:r>
        <w:rPr>
          <w:rFonts w:ascii="Times" w:hAnsi="Times" w:cs="Times New Roman"/>
        </w:rPr>
        <w:t>At the same time, t</w:t>
      </w:r>
      <w:r w:rsidRPr="001E0C12">
        <w:rPr>
          <w:rFonts w:ascii="Times" w:hAnsi="Times" w:cs="Times New Roman"/>
        </w:rPr>
        <w:t xml:space="preserve">he vertical axis represents the </w:t>
      </w:r>
      <w:r>
        <w:rPr>
          <w:rFonts w:ascii="Times" w:hAnsi="Times" w:cs="Times New Roman"/>
        </w:rPr>
        <w:t xml:space="preserve">programs </w:t>
      </w:r>
      <w:r w:rsidRPr="001E0C12">
        <w:rPr>
          <w:rFonts w:ascii="Times" w:hAnsi="Times" w:cs="Times New Roman"/>
        </w:rPr>
        <w:t xml:space="preserve">and clusters. </w:t>
      </w:r>
      <w:r>
        <w:rPr>
          <w:rFonts w:ascii="Times" w:hAnsi="Times" w:cs="Times New Roman"/>
        </w:rPr>
        <w:t xml:space="preserve">Considering the need to visualize the </w:t>
      </w:r>
      <w:r w:rsidRPr="001E0C12">
        <w:rPr>
          <w:rFonts w:ascii="Times" w:hAnsi="Times" w:cs="Times New Roman"/>
        </w:rPr>
        <w:t>similarity</w:t>
      </w:r>
      <w:r>
        <w:rPr>
          <w:rFonts w:ascii="Times" w:hAnsi="Times" w:cs="Times New Roman"/>
        </w:rPr>
        <w:t>, e</w:t>
      </w:r>
      <w:r w:rsidRPr="001E0C12">
        <w:rPr>
          <w:rFonts w:ascii="Times" w:hAnsi="Times" w:cs="Times New Roman"/>
        </w:rPr>
        <w:t>ach fusion of two clusters is represented on the graph by the splitting of a horizontal line into two horizontal lines. The horizontal position of the split, shown by the short vertical bar, gives the distance (dissimilarity) between the two clusters</w:t>
      </w:r>
      <w:r>
        <w:rPr>
          <w:rFonts w:ascii="Times" w:hAnsi="Times" w:cs="Times New Roman"/>
        </w:rPr>
        <w:t xml:space="preserve"> (NCSS manual, 2014)</w:t>
      </w:r>
      <w:r w:rsidRPr="001E0C12">
        <w:rPr>
          <w:rFonts w:ascii="Times" w:hAnsi="Times" w:cs="Times New Roman"/>
        </w:rPr>
        <w:t>.</w:t>
      </w:r>
      <w:r>
        <w:rPr>
          <w:rFonts w:ascii="Times" w:hAnsi="Times" w:cs="Times New Roman"/>
        </w:rPr>
        <w:t xml:space="preserve"> The figure on the left side shows the clustering for all the programs in the sample. The graph on the right shows the cluster groups that we used for comparing the scope of the </w:t>
      </w:r>
      <w:proofErr w:type="gramStart"/>
      <w:r>
        <w:rPr>
          <w:rFonts w:ascii="Times" w:hAnsi="Times" w:cs="Times New Roman"/>
        </w:rPr>
        <w:t>programs, and</w:t>
      </w:r>
      <w:proofErr w:type="gramEnd"/>
      <w:r>
        <w:rPr>
          <w:rFonts w:ascii="Times" w:hAnsi="Times" w:cs="Times New Roman"/>
        </w:rPr>
        <w:t xml:space="preserve"> assessing redundancies. </w:t>
      </w:r>
    </w:p>
    <w:p w14:paraId="03823EAF" w14:textId="77777777" w:rsidR="006A439E" w:rsidRPr="001E0C12" w:rsidRDefault="006A439E" w:rsidP="00F918A8"/>
    <w:p w14:paraId="36AB62B7" w14:textId="77777777" w:rsidR="006A439E" w:rsidRDefault="006A439E" w:rsidP="00F918A8">
      <w:pPr>
        <w:spacing w:after="240" w:line="240" w:lineRule="auto"/>
        <w:rPr>
          <w:rFonts w:ascii="Times" w:hAnsi="Times"/>
          <w:b/>
        </w:rPr>
      </w:pPr>
      <w:r w:rsidRPr="00A55ABD">
        <w:rPr>
          <w:noProof/>
          <w:highlight w:val="yellow"/>
        </w:rPr>
        <w:drawing>
          <wp:inline distT="0" distB="0" distL="0" distR="0" wp14:anchorId="7A2356A6" wp14:editId="38C010DF">
            <wp:extent cx="4279692" cy="3516152"/>
            <wp:effectExtent l="0" t="0" r="698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7591" t="13638" r="6664" b="5166"/>
                    <a:stretch/>
                  </pic:blipFill>
                  <pic:spPr bwMode="auto">
                    <a:xfrm>
                      <a:off x="0" y="0"/>
                      <a:ext cx="4286392" cy="3521656"/>
                    </a:xfrm>
                    <a:prstGeom prst="rect">
                      <a:avLst/>
                    </a:prstGeom>
                    <a:noFill/>
                    <a:ln>
                      <a:noFill/>
                    </a:ln>
                    <a:extLst>
                      <a:ext uri="{53640926-AAD7-44D8-BBD7-CCE9431645EC}">
                        <a14:shadowObscured xmlns:a14="http://schemas.microsoft.com/office/drawing/2010/main"/>
                      </a:ext>
                    </a:extLst>
                  </pic:spPr>
                </pic:pic>
              </a:graphicData>
            </a:graphic>
          </wp:inline>
        </w:drawing>
      </w:r>
    </w:p>
    <w:p w14:paraId="67F6E796" w14:textId="77777777" w:rsidR="006A439E" w:rsidRDefault="006A439E" w:rsidP="00F918A8">
      <w:pPr>
        <w:spacing w:after="240" w:line="240" w:lineRule="auto"/>
        <w:rPr>
          <w:rFonts w:ascii="Times" w:hAnsi="Times"/>
        </w:rPr>
      </w:pPr>
      <w:r w:rsidRPr="00FF6DF5">
        <w:rPr>
          <w:rFonts w:ascii="Times" w:hAnsi="Times"/>
          <w:sz w:val="18"/>
          <w:szCs w:val="18"/>
        </w:rPr>
        <w:t>Source: Authors calculations based on various DTI and DoST sources, interviews with representatives of program management units, and implementing agencies.</w:t>
      </w:r>
    </w:p>
    <w:p w14:paraId="061F4EEC" w14:textId="77777777" w:rsidR="006A439E" w:rsidRPr="000B3AC5" w:rsidRDefault="006A439E" w:rsidP="00F918A8">
      <w:pPr>
        <w:spacing w:after="0" w:line="240" w:lineRule="auto"/>
        <w:rPr>
          <w:rFonts w:eastAsia="Times New Roman" w:cs="Times New Roman"/>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imes Roman">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rd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2371388"/>
      <w:docPartObj>
        <w:docPartGallery w:val="Page Numbers (Bottom of Page)"/>
        <w:docPartUnique/>
      </w:docPartObj>
    </w:sdtPr>
    <w:sdtEndPr>
      <w:rPr>
        <w:noProof/>
      </w:rPr>
    </w:sdtEndPr>
    <w:sdtContent>
      <w:p w14:paraId="1E9BAB5D" w14:textId="77777777" w:rsidR="006A439E" w:rsidRDefault="006A439E">
        <w:pPr>
          <w:pStyle w:val="Footer"/>
          <w:jc w:val="center"/>
        </w:pPr>
        <w:r w:rsidRPr="000B3AC5">
          <w:rPr>
            <w:sz w:val="20"/>
            <w:szCs w:val="20"/>
          </w:rPr>
          <w:fldChar w:fldCharType="begin"/>
        </w:r>
        <w:r w:rsidRPr="000B3AC5">
          <w:rPr>
            <w:sz w:val="20"/>
            <w:szCs w:val="20"/>
          </w:rPr>
          <w:instrText xml:space="preserve"> PAGE   \* MERGEFORMAT </w:instrText>
        </w:r>
        <w:r w:rsidRPr="000B3AC5">
          <w:rPr>
            <w:sz w:val="20"/>
            <w:szCs w:val="20"/>
          </w:rPr>
          <w:fldChar w:fldCharType="separate"/>
        </w:r>
        <w:r w:rsidRPr="000B3AC5">
          <w:rPr>
            <w:noProof/>
            <w:sz w:val="20"/>
            <w:szCs w:val="20"/>
          </w:rPr>
          <w:t>2</w:t>
        </w:r>
        <w:r w:rsidRPr="000B3AC5">
          <w:rPr>
            <w:noProof/>
            <w:sz w:val="20"/>
            <w:szCs w:val="20"/>
          </w:rPr>
          <w:fldChar w:fldCharType="end"/>
        </w:r>
      </w:p>
    </w:sdtContent>
  </w:sdt>
  <w:p w14:paraId="5509D2BF" w14:textId="77777777" w:rsidR="006A439E" w:rsidRDefault="006A43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3D15B" w14:textId="77777777" w:rsidR="006A439E" w:rsidRDefault="006A439E" w:rsidP="00064115">
      <w:pPr>
        <w:spacing w:after="0" w:line="240" w:lineRule="auto"/>
      </w:pPr>
      <w:r>
        <w:separator/>
      </w:r>
    </w:p>
  </w:footnote>
  <w:footnote w:type="continuationSeparator" w:id="0">
    <w:p w14:paraId="171549D9" w14:textId="77777777" w:rsidR="006A439E" w:rsidRDefault="006A439E" w:rsidP="00064115">
      <w:pPr>
        <w:spacing w:after="0" w:line="240" w:lineRule="auto"/>
      </w:pPr>
      <w:r>
        <w:continuationSeparator/>
      </w:r>
    </w:p>
  </w:footnote>
  <w:footnote w:type="continuationNotice" w:id="1">
    <w:p w14:paraId="015F8F9F" w14:textId="77777777" w:rsidR="006A439E" w:rsidRDefault="006A439E">
      <w:pPr>
        <w:spacing w:after="0" w:line="240" w:lineRule="auto"/>
      </w:pPr>
    </w:p>
  </w:footnote>
  <w:footnote w:id="2">
    <w:p w14:paraId="165F1DD9" w14:textId="77777777" w:rsidR="006A439E" w:rsidRDefault="006A439E" w:rsidP="00517B4C">
      <w:pPr>
        <w:pStyle w:val="FootnoteText"/>
      </w:pPr>
      <w:r>
        <w:rPr>
          <w:rStyle w:val="FootnoteReference"/>
        </w:rPr>
        <w:footnoteRef/>
      </w:r>
      <w:r w:rsidRPr="00D855CC">
        <w:rPr>
          <w:rFonts w:cs="Times New Roman"/>
          <w:sz w:val="18"/>
          <w:szCs w:val="18"/>
        </w:rPr>
        <w:t>The 2016 Occupational Wages Survey estimated that less than one quarter of wage workers earn middle-class wages (over 17,000 Philippine pesos or $325 per month), with some variation across sectors.</w:t>
      </w:r>
    </w:p>
  </w:footnote>
  <w:footnote w:id="3">
    <w:p w14:paraId="5A08D7C9" w14:textId="77777777" w:rsidR="006A439E" w:rsidRDefault="006A439E" w:rsidP="00517B4C">
      <w:pPr>
        <w:pStyle w:val="FootnoteText"/>
      </w:pPr>
      <w:r>
        <w:rPr>
          <w:rStyle w:val="FootnoteReference"/>
        </w:rPr>
        <w:footnoteRef/>
      </w:r>
      <w:r>
        <w:t xml:space="preserve"> </w:t>
      </w:r>
      <w:r w:rsidRPr="00740E5E">
        <w:rPr>
          <w:rFonts w:cs="Times New Roman"/>
          <w:sz w:val="18"/>
          <w:szCs w:val="18"/>
        </w:rPr>
        <w:t>This is reflected in the high underemployment in the Philippines - which remains at 18.3 percent - and has been stagnant at this relatively high level for over a decade despite the recent accelerated economic growth.</w:t>
      </w:r>
      <w:r>
        <w:rPr>
          <w:rFonts w:cs="Times New Roman"/>
          <w:sz w:val="18"/>
          <w:szCs w:val="18"/>
        </w:rPr>
        <w:t xml:space="preserve"> </w:t>
      </w:r>
    </w:p>
  </w:footnote>
  <w:footnote w:id="4">
    <w:p w14:paraId="204B1E93" w14:textId="77777777" w:rsidR="006A439E" w:rsidRDefault="006A439E" w:rsidP="00517B4C">
      <w:pPr>
        <w:pStyle w:val="FootnoteText"/>
      </w:pPr>
      <w:r>
        <w:rPr>
          <w:rStyle w:val="FootnoteReference"/>
        </w:rPr>
        <w:footnoteRef/>
      </w:r>
      <w:r>
        <w:t xml:space="preserve"> </w:t>
      </w:r>
      <w:r w:rsidRPr="00B04665">
        <w:rPr>
          <w:rFonts w:cs="Times New Roman"/>
          <w:sz w:val="18"/>
          <w:szCs w:val="18"/>
        </w:rPr>
        <w:t>See Philippines GEM Report, 2015-16. Established businesses refer enterprises that have existed for more than 3.5 years</w:t>
      </w:r>
      <w:r>
        <w:rPr>
          <w:rFonts w:cs="Times New Roman"/>
          <w:sz w:val="18"/>
          <w:szCs w:val="18"/>
        </w:rPr>
        <w:t>, and effectively moved to a more mature stage of firm life cycle</w:t>
      </w:r>
      <w:r w:rsidRPr="00B04665">
        <w:rPr>
          <w:rFonts w:cs="Times New Roman"/>
          <w:sz w:val="18"/>
          <w:szCs w:val="18"/>
        </w:rPr>
        <w:t>.</w:t>
      </w:r>
    </w:p>
  </w:footnote>
  <w:footnote w:id="5">
    <w:p w14:paraId="1347B867" w14:textId="77777777" w:rsidR="006A439E" w:rsidRPr="00F2511A" w:rsidRDefault="006A439E" w:rsidP="00363065">
      <w:pPr>
        <w:pStyle w:val="DBFtNote"/>
      </w:pPr>
      <w:r w:rsidRPr="00F2511A">
        <w:rPr>
          <w:rStyle w:val="FootnoteReference"/>
          <w:i/>
        </w:rPr>
        <w:footnoteRef/>
      </w:r>
      <w:r w:rsidRPr="00F2511A">
        <w:rPr>
          <w:i/>
        </w:rPr>
        <w:t xml:space="preserve"> </w:t>
      </w:r>
      <w:r>
        <w:t>The ranking is based on the Distance to F</w:t>
      </w:r>
      <w:r w:rsidRPr="00F2511A">
        <w:t>rontier</w:t>
      </w:r>
      <w:r>
        <w:t xml:space="preserve"> (DTF) metric were the</w:t>
      </w:r>
      <w:r w:rsidRPr="00F2511A">
        <w:t xml:space="preserve"> score captures the gap between an economy’s performance and a measure of best practice across the indicators for 10 Doing Business topics. The closer the score is to 100, the closer the regulatory practice is to global best.</w:t>
      </w:r>
      <w:r>
        <w:t xml:space="preserve"> </w:t>
      </w:r>
      <w:r w:rsidRPr="00F2511A">
        <w:t xml:space="preserve">For further details on how the DTF and the ease of doing business rankings are calculated, see </w:t>
      </w:r>
      <w:hyperlink r:id="rId1" w:history="1">
        <w:r w:rsidRPr="00F2511A">
          <w:t>www.doingbusiness.org</w:t>
        </w:r>
      </w:hyperlink>
      <w:r w:rsidRPr="00F2511A">
        <w:t xml:space="preserve">. </w:t>
      </w:r>
    </w:p>
  </w:footnote>
  <w:footnote w:id="6">
    <w:p w14:paraId="6B8A611B" w14:textId="77777777" w:rsidR="006A439E" w:rsidRPr="008F268C" w:rsidRDefault="006A439E" w:rsidP="00B17AE7">
      <w:pPr>
        <w:pStyle w:val="FootnoteText"/>
      </w:pPr>
      <w:r>
        <w:rPr>
          <w:rStyle w:val="FootnoteReference"/>
        </w:rPr>
        <w:footnoteRef/>
      </w:r>
      <w:r>
        <w:t xml:space="preserve"> ASEAN Strategic Action Plan for SME Development, 2016-2025, </w:t>
      </w:r>
      <w:r w:rsidRPr="00F0570C">
        <w:t>ASEAN 2017 MSME Development Summit: Manila Call to Action</w:t>
      </w:r>
      <w:r>
        <w:t xml:space="preserve">, and </w:t>
      </w:r>
      <w:r w:rsidRPr="008F268C">
        <w:t>APEC Strategy for SME Development 2017-2020</w:t>
      </w:r>
      <w:r>
        <w:t>.</w:t>
      </w:r>
    </w:p>
  </w:footnote>
  <w:footnote w:id="7">
    <w:p w14:paraId="36AC6BDB" w14:textId="77777777" w:rsidR="006A439E" w:rsidRDefault="006A439E" w:rsidP="00DA426E">
      <w:pPr>
        <w:pStyle w:val="FootnoteText"/>
      </w:pPr>
      <w:r>
        <w:rPr>
          <w:rStyle w:val="FootnoteReference"/>
        </w:rPr>
        <w:footnoteRef/>
      </w:r>
      <w:r>
        <w:t xml:space="preserve"> Possibly strengthening </w:t>
      </w:r>
      <w:r w:rsidRPr="00093DCD">
        <w:t>management extension services</w:t>
      </w:r>
      <w:r>
        <w:t xml:space="preserve">, whose evidence </w:t>
      </w:r>
      <w:r w:rsidRPr="00093DCD">
        <w:t xml:space="preserve">suggests that when designed appropriately, developing country interventions have had significant impact on performance – Output additionality (at least in the short term). </w:t>
      </w:r>
      <w:r>
        <w:t>Group Based Management Extension programs (i.e. Consulting), see Iacovone et al, 2019.</w:t>
      </w:r>
    </w:p>
  </w:footnote>
  <w:footnote w:id="8">
    <w:p w14:paraId="0FB26FBA" w14:textId="77777777" w:rsidR="006A439E" w:rsidRDefault="006A439E" w:rsidP="00DA426E">
      <w:pPr>
        <w:pStyle w:val="FootnoteText"/>
      </w:pPr>
      <w:r>
        <w:rPr>
          <w:rStyle w:val="FootnoteReference"/>
        </w:rPr>
        <w:footnoteRef/>
      </w:r>
      <w:r>
        <w:t xml:space="preserve"> </w:t>
      </w:r>
      <w:r>
        <w:rPr>
          <w:rFonts w:eastAsiaTheme="minorEastAsia" w:cs="Times New Roman"/>
          <w:kern w:val="2"/>
          <w:lang w:eastAsia="ko-KR"/>
        </w:rPr>
        <w:t>A review of the literature on export promotion programs by IGC (2011) shows that services provided by trade promotion organizations (TPOs) showed positive impact on export volumes, particularly the form of access to market studies, and outreach to prospective clients as these do seem have been effective (IGC, 2011). In addition, Volpe, 2014, suggests that offering bundled services – throughout the entire export process, has been a critical feature of success. The IGCs review also points out that credit and export guarantees have been effective to increase the probability of exports, particularly for SMEs.</w:t>
      </w:r>
    </w:p>
  </w:footnote>
  <w:footnote w:id="9">
    <w:p w14:paraId="4B74EAC4" w14:textId="77777777" w:rsidR="006A439E" w:rsidRDefault="006A439E" w:rsidP="00DA426E">
      <w:pPr>
        <w:pStyle w:val="FootnoteText"/>
      </w:pPr>
      <w:r>
        <w:rPr>
          <w:rStyle w:val="FootnoteReference"/>
        </w:rPr>
        <w:footnoteRef/>
      </w:r>
      <w:r>
        <w:t xml:space="preserve"> </w:t>
      </w:r>
      <w:r w:rsidRPr="00EF16CC">
        <w:t>Incubators and accelerators host innovative companies, sometimes linked to universities, to support the commercialization of knowledge. They exploit the benefits of networking and spillover effects arising from co-location, but vary on the extent and duration of advisory services provided</w:t>
      </w:r>
      <w:proofErr w:type="gramStart"/>
      <w:r>
        <w:t xml:space="preserve">. </w:t>
      </w:r>
      <w:r w:rsidRPr="00A97861">
        <w:rPr>
          <w:i/>
          <w:iCs/>
        </w:rPr>
        <w:t>:</w:t>
      </w:r>
      <w:proofErr w:type="gramEnd"/>
      <w:r w:rsidRPr="00A97861">
        <w:rPr>
          <w:i/>
          <w:iCs/>
        </w:rPr>
        <w:t xml:space="preserve"> </w:t>
      </w:r>
      <w:r w:rsidRPr="00A97861">
        <w:t xml:space="preserve">treated firms did not perform significantly different than non-treated in terms of patenting (Colombo and </w:t>
      </w:r>
      <w:proofErr w:type="spellStart"/>
      <w:r w:rsidRPr="00A97861">
        <w:t>Delmastro</w:t>
      </w:r>
      <w:proofErr w:type="spellEnd"/>
      <w:r w:rsidRPr="00A97861">
        <w:t>, 2002). In a Turkish, program, employment generation (including R&amp;D personnel) and sales growth, on-incubator firms significantly outperform off-incubator firms</w:t>
      </w:r>
      <w:r>
        <w:t xml:space="preserve">. </w:t>
      </w:r>
      <w:r w:rsidRPr="00CF4D5D">
        <w:t>Roberts et al., 2016 found that accelerators created significantly more jobs in selected versus rejected entrepreneurs</w:t>
      </w:r>
      <w:r>
        <w:t xml:space="preserve"> (Cirera et al, forthcoming)</w:t>
      </w:r>
    </w:p>
  </w:footnote>
  <w:footnote w:id="10">
    <w:p w14:paraId="5F5F43E2" w14:textId="77777777" w:rsidR="006A439E" w:rsidRDefault="006A439E" w:rsidP="00DA426E">
      <w:pPr>
        <w:pStyle w:val="FootnoteText"/>
      </w:pPr>
      <w:r>
        <w:rPr>
          <w:rStyle w:val="FootnoteReference"/>
        </w:rPr>
        <w:footnoteRef/>
      </w:r>
      <w:r>
        <w:t xml:space="preserve"> Cases (All DOST): i) </w:t>
      </w:r>
      <w:r w:rsidRPr="00300E94">
        <w:t>Industrial technology technical services program</w:t>
      </w:r>
      <w:r>
        <w:t xml:space="preserve"> and </w:t>
      </w:r>
      <w:r w:rsidRPr="00FA46A9">
        <w:t>Industrial technology transfer program</w:t>
      </w:r>
      <w:r>
        <w:t xml:space="preserve">, ii) </w:t>
      </w:r>
      <w:r w:rsidRPr="001D3FF2">
        <w:t>Textile S&amp;T services program</w:t>
      </w:r>
      <w:r>
        <w:t xml:space="preserve"> and </w:t>
      </w:r>
      <w:r w:rsidRPr="001D3FF2">
        <w:t>Textile technology transfer program</w:t>
      </w:r>
      <w:r>
        <w:t xml:space="preserve">, and iii) </w:t>
      </w:r>
      <w:r w:rsidRPr="00364AE1">
        <w:t>S&amp;T Education Development program</w:t>
      </w:r>
      <w:r>
        <w:t xml:space="preserve">, and </w:t>
      </w:r>
      <w:r w:rsidRPr="00263C76">
        <w:t>S&amp;T Program for Regional and Countryside Development</w:t>
      </w:r>
      <w:r>
        <w:t xml:space="preserve">. </w:t>
      </w:r>
    </w:p>
  </w:footnote>
  <w:footnote w:id="11">
    <w:p w14:paraId="64BC1768" w14:textId="77777777" w:rsidR="006A439E" w:rsidRPr="009249D1" w:rsidRDefault="006A439E" w:rsidP="009249D1">
      <w:pPr>
        <w:pStyle w:val="FootnoteText"/>
        <w:jc w:val="both"/>
        <w:rPr>
          <w:sz w:val="18"/>
          <w:szCs w:val="18"/>
        </w:rPr>
      </w:pPr>
      <w:r w:rsidRPr="009249D1">
        <w:rPr>
          <w:rStyle w:val="FootnoteReference"/>
          <w:sz w:val="18"/>
          <w:szCs w:val="18"/>
        </w:rPr>
        <w:footnoteRef/>
      </w:r>
      <w:r w:rsidRPr="009249D1">
        <w:rPr>
          <w:sz w:val="18"/>
          <w:szCs w:val="18"/>
        </w:rPr>
        <w:t xml:space="preserve"> Marketing support for exhibitions of DOST technologies, commercialization of inventions through IP rights, International Design Conference, Design week of the Philippines, Policy Development for S&amp;T advisory program, New design graduates training, Green economic development, Materials R&amp;D program, and Technology development and pre-commercialization IBDP.</w:t>
      </w:r>
    </w:p>
  </w:footnote>
  <w:footnote w:id="12">
    <w:p w14:paraId="1EDAD69C" w14:textId="77777777" w:rsidR="006A439E" w:rsidRPr="009249D1" w:rsidRDefault="006A439E" w:rsidP="009249D1">
      <w:pPr>
        <w:pStyle w:val="FootnoteText"/>
        <w:jc w:val="both"/>
        <w:rPr>
          <w:sz w:val="18"/>
          <w:szCs w:val="18"/>
        </w:rPr>
      </w:pPr>
      <w:r w:rsidRPr="009249D1">
        <w:rPr>
          <w:rStyle w:val="FootnoteReference"/>
          <w:sz w:val="18"/>
          <w:szCs w:val="18"/>
        </w:rPr>
        <w:footnoteRef/>
      </w:r>
      <w:r w:rsidRPr="009249D1">
        <w:rPr>
          <w:sz w:val="18"/>
          <w:szCs w:val="18"/>
        </w:rPr>
        <w:t xml:space="preserve"> Vouchers are small grants allocated to non-innovative SMEs to purchase services from external knowledge providers. The main objective is to induce non-innovator SMEs to start collaborating with knowledge organizations and providers. Vouchers are often entitlement-based rather than competition-based. Evidence suggests some project additionality and some positive impact on sales and value added in the short-run (Cirera et al, forthcoming).</w:t>
      </w:r>
    </w:p>
  </w:footnote>
  <w:footnote w:id="13">
    <w:p w14:paraId="4C67F2BE" w14:textId="77777777" w:rsidR="006A439E" w:rsidRPr="009249D1" w:rsidRDefault="006A439E" w:rsidP="009249D1">
      <w:pPr>
        <w:pStyle w:val="FootnoteText"/>
        <w:jc w:val="both"/>
        <w:rPr>
          <w:sz w:val="18"/>
          <w:szCs w:val="18"/>
        </w:rPr>
      </w:pPr>
      <w:r w:rsidRPr="009249D1">
        <w:rPr>
          <w:rStyle w:val="FootnoteReference"/>
          <w:sz w:val="18"/>
          <w:szCs w:val="18"/>
        </w:rPr>
        <w:footnoteRef/>
      </w:r>
      <w:r w:rsidRPr="009249D1">
        <w:rPr>
          <w:sz w:val="18"/>
          <w:szCs w:val="18"/>
        </w:rPr>
        <w:t xml:space="preserve"> </w:t>
      </w:r>
      <w:r w:rsidRPr="009249D1">
        <w:rPr>
          <w:rFonts w:eastAsiaTheme="minorEastAsia" w:cs="Times New Roman"/>
          <w:kern w:val="2"/>
          <w:sz w:val="18"/>
          <w:szCs w:val="18"/>
          <w:lang w:eastAsia="ko-KR"/>
        </w:rPr>
        <w:t xml:space="preserve">The justification of programs that support supplier development typically rests on the need to address coordination problems. </w:t>
      </w:r>
      <w:proofErr w:type="gramStart"/>
      <w:r w:rsidRPr="009249D1">
        <w:rPr>
          <w:rFonts w:eastAsiaTheme="minorEastAsia" w:cs="Times New Roman"/>
          <w:kern w:val="2"/>
          <w:sz w:val="18"/>
          <w:szCs w:val="18"/>
          <w:lang w:eastAsia="ko-KR"/>
        </w:rPr>
        <w:t>A</w:t>
      </w:r>
      <w:proofErr w:type="gramEnd"/>
      <w:r w:rsidRPr="009249D1">
        <w:rPr>
          <w:rFonts w:eastAsiaTheme="minorEastAsia" w:cs="Times New Roman"/>
          <w:kern w:val="2"/>
          <w:sz w:val="18"/>
          <w:szCs w:val="18"/>
          <w:lang w:eastAsia="ko-KR"/>
        </w:rPr>
        <w:t xml:space="preserve"> often cited case study is Chile’s Supplier Development Program, which aimed at strengthening established commercial linkages between local SMEs and large exporting firms. The intervention extended matching grant funding to </w:t>
      </w:r>
      <w:proofErr w:type="gramStart"/>
      <w:r w:rsidRPr="009249D1">
        <w:rPr>
          <w:rFonts w:eastAsiaTheme="minorEastAsia" w:cs="Times New Roman"/>
          <w:kern w:val="2"/>
          <w:sz w:val="18"/>
          <w:szCs w:val="18"/>
          <w:lang w:eastAsia="ko-KR"/>
        </w:rPr>
        <w:t>SME</w:t>
      </w:r>
      <w:proofErr w:type="gramEnd"/>
      <w:r w:rsidRPr="009249D1">
        <w:rPr>
          <w:rFonts w:eastAsiaTheme="minorEastAsia" w:cs="Times New Roman"/>
          <w:kern w:val="2"/>
          <w:sz w:val="18"/>
          <w:szCs w:val="18"/>
          <w:lang w:eastAsia="ko-KR"/>
        </w:rPr>
        <w:t xml:space="preserve"> so they can upgrade their management skills. The impact evaluation of the program demonstrated results in the form of increased revenues, additional employment, increase in wages, and increased survival of SMEs (Portugal, 2018). Similar positive results have been achieved in Costa Rica (PROVEE) and in Czech Republic, with the supplier development program.</w:t>
      </w:r>
    </w:p>
  </w:footnote>
  <w:footnote w:id="14">
    <w:p w14:paraId="4AD83538" w14:textId="77777777" w:rsidR="006A439E" w:rsidRDefault="006A439E" w:rsidP="009249D1">
      <w:pPr>
        <w:pStyle w:val="FootnoteText"/>
        <w:jc w:val="both"/>
      </w:pPr>
      <w:r w:rsidRPr="009249D1">
        <w:rPr>
          <w:rStyle w:val="FootnoteReference"/>
          <w:sz w:val="18"/>
          <w:szCs w:val="18"/>
        </w:rPr>
        <w:footnoteRef/>
      </w:r>
      <w:r w:rsidRPr="009249D1">
        <w:rPr>
          <w:sz w:val="18"/>
          <w:szCs w:val="18"/>
        </w:rPr>
        <w:t xml:space="preserve"> Credit guarantees can cover a portion of the losses experienced by lenders extending credit to firms investing in innovative projects, when firms default on loans. It applies exclusively to assets which have been explicitly covered under its provisions, in return for a fee. Credit guarantees become relevant in the late phases of the innovation cycle when risk is lower. Input additionality of lending seems positive and robust, with more schemes reporting between 35-68% in incremental loan value (Cirera et al, forthcoming).</w:t>
      </w:r>
    </w:p>
  </w:footnote>
  <w:footnote w:id="15">
    <w:p w14:paraId="637E8925" w14:textId="1DA680FC" w:rsidR="006A439E" w:rsidRPr="009249D1" w:rsidRDefault="006A439E" w:rsidP="009249D1">
      <w:pPr>
        <w:pStyle w:val="FootnoteText"/>
        <w:jc w:val="both"/>
        <w:rPr>
          <w:sz w:val="18"/>
          <w:szCs w:val="18"/>
        </w:rPr>
      </w:pPr>
      <w:r w:rsidRPr="009249D1">
        <w:rPr>
          <w:rStyle w:val="FootnoteReference"/>
          <w:sz w:val="18"/>
          <w:szCs w:val="18"/>
        </w:rPr>
        <w:footnoteRef/>
      </w:r>
      <w:r w:rsidRPr="009249D1">
        <w:rPr>
          <w:sz w:val="18"/>
          <w:szCs w:val="18"/>
        </w:rPr>
        <w:t xml:space="preserve"> </w:t>
      </w:r>
      <w:proofErr w:type="spellStart"/>
      <w:r w:rsidRPr="009249D1">
        <w:rPr>
          <w:rFonts w:cs="Times New Roman"/>
          <w:sz w:val="18"/>
          <w:szCs w:val="18"/>
        </w:rPr>
        <w:t>Caloffi</w:t>
      </w:r>
      <w:proofErr w:type="spellEnd"/>
      <w:r w:rsidRPr="009249D1">
        <w:rPr>
          <w:rFonts w:cs="Times New Roman"/>
          <w:sz w:val="18"/>
          <w:szCs w:val="18"/>
        </w:rPr>
        <w:t xml:space="preserve"> et al. (2018) compared support for collaboration R&amp;D grants versus individual R&amp;D grants implemented in the same Italian region during the same period. They find that targeting collaboration grants towards SMEs with little R&amp;D can increase the number of SMEs that perform R&amp;D. On the other hand, targeting individual or collaboration grants to SMEs with some prior R&amp;D experience can be effective in increasing the amount of R&amp;D. Finally, collaboration grants are more effective than individual grants in encouraging SMEs to start networking with external organizations (Cirera et al, forthcoming)</w:t>
      </w:r>
      <w:r>
        <w:rPr>
          <w:rFonts w:cs="Times New Roman"/>
          <w:sz w:val="18"/>
          <w:szCs w:val="18"/>
        </w:rPr>
        <w:t>.</w:t>
      </w:r>
    </w:p>
  </w:footnote>
  <w:footnote w:id="16">
    <w:p w14:paraId="695C0591" w14:textId="77777777" w:rsidR="006A439E" w:rsidRDefault="006A439E" w:rsidP="00371853">
      <w:pPr>
        <w:pStyle w:val="Normal1"/>
        <w:jc w:val="both"/>
        <w:rPr>
          <w:rFonts w:ascii="Times New Roman" w:hAnsi="Times New Roman" w:cs="Times New Roman"/>
          <w:sz w:val="18"/>
          <w:szCs w:val="18"/>
        </w:rPr>
      </w:pPr>
      <w:r>
        <w:rPr>
          <w:rFonts w:ascii="Times New Roman" w:hAnsi="Times New Roman" w:cs="Times New Roman"/>
          <w:sz w:val="18"/>
          <w:szCs w:val="18"/>
          <w:vertAlign w:val="superscript"/>
        </w:rPr>
        <w:footnoteRef/>
      </w:r>
      <w:r>
        <w:rPr>
          <w:rFonts w:ascii="Times New Roman" w:eastAsia="Calibri" w:hAnsi="Times New Roman" w:cs="Times New Roman"/>
          <w:sz w:val="18"/>
          <w:szCs w:val="18"/>
        </w:rPr>
        <w:t xml:space="preserve"> The Babson Entrepreneurship Ecosystem Project stems from the observation that in all societies in which entrepreneurship occurs with any regularity or is self-sustaining, there is a unique and complex environment. The Babson Entrepreneurship Ecosystem finds that there are approximately a dozen elements that interact in complex ways. Thus, </w:t>
      </w:r>
      <w:proofErr w:type="gramStart"/>
      <w:r>
        <w:rPr>
          <w:rFonts w:ascii="Times New Roman" w:eastAsia="Calibri" w:hAnsi="Times New Roman" w:cs="Times New Roman"/>
          <w:sz w:val="18"/>
          <w:szCs w:val="18"/>
        </w:rPr>
        <w:t>in order to</w:t>
      </w:r>
      <w:proofErr w:type="gramEnd"/>
      <w:r>
        <w:rPr>
          <w:rFonts w:ascii="Times New Roman" w:eastAsia="Calibri" w:hAnsi="Times New Roman" w:cs="Times New Roman"/>
          <w:sz w:val="18"/>
          <w:szCs w:val="18"/>
        </w:rPr>
        <w:t xml:space="preserve"> promote entrepreneurship, a holistic approach must be taken (http://entrepreneurial-revolution.com)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53520"/>
    <w:multiLevelType w:val="hybridMultilevel"/>
    <w:tmpl w:val="B73A9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EF62CE"/>
    <w:multiLevelType w:val="hybridMultilevel"/>
    <w:tmpl w:val="823CBE2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 w15:restartNumberingAfterBreak="0">
    <w:nsid w:val="040C0152"/>
    <w:multiLevelType w:val="hybridMultilevel"/>
    <w:tmpl w:val="EDF8E724"/>
    <w:lvl w:ilvl="0" w:tplc="0409000F">
      <w:start w:val="1"/>
      <w:numFmt w:val="decimal"/>
      <w:lvlText w:val="%1."/>
      <w:lvlJc w:val="left"/>
      <w:pPr>
        <w:ind w:left="360" w:hanging="360"/>
      </w:pPr>
    </w:lvl>
    <w:lvl w:ilvl="1" w:tplc="D2DCDE1C">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042C4E19"/>
    <w:multiLevelType w:val="hybridMultilevel"/>
    <w:tmpl w:val="93826F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0B2641"/>
    <w:multiLevelType w:val="hybridMultilevel"/>
    <w:tmpl w:val="6D362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14380C"/>
    <w:multiLevelType w:val="hybridMultilevel"/>
    <w:tmpl w:val="13421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89D1612"/>
    <w:multiLevelType w:val="hybridMultilevel"/>
    <w:tmpl w:val="B3041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1468B6"/>
    <w:multiLevelType w:val="hybridMultilevel"/>
    <w:tmpl w:val="A7A885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AF16F25"/>
    <w:multiLevelType w:val="hybridMultilevel"/>
    <w:tmpl w:val="A748FADE"/>
    <w:lvl w:ilvl="0" w:tplc="D1E0FD4A">
      <w:start w:val="1"/>
      <w:numFmt w:val="upperRoman"/>
      <w:lvlText w:val="%1."/>
      <w:lvlJc w:val="left"/>
      <w:pPr>
        <w:ind w:left="1080" w:hanging="72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D91095"/>
    <w:multiLevelType w:val="hybridMultilevel"/>
    <w:tmpl w:val="A8C88B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12852F0"/>
    <w:multiLevelType w:val="hybridMultilevel"/>
    <w:tmpl w:val="1B864E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C44095"/>
    <w:multiLevelType w:val="hybridMultilevel"/>
    <w:tmpl w:val="754690EC"/>
    <w:lvl w:ilvl="0" w:tplc="BA664AA8">
      <w:start w:val="56"/>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22957DD"/>
    <w:multiLevelType w:val="hybridMultilevel"/>
    <w:tmpl w:val="01F21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2A3305E"/>
    <w:multiLevelType w:val="hybridMultilevel"/>
    <w:tmpl w:val="C1349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3202DB"/>
    <w:multiLevelType w:val="hybridMultilevel"/>
    <w:tmpl w:val="94A027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88B3513"/>
    <w:multiLevelType w:val="hybridMultilevel"/>
    <w:tmpl w:val="CB04E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F16827"/>
    <w:multiLevelType w:val="hybridMultilevel"/>
    <w:tmpl w:val="3C26CA24"/>
    <w:lvl w:ilvl="0" w:tplc="0409001B">
      <w:start w:val="1"/>
      <w:numFmt w:val="lowerRoman"/>
      <w:lvlText w:val="%1."/>
      <w:lvlJc w:val="right"/>
      <w:pPr>
        <w:tabs>
          <w:tab w:val="num" w:pos="1440"/>
        </w:tabs>
        <w:ind w:left="1440" w:hanging="360"/>
      </w:pPr>
    </w:lvl>
    <w:lvl w:ilvl="1" w:tplc="6602CDD0" w:tentative="1">
      <w:start w:val="1"/>
      <w:numFmt w:val="decimal"/>
      <w:lvlText w:val="%2."/>
      <w:lvlJc w:val="left"/>
      <w:pPr>
        <w:tabs>
          <w:tab w:val="num" w:pos="2160"/>
        </w:tabs>
        <w:ind w:left="2160" w:hanging="360"/>
      </w:pPr>
    </w:lvl>
    <w:lvl w:ilvl="2" w:tplc="51B61E2E" w:tentative="1">
      <w:start w:val="1"/>
      <w:numFmt w:val="decimal"/>
      <w:lvlText w:val="%3."/>
      <w:lvlJc w:val="left"/>
      <w:pPr>
        <w:tabs>
          <w:tab w:val="num" w:pos="2880"/>
        </w:tabs>
        <w:ind w:left="2880" w:hanging="360"/>
      </w:pPr>
    </w:lvl>
    <w:lvl w:ilvl="3" w:tplc="36E2D880" w:tentative="1">
      <w:start w:val="1"/>
      <w:numFmt w:val="decimal"/>
      <w:lvlText w:val="%4."/>
      <w:lvlJc w:val="left"/>
      <w:pPr>
        <w:tabs>
          <w:tab w:val="num" w:pos="3600"/>
        </w:tabs>
        <w:ind w:left="3600" w:hanging="360"/>
      </w:pPr>
    </w:lvl>
    <w:lvl w:ilvl="4" w:tplc="20B4FF92" w:tentative="1">
      <w:start w:val="1"/>
      <w:numFmt w:val="decimal"/>
      <w:lvlText w:val="%5."/>
      <w:lvlJc w:val="left"/>
      <w:pPr>
        <w:tabs>
          <w:tab w:val="num" w:pos="4320"/>
        </w:tabs>
        <w:ind w:left="4320" w:hanging="360"/>
      </w:pPr>
    </w:lvl>
    <w:lvl w:ilvl="5" w:tplc="2F8C530A" w:tentative="1">
      <w:start w:val="1"/>
      <w:numFmt w:val="decimal"/>
      <w:lvlText w:val="%6."/>
      <w:lvlJc w:val="left"/>
      <w:pPr>
        <w:tabs>
          <w:tab w:val="num" w:pos="5040"/>
        </w:tabs>
        <w:ind w:left="5040" w:hanging="360"/>
      </w:pPr>
    </w:lvl>
    <w:lvl w:ilvl="6" w:tplc="0DF4BFC4" w:tentative="1">
      <w:start w:val="1"/>
      <w:numFmt w:val="decimal"/>
      <w:lvlText w:val="%7."/>
      <w:lvlJc w:val="left"/>
      <w:pPr>
        <w:tabs>
          <w:tab w:val="num" w:pos="5760"/>
        </w:tabs>
        <w:ind w:left="5760" w:hanging="360"/>
      </w:pPr>
    </w:lvl>
    <w:lvl w:ilvl="7" w:tplc="6D7466A0" w:tentative="1">
      <w:start w:val="1"/>
      <w:numFmt w:val="decimal"/>
      <w:lvlText w:val="%8."/>
      <w:lvlJc w:val="left"/>
      <w:pPr>
        <w:tabs>
          <w:tab w:val="num" w:pos="6480"/>
        </w:tabs>
        <w:ind w:left="6480" w:hanging="360"/>
      </w:pPr>
    </w:lvl>
    <w:lvl w:ilvl="8" w:tplc="89F4E684" w:tentative="1">
      <w:start w:val="1"/>
      <w:numFmt w:val="decimal"/>
      <w:lvlText w:val="%9."/>
      <w:lvlJc w:val="left"/>
      <w:pPr>
        <w:tabs>
          <w:tab w:val="num" w:pos="7200"/>
        </w:tabs>
        <w:ind w:left="7200" w:hanging="360"/>
      </w:pPr>
    </w:lvl>
  </w:abstractNum>
  <w:abstractNum w:abstractNumId="17" w15:restartNumberingAfterBreak="0">
    <w:nsid w:val="22DE4FB0"/>
    <w:multiLevelType w:val="hybridMultilevel"/>
    <w:tmpl w:val="9E84AF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DE78E4"/>
    <w:multiLevelType w:val="hybridMultilevel"/>
    <w:tmpl w:val="3A00A46C"/>
    <w:lvl w:ilvl="0" w:tplc="32D45D56">
      <w:start w:val="1"/>
      <w:numFmt w:val="decimal"/>
      <w:lvlText w:val="%1."/>
      <w:lvlJc w:val="left"/>
      <w:pPr>
        <w:tabs>
          <w:tab w:val="num" w:pos="720"/>
        </w:tabs>
        <w:ind w:left="720" w:hanging="360"/>
      </w:pPr>
    </w:lvl>
    <w:lvl w:ilvl="1" w:tplc="255CC45E">
      <w:numFmt w:val="none"/>
      <w:lvlText w:val=""/>
      <w:lvlJc w:val="left"/>
      <w:pPr>
        <w:tabs>
          <w:tab w:val="num" w:pos="360"/>
        </w:tabs>
      </w:pPr>
    </w:lvl>
    <w:lvl w:ilvl="2" w:tplc="CE0663F0">
      <w:start w:val="1"/>
      <w:numFmt w:val="decimal"/>
      <w:lvlText w:val="%3."/>
      <w:lvlJc w:val="left"/>
      <w:pPr>
        <w:tabs>
          <w:tab w:val="num" w:pos="2160"/>
        </w:tabs>
        <w:ind w:left="2160" w:hanging="360"/>
      </w:pPr>
    </w:lvl>
    <w:lvl w:ilvl="3" w:tplc="42CC0700" w:tentative="1">
      <w:start w:val="1"/>
      <w:numFmt w:val="decimal"/>
      <w:lvlText w:val="%4."/>
      <w:lvlJc w:val="left"/>
      <w:pPr>
        <w:tabs>
          <w:tab w:val="num" w:pos="2880"/>
        </w:tabs>
        <w:ind w:left="2880" w:hanging="360"/>
      </w:pPr>
    </w:lvl>
    <w:lvl w:ilvl="4" w:tplc="E1FC022A" w:tentative="1">
      <w:start w:val="1"/>
      <w:numFmt w:val="decimal"/>
      <w:lvlText w:val="%5."/>
      <w:lvlJc w:val="left"/>
      <w:pPr>
        <w:tabs>
          <w:tab w:val="num" w:pos="3600"/>
        </w:tabs>
        <w:ind w:left="3600" w:hanging="360"/>
      </w:pPr>
    </w:lvl>
    <w:lvl w:ilvl="5" w:tplc="5446775A" w:tentative="1">
      <w:start w:val="1"/>
      <w:numFmt w:val="decimal"/>
      <w:lvlText w:val="%6."/>
      <w:lvlJc w:val="left"/>
      <w:pPr>
        <w:tabs>
          <w:tab w:val="num" w:pos="4320"/>
        </w:tabs>
        <w:ind w:left="4320" w:hanging="360"/>
      </w:pPr>
    </w:lvl>
    <w:lvl w:ilvl="6" w:tplc="25A6DD5E" w:tentative="1">
      <w:start w:val="1"/>
      <w:numFmt w:val="decimal"/>
      <w:lvlText w:val="%7."/>
      <w:lvlJc w:val="left"/>
      <w:pPr>
        <w:tabs>
          <w:tab w:val="num" w:pos="5040"/>
        </w:tabs>
        <w:ind w:left="5040" w:hanging="360"/>
      </w:pPr>
    </w:lvl>
    <w:lvl w:ilvl="7" w:tplc="FCE6C22E" w:tentative="1">
      <w:start w:val="1"/>
      <w:numFmt w:val="decimal"/>
      <w:lvlText w:val="%8."/>
      <w:lvlJc w:val="left"/>
      <w:pPr>
        <w:tabs>
          <w:tab w:val="num" w:pos="5760"/>
        </w:tabs>
        <w:ind w:left="5760" w:hanging="360"/>
      </w:pPr>
    </w:lvl>
    <w:lvl w:ilvl="8" w:tplc="08D06EE8" w:tentative="1">
      <w:start w:val="1"/>
      <w:numFmt w:val="decimal"/>
      <w:lvlText w:val="%9."/>
      <w:lvlJc w:val="left"/>
      <w:pPr>
        <w:tabs>
          <w:tab w:val="num" w:pos="6480"/>
        </w:tabs>
        <w:ind w:left="6480" w:hanging="360"/>
      </w:pPr>
    </w:lvl>
  </w:abstractNum>
  <w:abstractNum w:abstractNumId="19" w15:restartNumberingAfterBreak="0">
    <w:nsid w:val="29167A2E"/>
    <w:multiLevelType w:val="hybridMultilevel"/>
    <w:tmpl w:val="E8EAEEB4"/>
    <w:lvl w:ilvl="0" w:tplc="3D7AEEC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D607BE2"/>
    <w:multiLevelType w:val="hybridMultilevel"/>
    <w:tmpl w:val="CBB0D71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DC77828"/>
    <w:multiLevelType w:val="hybridMultilevel"/>
    <w:tmpl w:val="DCDEF54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15:restartNumberingAfterBreak="0">
    <w:nsid w:val="2F395D4B"/>
    <w:multiLevelType w:val="hybridMultilevel"/>
    <w:tmpl w:val="B62AE4B0"/>
    <w:lvl w:ilvl="0" w:tplc="04090001">
      <w:start w:val="1"/>
      <w:numFmt w:val="bullet"/>
      <w:lvlText w:val=""/>
      <w:lvlJc w:val="left"/>
      <w:pPr>
        <w:tabs>
          <w:tab w:val="num" w:pos="1080"/>
        </w:tabs>
        <w:ind w:left="1080" w:hanging="360"/>
      </w:pPr>
      <w:rPr>
        <w:rFonts w:ascii="Symbol" w:hAnsi="Symbol" w:hint="default"/>
      </w:rPr>
    </w:lvl>
    <w:lvl w:ilvl="1" w:tplc="5414041C" w:tentative="1">
      <w:start w:val="1"/>
      <w:numFmt w:val="decimal"/>
      <w:lvlText w:val="%2."/>
      <w:lvlJc w:val="left"/>
      <w:pPr>
        <w:tabs>
          <w:tab w:val="num" w:pos="1800"/>
        </w:tabs>
        <w:ind w:left="1800" w:hanging="360"/>
      </w:pPr>
    </w:lvl>
    <w:lvl w:ilvl="2" w:tplc="0BDC4F2C" w:tentative="1">
      <w:start w:val="1"/>
      <w:numFmt w:val="decimal"/>
      <w:lvlText w:val="%3."/>
      <w:lvlJc w:val="left"/>
      <w:pPr>
        <w:tabs>
          <w:tab w:val="num" w:pos="2520"/>
        </w:tabs>
        <w:ind w:left="2520" w:hanging="360"/>
      </w:pPr>
    </w:lvl>
    <w:lvl w:ilvl="3" w:tplc="C898F374" w:tentative="1">
      <w:start w:val="1"/>
      <w:numFmt w:val="decimal"/>
      <w:lvlText w:val="%4."/>
      <w:lvlJc w:val="left"/>
      <w:pPr>
        <w:tabs>
          <w:tab w:val="num" w:pos="3240"/>
        </w:tabs>
        <w:ind w:left="3240" w:hanging="360"/>
      </w:pPr>
    </w:lvl>
    <w:lvl w:ilvl="4" w:tplc="28F21BF8" w:tentative="1">
      <w:start w:val="1"/>
      <w:numFmt w:val="decimal"/>
      <w:lvlText w:val="%5."/>
      <w:lvlJc w:val="left"/>
      <w:pPr>
        <w:tabs>
          <w:tab w:val="num" w:pos="3960"/>
        </w:tabs>
        <w:ind w:left="3960" w:hanging="360"/>
      </w:pPr>
    </w:lvl>
    <w:lvl w:ilvl="5" w:tplc="717C40E0" w:tentative="1">
      <w:start w:val="1"/>
      <w:numFmt w:val="decimal"/>
      <w:lvlText w:val="%6."/>
      <w:lvlJc w:val="left"/>
      <w:pPr>
        <w:tabs>
          <w:tab w:val="num" w:pos="4680"/>
        </w:tabs>
        <w:ind w:left="4680" w:hanging="360"/>
      </w:pPr>
    </w:lvl>
    <w:lvl w:ilvl="6" w:tplc="45BE0C74" w:tentative="1">
      <w:start w:val="1"/>
      <w:numFmt w:val="decimal"/>
      <w:lvlText w:val="%7."/>
      <w:lvlJc w:val="left"/>
      <w:pPr>
        <w:tabs>
          <w:tab w:val="num" w:pos="5400"/>
        </w:tabs>
        <w:ind w:left="5400" w:hanging="360"/>
      </w:pPr>
    </w:lvl>
    <w:lvl w:ilvl="7" w:tplc="FB00B0C8" w:tentative="1">
      <w:start w:val="1"/>
      <w:numFmt w:val="decimal"/>
      <w:lvlText w:val="%8."/>
      <w:lvlJc w:val="left"/>
      <w:pPr>
        <w:tabs>
          <w:tab w:val="num" w:pos="6120"/>
        </w:tabs>
        <w:ind w:left="6120" w:hanging="360"/>
      </w:pPr>
    </w:lvl>
    <w:lvl w:ilvl="8" w:tplc="6F42D388" w:tentative="1">
      <w:start w:val="1"/>
      <w:numFmt w:val="decimal"/>
      <w:lvlText w:val="%9."/>
      <w:lvlJc w:val="left"/>
      <w:pPr>
        <w:tabs>
          <w:tab w:val="num" w:pos="6840"/>
        </w:tabs>
        <w:ind w:left="6840" w:hanging="360"/>
      </w:pPr>
    </w:lvl>
  </w:abstractNum>
  <w:abstractNum w:abstractNumId="23" w15:restartNumberingAfterBreak="0">
    <w:nsid w:val="348052CD"/>
    <w:multiLevelType w:val="hybridMultilevel"/>
    <w:tmpl w:val="2BCA2B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5B10CF"/>
    <w:multiLevelType w:val="hybridMultilevel"/>
    <w:tmpl w:val="29ACF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B037A1"/>
    <w:multiLevelType w:val="hybridMultilevel"/>
    <w:tmpl w:val="9F5AC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283663E"/>
    <w:multiLevelType w:val="hybridMultilevel"/>
    <w:tmpl w:val="90FED930"/>
    <w:lvl w:ilvl="0" w:tplc="3D3EDFC8">
      <w:start w:val="2"/>
      <w:numFmt w:val="bullet"/>
      <w:lvlText w:val=""/>
      <w:lvlJc w:val="left"/>
      <w:pPr>
        <w:ind w:left="385" w:hanging="360"/>
      </w:pPr>
      <w:rPr>
        <w:rFonts w:ascii="Symbol" w:eastAsia="Calibri" w:hAnsi="Symbol" w:cs="Calibri" w:hint="default"/>
      </w:rPr>
    </w:lvl>
    <w:lvl w:ilvl="1" w:tplc="04090003">
      <w:start w:val="1"/>
      <w:numFmt w:val="bullet"/>
      <w:lvlText w:val="o"/>
      <w:lvlJc w:val="left"/>
      <w:pPr>
        <w:ind w:left="1105" w:hanging="360"/>
      </w:pPr>
      <w:rPr>
        <w:rFonts w:ascii="Courier New" w:hAnsi="Courier New" w:cs="Times New Roman" w:hint="default"/>
      </w:rPr>
    </w:lvl>
    <w:lvl w:ilvl="2" w:tplc="04090005">
      <w:start w:val="1"/>
      <w:numFmt w:val="bullet"/>
      <w:lvlText w:val=""/>
      <w:lvlJc w:val="left"/>
      <w:pPr>
        <w:ind w:left="1825" w:hanging="360"/>
      </w:pPr>
      <w:rPr>
        <w:rFonts w:ascii="Wingdings" w:hAnsi="Wingdings" w:hint="default"/>
      </w:rPr>
    </w:lvl>
    <w:lvl w:ilvl="3" w:tplc="04090001">
      <w:start w:val="1"/>
      <w:numFmt w:val="bullet"/>
      <w:lvlText w:val=""/>
      <w:lvlJc w:val="left"/>
      <w:pPr>
        <w:ind w:left="2545" w:hanging="360"/>
      </w:pPr>
      <w:rPr>
        <w:rFonts w:ascii="Symbol" w:hAnsi="Symbol" w:hint="default"/>
      </w:rPr>
    </w:lvl>
    <w:lvl w:ilvl="4" w:tplc="04090003">
      <w:start w:val="1"/>
      <w:numFmt w:val="bullet"/>
      <w:lvlText w:val="o"/>
      <w:lvlJc w:val="left"/>
      <w:pPr>
        <w:ind w:left="3265" w:hanging="360"/>
      </w:pPr>
      <w:rPr>
        <w:rFonts w:ascii="Courier New" w:hAnsi="Courier New" w:cs="Times New Roman" w:hint="default"/>
      </w:rPr>
    </w:lvl>
    <w:lvl w:ilvl="5" w:tplc="04090005">
      <w:start w:val="1"/>
      <w:numFmt w:val="bullet"/>
      <w:lvlText w:val=""/>
      <w:lvlJc w:val="left"/>
      <w:pPr>
        <w:ind w:left="3985" w:hanging="360"/>
      </w:pPr>
      <w:rPr>
        <w:rFonts w:ascii="Wingdings" w:hAnsi="Wingdings" w:hint="default"/>
      </w:rPr>
    </w:lvl>
    <w:lvl w:ilvl="6" w:tplc="04090001">
      <w:start w:val="1"/>
      <w:numFmt w:val="bullet"/>
      <w:lvlText w:val=""/>
      <w:lvlJc w:val="left"/>
      <w:pPr>
        <w:ind w:left="4705" w:hanging="360"/>
      </w:pPr>
      <w:rPr>
        <w:rFonts w:ascii="Symbol" w:hAnsi="Symbol" w:hint="default"/>
      </w:rPr>
    </w:lvl>
    <w:lvl w:ilvl="7" w:tplc="04090003">
      <w:start w:val="1"/>
      <w:numFmt w:val="bullet"/>
      <w:lvlText w:val="o"/>
      <w:lvlJc w:val="left"/>
      <w:pPr>
        <w:ind w:left="5425" w:hanging="360"/>
      </w:pPr>
      <w:rPr>
        <w:rFonts w:ascii="Courier New" w:hAnsi="Courier New" w:cs="Times New Roman" w:hint="default"/>
      </w:rPr>
    </w:lvl>
    <w:lvl w:ilvl="8" w:tplc="04090005">
      <w:start w:val="1"/>
      <w:numFmt w:val="bullet"/>
      <w:lvlText w:val=""/>
      <w:lvlJc w:val="left"/>
      <w:pPr>
        <w:ind w:left="6145" w:hanging="360"/>
      </w:pPr>
      <w:rPr>
        <w:rFonts w:ascii="Wingdings" w:hAnsi="Wingdings" w:hint="default"/>
      </w:rPr>
    </w:lvl>
  </w:abstractNum>
  <w:abstractNum w:abstractNumId="27" w15:restartNumberingAfterBreak="0">
    <w:nsid w:val="442E5F13"/>
    <w:multiLevelType w:val="hybridMultilevel"/>
    <w:tmpl w:val="5BA07D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D14FB6"/>
    <w:multiLevelType w:val="hybridMultilevel"/>
    <w:tmpl w:val="6A6C2F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54B19B6"/>
    <w:multiLevelType w:val="hybridMultilevel"/>
    <w:tmpl w:val="29087EDE"/>
    <w:lvl w:ilvl="0" w:tplc="211ED540">
      <w:start w:val="14"/>
      <w:numFmt w:val="decimal"/>
      <w:lvlText w:val="%1."/>
      <w:lvlJc w:val="left"/>
      <w:pPr>
        <w:ind w:left="360" w:hanging="360"/>
      </w:pPr>
      <w:rPr>
        <w:rFonts w:ascii="Times" w:hAnsi="Times" w:hint="default"/>
        <w:b/>
        <w:color w:val="auto"/>
        <w:sz w:val="22"/>
        <w:szCs w:val="22"/>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 w15:restartNumberingAfterBreak="0">
    <w:nsid w:val="462C3D56"/>
    <w:multiLevelType w:val="hybridMultilevel"/>
    <w:tmpl w:val="15CA5B92"/>
    <w:lvl w:ilvl="0" w:tplc="1F52E79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6E50D74"/>
    <w:multiLevelType w:val="hybridMultilevel"/>
    <w:tmpl w:val="2BCA2B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B41CD0"/>
    <w:multiLevelType w:val="hybridMultilevel"/>
    <w:tmpl w:val="17325E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D22917"/>
    <w:multiLevelType w:val="hybridMultilevel"/>
    <w:tmpl w:val="BB3EEE60"/>
    <w:lvl w:ilvl="0" w:tplc="59FE02F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C9A7AAE"/>
    <w:multiLevelType w:val="hybridMultilevel"/>
    <w:tmpl w:val="843C5640"/>
    <w:lvl w:ilvl="0" w:tplc="62DAE01C">
      <w:start w:val="1"/>
      <w:numFmt w:val="decimal"/>
      <w:lvlText w:val="%1."/>
      <w:lvlJc w:val="left"/>
      <w:pPr>
        <w:tabs>
          <w:tab w:val="num" w:pos="720"/>
        </w:tabs>
        <w:ind w:left="720" w:hanging="360"/>
      </w:pPr>
    </w:lvl>
    <w:lvl w:ilvl="1" w:tplc="5414041C" w:tentative="1">
      <w:start w:val="1"/>
      <w:numFmt w:val="decimal"/>
      <w:lvlText w:val="%2."/>
      <w:lvlJc w:val="left"/>
      <w:pPr>
        <w:tabs>
          <w:tab w:val="num" w:pos="1440"/>
        </w:tabs>
        <w:ind w:left="1440" w:hanging="360"/>
      </w:pPr>
    </w:lvl>
    <w:lvl w:ilvl="2" w:tplc="0BDC4F2C" w:tentative="1">
      <w:start w:val="1"/>
      <w:numFmt w:val="decimal"/>
      <w:lvlText w:val="%3."/>
      <w:lvlJc w:val="left"/>
      <w:pPr>
        <w:tabs>
          <w:tab w:val="num" w:pos="2160"/>
        </w:tabs>
        <w:ind w:left="2160" w:hanging="360"/>
      </w:pPr>
    </w:lvl>
    <w:lvl w:ilvl="3" w:tplc="C898F374" w:tentative="1">
      <w:start w:val="1"/>
      <w:numFmt w:val="decimal"/>
      <w:lvlText w:val="%4."/>
      <w:lvlJc w:val="left"/>
      <w:pPr>
        <w:tabs>
          <w:tab w:val="num" w:pos="2880"/>
        </w:tabs>
        <w:ind w:left="2880" w:hanging="360"/>
      </w:pPr>
    </w:lvl>
    <w:lvl w:ilvl="4" w:tplc="28F21BF8" w:tentative="1">
      <w:start w:val="1"/>
      <w:numFmt w:val="decimal"/>
      <w:lvlText w:val="%5."/>
      <w:lvlJc w:val="left"/>
      <w:pPr>
        <w:tabs>
          <w:tab w:val="num" w:pos="3600"/>
        </w:tabs>
        <w:ind w:left="3600" w:hanging="360"/>
      </w:pPr>
    </w:lvl>
    <w:lvl w:ilvl="5" w:tplc="717C40E0" w:tentative="1">
      <w:start w:val="1"/>
      <w:numFmt w:val="decimal"/>
      <w:lvlText w:val="%6."/>
      <w:lvlJc w:val="left"/>
      <w:pPr>
        <w:tabs>
          <w:tab w:val="num" w:pos="4320"/>
        </w:tabs>
        <w:ind w:left="4320" w:hanging="360"/>
      </w:pPr>
    </w:lvl>
    <w:lvl w:ilvl="6" w:tplc="45BE0C74" w:tentative="1">
      <w:start w:val="1"/>
      <w:numFmt w:val="decimal"/>
      <w:lvlText w:val="%7."/>
      <w:lvlJc w:val="left"/>
      <w:pPr>
        <w:tabs>
          <w:tab w:val="num" w:pos="5040"/>
        </w:tabs>
        <w:ind w:left="5040" w:hanging="360"/>
      </w:pPr>
    </w:lvl>
    <w:lvl w:ilvl="7" w:tplc="FB00B0C8" w:tentative="1">
      <w:start w:val="1"/>
      <w:numFmt w:val="decimal"/>
      <w:lvlText w:val="%8."/>
      <w:lvlJc w:val="left"/>
      <w:pPr>
        <w:tabs>
          <w:tab w:val="num" w:pos="5760"/>
        </w:tabs>
        <w:ind w:left="5760" w:hanging="360"/>
      </w:pPr>
    </w:lvl>
    <w:lvl w:ilvl="8" w:tplc="6F42D388" w:tentative="1">
      <w:start w:val="1"/>
      <w:numFmt w:val="decimal"/>
      <w:lvlText w:val="%9."/>
      <w:lvlJc w:val="left"/>
      <w:pPr>
        <w:tabs>
          <w:tab w:val="num" w:pos="6480"/>
        </w:tabs>
        <w:ind w:left="6480" w:hanging="360"/>
      </w:pPr>
    </w:lvl>
  </w:abstractNum>
  <w:abstractNum w:abstractNumId="35" w15:restartNumberingAfterBreak="0">
    <w:nsid w:val="51823C9A"/>
    <w:multiLevelType w:val="hybridMultilevel"/>
    <w:tmpl w:val="45B82D6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6" w15:restartNumberingAfterBreak="0">
    <w:nsid w:val="54005D34"/>
    <w:multiLevelType w:val="hybridMultilevel"/>
    <w:tmpl w:val="D19009D0"/>
    <w:lvl w:ilvl="0" w:tplc="04090001">
      <w:start w:val="1"/>
      <w:numFmt w:val="bullet"/>
      <w:lvlText w:val=""/>
      <w:lvlJc w:val="left"/>
      <w:pPr>
        <w:tabs>
          <w:tab w:val="num" w:pos="1080"/>
        </w:tabs>
        <w:ind w:left="1080" w:hanging="360"/>
      </w:pPr>
      <w:rPr>
        <w:rFonts w:ascii="Symbol" w:hAnsi="Symbol" w:hint="default"/>
      </w:rPr>
    </w:lvl>
    <w:lvl w:ilvl="1" w:tplc="547C8EFE" w:tentative="1">
      <w:start w:val="1"/>
      <w:numFmt w:val="decimal"/>
      <w:lvlText w:val="%2."/>
      <w:lvlJc w:val="left"/>
      <w:pPr>
        <w:tabs>
          <w:tab w:val="num" w:pos="1800"/>
        </w:tabs>
        <w:ind w:left="1800" w:hanging="360"/>
      </w:pPr>
    </w:lvl>
    <w:lvl w:ilvl="2" w:tplc="3BF6B2B4" w:tentative="1">
      <w:start w:val="1"/>
      <w:numFmt w:val="decimal"/>
      <w:lvlText w:val="%3."/>
      <w:lvlJc w:val="left"/>
      <w:pPr>
        <w:tabs>
          <w:tab w:val="num" w:pos="2520"/>
        </w:tabs>
        <w:ind w:left="2520" w:hanging="360"/>
      </w:pPr>
    </w:lvl>
    <w:lvl w:ilvl="3" w:tplc="543C1C22" w:tentative="1">
      <w:start w:val="1"/>
      <w:numFmt w:val="decimal"/>
      <w:lvlText w:val="%4."/>
      <w:lvlJc w:val="left"/>
      <w:pPr>
        <w:tabs>
          <w:tab w:val="num" w:pos="3240"/>
        </w:tabs>
        <w:ind w:left="3240" w:hanging="360"/>
      </w:pPr>
    </w:lvl>
    <w:lvl w:ilvl="4" w:tplc="AA0E85F4" w:tentative="1">
      <w:start w:val="1"/>
      <w:numFmt w:val="decimal"/>
      <w:lvlText w:val="%5."/>
      <w:lvlJc w:val="left"/>
      <w:pPr>
        <w:tabs>
          <w:tab w:val="num" w:pos="3960"/>
        </w:tabs>
        <w:ind w:left="3960" w:hanging="360"/>
      </w:pPr>
    </w:lvl>
    <w:lvl w:ilvl="5" w:tplc="476ECEB0" w:tentative="1">
      <w:start w:val="1"/>
      <w:numFmt w:val="decimal"/>
      <w:lvlText w:val="%6."/>
      <w:lvlJc w:val="left"/>
      <w:pPr>
        <w:tabs>
          <w:tab w:val="num" w:pos="4680"/>
        </w:tabs>
        <w:ind w:left="4680" w:hanging="360"/>
      </w:pPr>
    </w:lvl>
    <w:lvl w:ilvl="6" w:tplc="C644BEFA" w:tentative="1">
      <w:start w:val="1"/>
      <w:numFmt w:val="decimal"/>
      <w:lvlText w:val="%7."/>
      <w:lvlJc w:val="left"/>
      <w:pPr>
        <w:tabs>
          <w:tab w:val="num" w:pos="5400"/>
        </w:tabs>
        <w:ind w:left="5400" w:hanging="360"/>
      </w:pPr>
    </w:lvl>
    <w:lvl w:ilvl="7" w:tplc="18EA3BE0" w:tentative="1">
      <w:start w:val="1"/>
      <w:numFmt w:val="decimal"/>
      <w:lvlText w:val="%8."/>
      <w:lvlJc w:val="left"/>
      <w:pPr>
        <w:tabs>
          <w:tab w:val="num" w:pos="6120"/>
        </w:tabs>
        <w:ind w:left="6120" w:hanging="360"/>
      </w:pPr>
    </w:lvl>
    <w:lvl w:ilvl="8" w:tplc="702A7FE0" w:tentative="1">
      <w:start w:val="1"/>
      <w:numFmt w:val="decimal"/>
      <w:lvlText w:val="%9."/>
      <w:lvlJc w:val="left"/>
      <w:pPr>
        <w:tabs>
          <w:tab w:val="num" w:pos="6840"/>
        </w:tabs>
        <w:ind w:left="6840" w:hanging="360"/>
      </w:pPr>
    </w:lvl>
  </w:abstractNum>
  <w:abstractNum w:abstractNumId="37" w15:restartNumberingAfterBreak="0">
    <w:nsid w:val="57256F4D"/>
    <w:multiLevelType w:val="hybridMultilevel"/>
    <w:tmpl w:val="37066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11693E"/>
    <w:multiLevelType w:val="hybridMultilevel"/>
    <w:tmpl w:val="48FEC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055192"/>
    <w:multiLevelType w:val="hybridMultilevel"/>
    <w:tmpl w:val="F89E5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4D0AD6"/>
    <w:multiLevelType w:val="hybridMultilevel"/>
    <w:tmpl w:val="1B864E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59400F"/>
    <w:multiLevelType w:val="hybridMultilevel"/>
    <w:tmpl w:val="969AFC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0FB53A1"/>
    <w:multiLevelType w:val="hybridMultilevel"/>
    <w:tmpl w:val="64BE51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69BC1515"/>
    <w:multiLevelType w:val="hybridMultilevel"/>
    <w:tmpl w:val="98BE1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2315B6"/>
    <w:multiLevelType w:val="hybridMultilevel"/>
    <w:tmpl w:val="5178D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9247BB"/>
    <w:multiLevelType w:val="hybridMultilevel"/>
    <w:tmpl w:val="9C6A00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6" w15:restartNumberingAfterBreak="0">
    <w:nsid w:val="6DA93EED"/>
    <w:multiLevelType w:val="hybridMultilevel"/>
    <w:tmpl w:val="B5063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DF23A62"/>
    <w:multiLevelType w:val="hybridMultilevel"/>
    <w:tmpl w:val="2362E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D924E5"/>
    <w:multiLevelType w:val="hybridMultilevel"/>
    <w:tmpl w:val="2BCA2B6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1A92FB7"/>
    <w:multiLevelType w:val="hybridMultilevel"/>
    <w:tmpl w:val="8DA8E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3827C3"/>
    <w:multiLevelType w:val="hybridMultilevel"/>
    <w:tmpl w:val="A168C4DE"/>
    <w:lvl w:ilvl="0" w:tplc="733C44D8">
      <w:start w:val="1"/>
      <w:numFmt w:val="decimal"/>
      <w:lvlText w:val="%1."/>
      <w:lvlJc w:val="left"/>
      <w:pPr>
        <w:ind w:left="3060" w:hanging="360"/>
      </w:pPr>
      <w:rPr>
        <w:rFonts w:ascii="Times New Roman" w:hAnsi="Times New Roman" w:cs="Times New Roman"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2822EC0"/>
    <w:multiLevelType w:val="hybridMultilevel"/>
    <w:tmpl w:val="58566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F26239"/>
    <w:multiLevelType w:val="hybridMultilevel"/>
    <w:tmpl w:val="EB827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D42906"/>
    <w:multiLevelType w:val="hybridMultilevel"/>
    <w:tmpl w:val="1C1E0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F0D5C0D"/>
    <w:multiLevelType w:val="hybridMultilevel"/>
    <w:tmpl w:val="82CE7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24"/>
  </w:num>
  <w:num w:numId="3">
    <w:abstractNumId w:val="17"/>
  </w:num>
  <w:num w:numId="4">
    <w:abstractNumId w:val="50"/>
  </w:num>
  <w:num w:numId="5">
    <w:abstractNumId w:val="41"/>
  </w:num>
  <w:num w:numId="6">
    <w:abstractNumId w:val="13"/>
  </w:num>
  <w:num w:numId="7">
    <w:abstractNumId w:val="49"/>
  </w:num>
  <w:num w:numId="8">
    <w:abstractNumId w:val="38"/>
  </w:num>
  <w:num w:numId="9">
    <w:abstractNumId w:val="21"/>
  </w:num>
  <w:num w:numId="10">
    <w:abstractNumId w:val="10"/>
  </w:num>
  <w:num w:numId="11">
    <w:abstractNumId w:val="28"/>
  </w:num>
  <w:num w:numId="12">
    <w:abstractNumId w:val="16"/>
  </w:num>
  <w:num w:numId="13">
    <w:abstractNumId w:val="9"/>
  </w:num>
  <w:num w:numId="14">
    <w:abstractNumId w:val="0"/>
  </w:num>
  <w:num w:numId="15">
    <w:abstractNumId w:val="1"/>
  </w:num>
  <w:num w:numId="16">
    <w:abstractNumId w:val="35"/>
  </w:num>
  <w:num w:numId="17">
    <w:abstractNumId w:val="39"/>
  </w:num>
  <w:num w:numId="18">
    <w:abstractNumId w:val="6"/>
  </w:num>
  <w:num w:numId="19">
    <w:abstractNumId w:val="15"/>
  </w:num>
  <w:num w:numId="20">
    <w:abstractNumId w:val="34"/>
  </w:num>
  <w:num w:numId="21">
    <w:abstractNumId w:val="18"/>
  </w:num>
  <w:num w:numId="22">
    <w:abstractNumId w:val="22"/>
  </w:num>
  <w:num w:numId="23">
    <w:abstractNumId w:val="44"/>
  </w:num>
  <w:num w:numId="24">
    <w:abstractNumId w:val="7"/>
  </w:num>
  <w:num w:numId="25">
    <w:abstractNumId w:val="48"/>
  </w:num>
  <w:num w:numId="26">
    <w:abstractNumId w:val="23"/>
  </w:num>
  <w:num w:numId="27">
    <w:abstractNumId w:val="32"/>
  </w:num>
  <w:num w:numId="28">
    <w:abstractNumId w:val="54"/>
  </w:num>
  <w:num w:numId="29">
    <w:abstractNumId w:val="4"/>
  </w:num>
  <w:num w:numId="30">
    <w:abstractNumId w:val="52"/>
  </w:num>
  <w:num w:numId="31">
    <w:abstractNumId w:val="43"/>
  </w:num>
  <w:num w:numId="32">
    <w:abstractNumId w:val="47"/>
  </w:num>
  <w:num w:numId="33">
    <w:abstractNumId w:val="37"/>
  </w:num>
  <w:num w:numId="34">
    <w:abstractNumId w:val="3"/>
  </w:num>
  <w:num w:numId="35">
    <w:abstractNumId w:val="20"/>
  </w:num>
  <w:num w:numId="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num>
  <w:num w:numId="40">
    <w:abstractNumId w:val="26"/>
  </w:num>
  <w:num w:numId="41">
    <w:abstractNumId w:val="40"/>
  </w:num>
  <w:num w:numId="42">
    <w:abstractNumId w:val="27"/>
  </w:num>
  <w:num w:numId="43">
    <w:abstractNumId w:val="31"/>
  </w:num>
  <w:num w:numId="44">
    <w:abstractNumId w:val="14"/>
  </w:num>
  <w:num w:numId="45">
    <w:abstractNumId w:val="36"/>
  </w:num>
  <w:num w:numId="46">
    <w:abstractNumId w:val="19"/>
  </w:num>
  <w:num w:numId="47">
    <w:abstractNumId w:val="30"/>
  </w:num>
  <w:num w:numId="48">
    <w:abstractNumId w:val="29"/>
  </w:num>
  <w:num w:numId="49">
    <w:abstractNumId w:val="11"/>
  </w:num>
  <w:num w:numId="50">
    <w:abstractNumId w:val="33"/>
  </w:num>
  <w:num w:numId="51">
    <w:abstractNumId w:val="8"/>
  </w:num>
  <w:num w:numId="52">
    <w:abstractNumId w:val="12"/>
  </w:num>
  <w:num w:numId="53">
    <w:abstractNumId w:val="25"/>
  </w:num>
  <w:num w:numId="54">
    <w:abstractNumId w:val="46"/>
  </w:num>
  <w:num w:numId="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134"/>
    <w:rsid w:val="00000310"/>
    <w:rsid w:val="00000644"/>
    <w:rsid w:val="00001C0C"/>
    <w:rsid w:val="000024C3"/>
    <w:rsid w:val="000029B8"/>
    <w:rsid w:val="000031C6"/>
    <w:rsid w:val="00003687"/>
    <w:rsid w:val="00003E04"/>
    <w:rsid w:val="00003F7F"/>
    <w:rsid w:val="00004DB8"/>
    <w:rsid w:val="000055CF"/>
    <w:rsid w:val="00006331"/>
    <w:rsid w:val="000066E8"/>
    <w:rsid w:val="00010FAF"/>
    <w:rsid w:val="000116DA"/>
    <w:rsid w:val="00011996"/>
    <w:rsid w:val="00012DCF"/>
    <w:rsid w:val="00013B68"/>
    <w:rsid w:val="00014592"/>
    <w:rsid w:val="0001518F"/>
    <w:rsid w:val="00015E3C"/>
    <w:rsid w:val="00016FE3"/>
    <w:rsid w:val="000171AA"/>
    <w:rsid w:val="000178F2"/>
    <w:rsid w:val="00017FD2"/>
    <w:rsid w:val="000203F1"/>
    <w:rsid w:val="00022381"/>
    <w:rsid w:val="00023B81"/>
    <w:rsid w:val="00024C5A"/>
    <w:rsid w:val="00026841"/>
    <w:rsid w:val="00027253"/>
    <w:rsid w:val="00027C1B"/>
    <w:rsid w:val="000314DC"/>
    <w:rsid w:val="0003177A"/>
    <w:rsid w:val="000329F4"/>
    <w:rsid w:val="00034988"/>
    <w:rsid w:val="00035866"/>
    <w:rsid w:val="00035E5C"/>
    <w:rsid w:val="00035EF8"/>
    <w:rsid w:val="000369B5"/>
    <w:rsid w:val="0004064A"/>
    <w:rsid w:val="00040B21"/>
    <w:rsid w:val="00041623"/>
    <w:rsid w:val="00041EC5"/>
    <w:rsid w:val="00041F25"/>
    <w:rsid w:val="00042108"/>
    <w:rsid w:val="000427E4"/>
    <w:rsid w:val="000434FC"/>
    <w:rsid w:val="00043F8E"/>
    <w:rsid w:val="0004446C"/>
    <w:rsid w:val="000456A4"/>
    <w:rsid w:val="00045C50"/>
    <w:rsid w:val="000460C9"/>
    <w:rsid w:val="0004620E"/>
    <w:rsid w:val="00046BB5"/>
    <w:rsid w:val="000476CB"/>
    <w:rsid w:val="00051034"/>
    <w:rsid w:val="00051622"/>
    <w:rsid w:val="0005380A"/>
    <w:rsid w:val="000540FF"/>
    <w:rsid w:val="0005418C"/>
    <w:rsid w:val="0005444E"/>
    <w:rsid w:val="00054E2A"/>
    <w:rsid w:val="00055497"/>
    <w:rsid w:val="00055F3E"/>
    <w:rsid w:val="00057A1C"/>
    <w:rsid w:val="00061592"/>
    <w:rsid w:val="000617C1"/>
    <w:rsid w:val="00061AA9"/>
    <w:rsid w:val="00062F13"/>
    <w:rsid w:val="00063DA8"/>
    <w:rsid w:val="00064115"/>
    <w:rsid w:val="00065329"/>
    <w:rsid w:val="000655D2"/>
    <w:rsid w:val="0006683D"/>
    <w:rsid w:val="00066928"/>
    <w:rsid w:val="00066E85"/>
    <w:rsid w:val="0007059D"/>
    <w:rsid w:val="00070752"/>
    <w:rsid w:val="0007080C"/>
    <w:rsid w:val="0007383D"/>
    <w:rsid w:val="00073E34"/>
    <w:rsid w:val="0007562D"/>
    <w:rsid w:val="0007592E"/>
    <w:rsid w:val="00077AF9"/>
    <w:rsid w:val="00080005"/>
    <w:rsid w:val="00081805"/>
    <w:rsid w:val="00082EBF"/>
    <w:rsid w:val="000836D5"/>
    <w:rsid w:val="0008519E"/>
    <w:rsid w:val="00085236"/>
    <w:rsid w:val="000856E9"/>
    <w:rsid w:val="000864D1"/>
    <w:rsid w:val="0008695C"/>
    <w:rsid w:val="00086A55"/>
    <w:rsid w:val="00090ED5"/>
    <w:rsid w:val="0009100D"/>
    <w:rsid w:val="000912DF"/>
    <w:rsid w:val="00091B31"/>
    <w:rsid w:val="00091C85"/>
    <w:rsid w:val="000923C8"/>
    <w:rsid w:val="000935B4"/>
    <w:rsid w:val="0009374F"/>
    <w:rsid w:val="00096182"/>
    <w:rsid w:val="000A0CF6"/>
    <w:rsid w:val="000A33B2"/>
    <w:rsid w:val="000A3497"/>
    <w:rsid w:val="000A48EE"/>
    <w:rsid w:val="000A59E4"/>
    <w:rsid w:val="000A7A49"/>
    <w:rsid w:val="000B08BC"/>
    <w:rsid w:val="000B0984"/>
    <w:rsid w:val="000B0BCC"/>
    <w:rsid w:val="000B189F"/>
    <w:rsid w:val="000B3AC5"/>
    <w:rsid w:val="000B3BAC"/>
    <w:rsid w:val="000B3CC6"/>
    <w:rsid w:val="000B4884"/>
    <w:rsid w:val="000B5E5B"/>
    <w:rsid w:val="000B6148"/>
    <w:rsid w:val="000B61D6"/>
    <w:rsid w:val="000B6BCE"/>
    <w:rsid w:val="000B6C70"/>
    <w:rsid w:val="000B70B1"/>
    <w:rsid w:val="000B7826"/>
    <w:rsid w:val="000C0A1A"/>
    <w:rsid w:val="000C2A34"/>
    <w:rsid w:val="000C2CD2"/>
    <w:rsid w:val="000C5751"/>
    <w:rsid w:val="000C6644"/>
    <w:rsid w:val="000C7596"/>
    <w:rsid w:val="000D0506"/>
    <w:rsid w:val="000D0DCD"/>
    <w:rsid w:val="000D102D"/>
    <w:rsid w:val="000D1EBD"/>
    <w:rsid w:val="000D38A9"/>
    <w:rsid w:val="000D5404"/>
    <w:rsid w:val="000D64A3"/>
    <w:rsid w:val="000D75C7"/>
    <w:rsid w:val="000D7936"/>
    <w:rsid w:val="000D79AC"/>
    <w:rsid w:val="000D7BFD"/>
    <w:rsid w:val="000E00F8"/>
    <w:rsid w:val="000E018F"/>
    <w:rsid w:val="000E127C"/>
    <w:rsid w:val="000E2E94"/>
    <w:rsid w:val="000E3438"/>
    <w:rsid w:val="000E4264"/>
    <w:rsid w:val="000E54A1"/>
    <w:rsid w:val="000E6B46"/>
    <w:rsid w:val="000E6DB6"/>
    <w:rsid w:val="000F12A9"/>
    <w:rsid w:val="000F1D7E"/>
    <w:rsid w:val="000F35E7"/>
    <w:rsid w:val="000F6997"/>
    <w:rsid w:val="000F7015"/>
    <w:rsid w:val="000F7349"/>
    <w:rsid w:val="000F7BFC"/>
    <w:rsid w:val="001021A8"/>
    <w:rsid w:val="00102328"/>
    <w:rsid w:val="0010320D"/>
    <w:rsid w:val="001032EE"/>
    <w:rsid w:val="00103EE8"/>
    <w:rsid w:val="0010412A"/>
    <w:rsid w:val="0010612F"/>
    <w:rsid w:val="001064BE"/>
    <w:rsid w:val="00106E25"/>
    <w:rsid w:val="001076F3"/>
    <w:rsid w:val="0010791B"/>
    <w:rsid w:val="0011002F"/>
    <w:rsid w:val="00110F63"/>
    <w:rsid w:val="001113D0"/>
    <w:rsid w:val="001125D9"/>
    <w:rsid w:val="00112905"/>
    <w:rsid w:val="001139EF"/>
    <w:rsid w:val="00113A9D"/>
    <w:rsid w:val="00113FFD"/>
    <w:rsid w:val="00115A9E"/>
    <w:rsid w:val="00116BB6"/>
    <w:rsid w:val="00116E19"/>
    <w:rsid w:val="0012067E"/>
    <w:rsid w:val="00121250"/>
    <w:rsid w:val="00123E23"/>
    <w:rsid w:val="00123F3F"/>
    <w:rsid w:val="001243CA"/>
    <w:rsid w:val="001246C8"/>
    <w:rsid w:val="001253E0"/>
    <w:rsid w:val="00125805"/>
    <w:rsid w:val="00125A0D"/>
    <w:rsid w:val="00126CC2"/>
    <w:rsid w:val="00126EC0"/>
    <w:rsid w:val="00127ACB"/>
    <w:rsid w:val="0013003C"/>
    <w:rsid w:val="00130349"/>
    <w:rsid w:val="001305CD"/>
    <w:rsid w:val="00130AD0"/>
    <w:rsid w:val="001312B0"/>
    <w:rsid w:val="001323DD"/>
    <w:rsid w:val="00132914"/>
    <w:rsid w:val="0013303E"/>
    <w:rsid w:val="00135132"/>
    <w:rsid w:val="0013551C"/>
    <w:rsid w:val="00137BC9"/>
    <w:rsid w:val="00140276"/>
    <w:rsid w:val="001412FF"/>
    <w:rsid w:val="0014251E"/>
    <w:rsid w:val="0014253A"/>
    <w:rsid w:val="00142E63"/>
    <w:rsid w:val="0014356D"/>
    <w:rsid w:val="001437C3"/>
    <w:rsid w:val="00143AEB"/>
    <w:rsid w:val="00145810"/>
    <w:rsid w:val="00145B40"/>
    <w:rsid w:val="00146EC9"/>
    <w:rsid w:val="001475B6"/>
    <w:rsid w:val="001475C4"/>
    <w:rsid w:val="00147857"/>
    <w:rsid w:val="00150567"/>
    <w:rsid w:val="001510A8"/>
    <w:rsid w:val="00152458"/>
    <w:rsid w:val="001527A4"/>
    <w:rsid w:val="00153192"/>
    <w:rsid w:val="00153BDC"/>
    <w:rsid w:val="00154CA2"/>
    <w:rsid w:val="00154E26"/>
    <w:rsid w:val="00156E37"/>
    <w:rsid w:val="001578B7"/>
    <w:rsid w:val="0016006B"/>
    <w:rsid w:val="00160391"/>
    <w:rsid w:val="001607A5"/>
    <w:rsid w:val="00161215"/>
    <w:rsid w:val="001617A8"/>
    <w:rsid w:val="00162744"/>
    <w:rsid w:val="00162D71"/>
    <w:rsid w:val="00162E1A"/>
    <w:rsid w:val="00164B46"/>
    <w:rsid w:val="00165159"/>
    <w:rsid w:val="001665D6"/>
    <w:rsid w:val="001669A3"/>
    <w:rsid w:val="00170618"/>
    <w:rsid w:val="0017282D"/>
    <w:rsid w:val="001730C2"/>
    <w:rsid w:val="00175A44"/>
    <w:rsid w:val="001765F5"/>
    <w:rsid w:val="0017690B"/>
    <w:rsid w:val="00176978"/>
    <w:rsid w:val="00176C9F"/>
    <w:rsid w:val="00177E86"/>
    <w:rsid w:val="0018005D"/>
    <w:rsid w:val="001802B3"/>
    <w:rsid w:val="0018163B"/>
    <w:rsid w:val="00181DF8"/>
    <w:rsid w:val="0018232F"/>
    <w:rsid w:val="001825A1"/>
    <w:rsid w:val="00182897"/>
    <w:rsid w:val="00183185"/>
    <w:rsid w:val="001833C1"/>
    <w:rsid w:val="00183912"/>
    <w:rsid w:val="00185DEB"/>
    <w:rsid w:val="00185F52"/>
    <w:rsid w:val="0018617B"/>
    <w:rsid w:val="00186612"/>
    <w:rsid w:val="00186758"/>
    <w:rsid w:val="00186EC3"/>
    <w:rsid w:val="001871C3"/>
    <w:rsid w:val="00187801"/>
    <w:rsid w:val="00190C57"/>
    <w:rsid w:val="0019147D"/>
    <w:rsid w:val="00191797"/>
    <w:rsid w:val="00193018"/>
    <w:rsid w:val="00194626"/>
    <w:rsid w:val="00195AF6"/>
    <w:rsid w:val="00196162"/>
    <w:rsid w:val="0019743A"/>
    <w:rsid w:val="001A1679"/>
    <w:rsid w:val="001A2C42"/>
    <w:rsid w:val="001A4AA8"/>
    <w:rsid w:val="001A4DDF"/>
    <w:rsid w:val="001A51F6"/>
    <w:rsid w:val="001A5AA7"/>
    <w:rsid w:val="001A6449"/>
    <w:rsid w:val="001A70BF"/>
    <w:rsid w:val="001A7288"/>
    <w:rsid w:val="001B0043"/>
    <w:rsid w:val="001B0613"/>
    <w:rsid w:val="001B08E7"/>
    <w:rsid w:val="001B17EE"/>
    <w:rsid w:val="001B35B6"/>
    <w:rsid w:val="001B5045"/>
    <w:rsid w:val="001B5131"/>
    <w:rsid w:val="001B53A7"/>
    <w:rsid w:val="001B6F44"/>
    <w:rsid w:val="001B727B"/>
    <w:rsid w:val="001C1041"/>
    <w:rsid w:val="001C13D7"/>
    <w:rsid w:val="001C1689"/>
    <w:rsid w:val="001C2288"/>
    <w:rsid w:val="001C26D6"/>
    <w:rsid w:val="001C2B0E"/>
    <w:rsid w:val="001C41D5"/>
    <w:rsid w:val="001C45D9"/>
    <w:rsid w:val="001C5C72"/>
    <w:rsid w:val="001C7CA7"/>
    <w:rsid w:val="001D0CE2"/>
    <w:rsid w:val="001D16D9"/>
    <w:rsid w:val="001D18C3"/>
    <w:rsid w:val="001D1967"/>
    <w:rsid w:val="001D3CCD"/>
    <w:rsid w:val="001D47D3"/>
    <w:rsid w:val="001D5A25"/>
    <w:rsid w:val="001D5F04"/>
    <w:rsid w:val="001D61CD"/>
    <w:rsid w:val="001D68ED"/>
    <w:rsid w:val="001D693B"/>
    <w:rsid w:val="001D6C4F"/>
    <w:rsid w:val="001D6EB4"/>
    <w:rsid w:val="001D742F"/>
    <w:rsid w:val="001E0C12"/>
    <w:rsid w:val="001E10FB"/>
    <w:rsid w:val="001E13EE"/>
    <w:rsid w:val="001E2497"/>
    <w:rsid w:val="001E4F1B"/>
    <w:rsid w:val="001E681A"/>
    <w:rsid w:val="001E6AAC"/>
    <w:rsid w:val="001E7231"/>
    <w:rsid w:val="001E7CEC"/>
    <w:rsid w:val="001F1518"/>
    <w:rsid w:val="001F440C"/>
    <w:rsid w:val="001F6908"/>
    <w:rsid w:val="001F6BD3"/>
    <w:rsid w:val="001F6E4B"/>
    <w:rsid w:val="001F7574"/>
    <w:rsid w:val="001F79AB"/>
    <w:rsid w:val="002001D7"/>
    <w:rsid w:val="00200475"/>
    <w:rsid w:val="00200A17"/>
    <w:rsid w:val="00200A69"/>
    <w:rsid w:val="00202172"/>
    <w:rsid w:val="002034DB"/>
    <w:rsid w:val="00203677"/>
    <w:rsid w:val="00203B4F"/>
    <w:rsid w:val="00203D7B"/>
    <w:rsid w:val="00205089"/>
    <w:rsid w:val="002052FA"/>
    <w:rsid w:val="002056B4"/>
    <w:rsid w:val="00205B92"/>
    <w:rsid w:val="002062B0"/>
    <w:rsid w:val="002065D8"/>
    <w:rsid w:val="00206965"/>
    <w:rsid w:val="00207327"/>
    <w:rsid w:val="00207613"/>
    <w:rsid w:val="00210453"/>
    <w:rsid w:val="00210A90"/>
    <w:rsid w:val="002112B1"/>
    <w:rsid w:val="00211AB3"/>
    <w:rsid w:val="002126AF"/>
    <w:rsid w:val="002126FD"/>
    <w:rsid w:val="00212CF4"/>
    <w:rsid w:val="00213611"/>
    <w:rsid w:val="0021425D"/>
    <w:rsid w:val="00215968"/>
    <w:rsid w:val="00217EB4"/>
    <w:rsid w:val="002216BF"/>
    <w:rsid w:val="00221DF7"/>
    <w:rsid w:val="00222B9E"/>
    <w:rsid w:val="00222CBA"/>
    <w:rsid w:val="00223229"/>
    <w:rsid w:val="00223CA4"/>
    <w:rsid w:val="0022555F"/>
    <w:rsid w:val="002271EC"/>
    <w:rsid w:val="002273A4"/>
    <w:rsid w:val="0022775D"/>
    <w:rsid w:val="00227D9B"/>
    <w:rsid w:val="00230222"/>
    <w:rsid w:val="00230A74"/>
    <w:rsid w:val="00231BD3"/>
    <w:rsid w:val="002323EB"/>
    <w:rsid w:val="002331F6"/>
    <w:rsid w:val="0023326D"/>
    <w:rsid w:val="00233A3D"/>
    <w:rsid w:val="00234215"/>
    <w:rsid w:val="0023483B"/>
    <w:rsid w:val="002354BE"/>
    <w:rsid w:val="002356B3"/>
    <w:rsid w:val="0023641A"/>
    <w:rsid w:val="002365CD"/>
    <w:rsid w:val="00237213"/>
    <w:rsid w:val="00237931"/>
    <w:rsid w:val="0024040F"/>
    <w:rsid w:val="002408EE"/>
    <w:rsid w:val="002428D5"/>
    <w:rsid w:val="00243287"/>
    <w:rsid w:val="00244186"/>
    <w:rsid w:val="00245AC8"/>
    <w:rsid w:val="00245B57"/>
    <w:rsid w:val="00245E87"/>
    <w:rsid w:val="00250CC9"/>
    <w:rsid w:val="00251137"/>
    <w:rsid w:val="00251588"/>
    <w:rsid w:val="002544E8"/>
    <w:rsid w:val="0025582A"/>
    <w:rsid w:val="00255F39"/>
    <w:rsid w:val="00255F54"/>
    <w:rsid w:val="00260CFF"/>
    <w:rsid w:val="002613DA"/>
    <w:rsid w:val="002624ED"/>
    <w:rsid w:val="00263A07"/>
    <w:rsid w:val="00263C4D"/>
    <w:rsid w:val="00263EBE"/>
    <w:rsid w:val="00264CE4"/>
    <w:rsid w:val="00265318"/>
    <w:rsid w:val="0026639C"/>
    <w:rsid w:val="00266436"/>
    <w:rsid w:val="00267258"/>
    <w:rsid w:val="00270621"/>
    <w:rsid w:val="002707E9"/>
    <w:rsid w:val="0027258E"/>
    <w:rsid w:val="00273B79"/>
    <w:rsid w:val="00276508"/>
    <w:rsid w:val="00276A9B"/>
    <w:rsid w:val="00276B91"/>
    <w:rsid w:val="002773D5"/>
    <w:rsid w:val="002774EF"/>
    <w:rsid w:val="00277E5A"/>
    <w:rsid w:val="002811D4"/>
    <w:rsid w:val="00281A9F"/>
    <w:rsid w:val="00281D64"/>
    <w:rsid w:val="00282181"/>
    <w:rsid w:val="0028292A"/>
    <w:rsid w:val="00282CDF"/>
    <w:rsid w:val="00283170"/>
    <w:rsid w:val="00284825"/>
    <w:rsid w:val="00284895"/>
    <w:rsid w:val="002849C2"/>
    <w:rsid w:val="00284B55"/>
    <w:rsid w:val="00285340"/>
    <w:rsid w:val="00285578"/>
    <w:rsid w:val="00285781"/>
    <w:rsid w:val="00285EFA"/>
    <w:rsid w:val="0028663D"/>
    <w:rsid w:val="00287F3B"/>
    <w:rsid w:val="002930B4"/>
    <w:rsid w:val="00294019"/>
    <w:rsid w:val="00294954"/>
    <w:rsid w:val="00296237"/>
    <w:rsid w:val="00296E41"/>
    <w:rsid w:val="002A010E"/>
    <w:rsid w:val="002A109F"/>
    <w:rsid w:val="002A1919"/>
    <w:rsid w:val="002A2D90"/>
    <w:rsid w:val="002A384E"/>
    <w:rsid w:val="002A3947"/>
    <w:rsid w:val="002A3AA5"/>
    <w:rsid w:val="002A4278"/>
    <w:rsid w:val="002A5224"/>
    <w:rsid w:val="002A5D23"/>
    <w:rsid w:val="002A682E"/>
    <w:rsid w:val="002A6AA7"/>
    <w:rsid w:val="002B5417"/>
    <w:rsid w:val="002B5927"/>
    <w:rsid w:val="002B59A8"/>
    <w:rsid w:val="002B700B"/>
    <w:rsid w:val="002B79BF"/>
    <w:rsid w:val="002B7BF0"/>
    <w:rsid w:val="002B7E6E"/>
    <w:rsid w:val="002C0842"/>
    <w:rsid w:val="002C0921"/>
    <w:rsid w:val="002C3405"/>
    <w:rsid w:val="002C41FD"/>
    <w:rsid w:val="002C58D5"/>
    <w:rsid w:val="002C64C6"/>
    <w:rsid w:val="002C6508"/>
    <w:rsid w:val="002C6A85"/>
    <w:rsid w:val="002C6B70"/>
    <w:rsid w:val="002C6EC3"/>
    <w:rsid w:val="002D1364"/>
    <w:rsid w:val="002D1738"/>
    <w:rsid w:val="002D21C7"/>
    <w:rsid w:val="002D22B7"/>
    <w:rsid w:val="002D266E"/>
    <w:rsid w:val="002D31FF"/>
    <w:rsid w:val="002D4BCB"/>
    <w:rsid w:val="002D4E26"/>
    <w:rsid w:val="002D50B7"/>
    <w:rsid w:val="002D7BD5"/>
    <w:rsid w:val="002D7EEA"/>
    <w:rsid w:val="002E018E"/>
    <w:rsid w:val="002E0BE5"/>
    <w:rsid w:val="002E1297"/>
    <w:rsid w:val="002E1380"/>
    <w:rsid w:val="002E3201"/>
    <w:rsid w:val="002E34F9"/>
    <w:rsid w:val="002E3F54"/>
    <w:rsid w:val="002E3FCE"/>
    <w:rsid w:val="002F195A"/>
    <w:rsid w:val="002F1DBD"/>
    <w:rsid w:val="002F2271"/>
    <w:rsid w:val="002F2280"/>
    <w:rsid w:val="002F3BFA"/>
    <w:rsid w:val="002F3C19"/>
    <w:rsid w:val="002F4FAB"/>
    <w:rsid w:val="002F55A3"/>
    <w:rsid w:val="002F5797"/>
    <w:rsid w:val="002F6E7D"/>
    <w:rsid w:val="002F7A4B"/>
    <w:rsid w:val="003008BF"/>
    <w:rsid w:val="00300C1D"/>
    <w:rsid w:val="00301657"/>
    <w:rsid w:val="00301893"/>
    <w:rsid w:val="00301E07"/>
    <w:rsid w:val="00302A4E"/>
    <w:rsid w:val="00303455"/>
    <w:rsid w:val="003039E5"/>
    <w:rsid w:val="00306564"/>
    <w:rsid w:val="003066D0"/>
    <w:rsid w:val="00311ED2"/>
    <w:rsid w:val="00311EF4"/>
    <w:rsid w:val="00312986"/>
    <w:rsid w:val="0031325C"/>
    <w:rsid w:val="0031424E"/>
    <w:rsid w:val="00314582"/>
    <w:rsid w:val="003147E4"/>
    <w:rsid w:val="00315762"/>
    <w:rsid w:val="003160EF"/>
    <w:rsid w:val="003163D4"/>
    <w:rsid w:val="003176A9"/>
    <w:rsid w:val="00317D18"/>
    <w:rsid w:val="00317D70"/>
    <w:rsid w:val="003205B6"/>
    <w:rsid w:val="00320AD9"/>
    <w:rsid w:val="00321913"/>
    <w:rsid w:val="00321CC6"/>
    <w:rsid w:val="0032207B"/>
    <w:rsid w:val="00323D1C"/>
    <w:rsid w:val="00323D7C"/>
    <w:rsid w:val="00323E19"/>
    <w:rsid w:val="003242CB"/>
    <w:rsid w:val="0032724C"/>
    <w:rsid w:val="00327E4B"/>
    <w:rsid w:val="00330D0F"/>
    <w:rsid w:val="003317E1"/>
    <w:rsid w:val="00331FFB"/>
    <w:rsid w:val="003341E7"/>
    <w:rsid w:val="00334435"/>
    <w:rsid w:val="00334CA1"/>
    <w:rsid w:val="00334DE8"/>
    <w:rsid w:val="00335922"/>
    <w:rsid w:val="00335B37"/>
    <w:rsid w:val="00336777"/>
    <w:rsid w:val="0033698C"/>
    <w:rsid w:val="00337F5D"/>
    <w:rsid w:val="00340779"/>
    <w:rsid w:val="00341045"/>
    <w:rsid w:val="00341817"/>
    <w:rsid w:val="0034210D"/>
    <w:rsid w:val="003425DA"/>
    <w:rsid w:val="00343E00"/>
    <w:rsid w:val="00344D11"/>
    <w:rsid w:val="00345FC4"/>
    <w:rsid w:val="003467C7"/>
    <w:rsid w:val="00346BB0"/>
    <w:rsid w:val="003478B7"/>
    <w:rsid w:val="00347F0F"/>
    <w:rsid w:val="003505CA"/>
    <w:rsid w:val="0035108F"/>
    <w:rsid w:val="0035145F"/>
    <w:rsid w:val="00351794"/>
    <w:rsid w:val="00351C62"/>
    <w:rsid w:val="00352278"/>
    <w:rsid w:val="00352BBF"/>
    <w:rsid w:val="00353660"/>
    <w:rsid w:val="00353877"/>
    <w:rsid w:val="00353E76"/>
    <w:rsid w:val="003542F4"/>
    <w:rsid w:val="00354500"/>
    <w:rsid w:val="0035500A"/>
    <w:rsid w:val="00355E0A"/>
    <w:rsid w:val="00356557"/>
    <w:rsid w:val="003568CC"/>
    <w:rsid w:val="00356AB0"/>
    <w:rsid w:val="00356D60"/>
    <w:rsid w:val="00357413"/>
    <w:rsid w:val="0035768C"/>
    <w:rsid w:val="00360DDE"/>
    <w:rsid w:val="003619F7"/>
    <w:rsid w:val="003628F6"/>
    <w:rsid w:val="00363065"/>
    <w:rsid w:val="00363EC2"/>
    <w:rsid w:val="003643A4"/>
    <w:rsid w:val="00365F1D"/>
    <w:rsid w:val="00366460"/>
    <w:rsid w:val="00366844"/>
    <w:rsid w:val="00367393"/>
    <w:rsid w:val="0036785E"/>
    <w:rsid w:val="00371853"/>
    <w:rsid w:val="00371F17"/>
    <w:rsid w:val="003722D2"/>
    <w:rsid w:val="0037258C"/>
    <w:rsid w:val="00373573"/>
    <w:rsid w:val="003737E3"/>
    <w:rsid w:val="00373980"/>
    <w:rsid w:val="00373E6A"/>
    <w:rsid w:val="00374967"/>
    <w:rsid w:val="003803A9"/>
    <w:rsid w:val="00380BAA"/>
    <w:rsid w:val="003814E2"/>
    <w:rsid w:val="003818AF"/>
    <w:rsid w:val="00382C1A"/>
    <w:rsid w:val="0038315C"/>
    <w:rsid w:val="00383718"/>
    <w:rsid w:val="003842C0"/>
    <w:rsid w:val="00384309"/>
    <w:rsid w:val="003851EA"/>
    <w:rsid w:val="00385212"/>
    <w:rsid w:val="00385B5C"/>
    <w:rsid w:val="00385D25"/>
    <w:rsid w:val="00386A27"/>
    <w:rsid w:val="003905D9"/>
    <w:rsid w:val="003912D4"/>
    <w:rsid w:val="00391AF0"/>
    <w:rsid w:val="00393E9F"/>
    <w:rsid w:val="003944A1"/>
    <w:rsid w:val="003964E8"/>
    <w:rsid w:val="003965FC"/>
    <w:rsid w:val="00397865"/>
    <w:rsid w:val="00397BD9"/>
    <w:rsid w:val="003A1B78"/>
    <w:rsid w:val="003A1E22"/>
    <w:rsid w:val="003A3489"/>
    <w:rsid w:val="003A36D1"/>
    <w:rsid w:val="003A3D29"/>
    <w:rsid w:val="003A46BA"/>
    <w:rsid w:val="003A4BB7"/>
    <w:rsid w:val="003A57A5"/>
    <w:rsid w:val="003A5A47"/>
    <w:rsid w:val="003A5ACD"/>
    <w:rsid w:val="003A5D09"/>
    <w:rsid w:val="003A6AA8"/>
    <w:rsid w:val="003A7D0F"/>
    <w:rsid w:val="003B12F1"/>
    <w:rsid w:val="003B2CF9"/>
    <w:rsid w:val="003B3929"/>
    <w:rsid w:val="003B480A"/>
    <w:rsid w:val="003B4C23"/>
    <w:rsid w:val="003B4EF4"/>
    <w:rsid w:val="003B5D7A"/>
    <w:rsid w:val="003B5DB9"/>
    <w:rsid w:val="003B6B9A"/>
    <w:rsid w:val="003B6DE4"/>
    <w:rsid w:val="003B713C"/>
    <w:rsid w:val="003B73CF"/>
    <w:rsid w:val="003B7BC2"/>
    <w:rsid w:val="003B7EB3"/>
    <w:rsid w:val="003B7EC4"/>
    <w:rsid w:val="003C0E82"/>
    <w:rsid w:val="003C1407"/>
    <w:rsid w:val="003C250F"/>
    <w:rsid w:val="003C352A"/>
    <w:rsid w:val="003C41DE"/>
    <w:rsid w:val="003C43DF"/>
    <w:rsid w:val="003C4481"/>
    <w:rsid w:val="003C476D"/>
    <w:rsid w:val="003C65AC"/>
    <w:rsid w:val="003C7411"/>
    <w:rsid w:val="003C752C"/>
    <w:rsid w:val="003D2588"/>
    <w:rsid w:val="003D25F0"/>
    <w:rsid w:val="003D30F9"/>
    <w:rsid w:val="003D4071"/>
    <w:rsid w:val="003D44FF"/>
    <w:rsid w:val="003D51FF"/>
    <w:rsid w:val="003D5837"/>
    <w:rsid w:val="003D677B"/>
    <w:rsid w:val="003D7663"/>
    <w:rsid w:val="003D7AF3"/>
    <w:rsid w:val="003E102B"/>
    <w:rsid w:val="003E1529"/>
    <w:rsid w:val="003E4F9B"/>
    <w:rsid w:val="003E51A8"/>
    <w:rsid w:val="003E59F0"/>
    <w:rsid w:val="003E5E9B"/>
    <w:rsid w:val="003E619A"/>
    <w:rsid w:val="003E67B8"/>
    <w:rsid w:val="003E6BFD"/>
    <w:rsid w:val="003E7544"/>
    <w:rsid w:val="003F15F8"/>
    <w:rsid w:val="003F1927"/>
    <w:rsid w:val="003F1DF8"/>
    <w:rsid w:val="003F2DD8"/>
    <w:rsid w:val="003F3DDC"/>
    <w:rsid w:val="003F3F18"/>
    <w:rsid w:val="003F558A"/>
    <w:rsid w:val="003F6445"/>
    <w:rsid w:val="003F6A4E"/>
    <w:rsid w:val="003F6D0A"/>
    <w:rsid w:val="003F7298"/>
    <w:rsid w:val="003F7DB6"/>
    <w:rsid w:val="00400922"/>
    <w:rsid w:val="00400DA7"/>
    <w:rsid w:val="0040109E"/>
    <w:rsid w:val="004017BE"/>
    <w:rsid w:val="0040358B"/>
    <w:rsid w:val="00403DF5"/>
    <w:rsid w:val="0040427A"/>
    <w:rsid w:val="00404833"/>
    <w:rsid w:val="00404A06"/>
    <w:rsid w:val="00404FD4"/>
    <w:rsid w:val="004068D7"/>
    <w:rsid w:val="00407BAE"/>
    <w:rsid w:val="00411764"/>
    <w:rsid w:val="00411956"/>
    <w:rsid w:val="00411A60"/>
    <w:rsid w:val="00411DFF"/>
    <w:rsid w:val="004129A6"/>
    <w:rsid w:val="00412AEC"/>
    <w:rsid w:val="00413288"/>
    <w:rsid w:val="004138C7"/>
    <w:rsid w:val="00413965"/>
    <w:rsid w:val="00415D6E"/>
    <w:rsid w:val="004161D8"/>
    <w:rsid w:val="00422650"/>
    <w:rsid w:val="0042355C"/>
    <w:rsid w:val="00423B91"/>
    <w:rsid w:val="0042412C"/>
    <w:rsid w:val="004244A2"/>
    <w:rsid w:val="00424788"/>
    <w:rsid w:val="00425072"/>
    <w:rsid w:val="00425EAE"/>
    <w:rsid w:val="0042625C"/>
    <w:rsid w:val="004308EE"/>
    <w:rsid w:val="004323FA"/>
    <w:rsid w:val="00433320"/>
    <w:rsid w:val="00433883"/>
    <w:rsid w:val="00433DE3"/>
    <w:rsid w:val="004340F8"/>
    <w:rsid w:val="004347AA"/>
    <w:rsid w:val="004348FC"/>
    <w:rsid w:val="00435349"/>
    <w:rsid w:val="0043535F"/>
    <w:rsid w:val="004357C0"/>
    <w:rsid w:val="0044068A"/>
    <w:rsid w:val="00442E1F"/>
    <w:rsid w:val="004436AF"/>
    <w:rsid w:val="004437A1"/>
    <w:rsid w:val="00443D5F"/>
    <w:rsid w:val="00443F59"/>
    <w:rsid w:val="0044583E"/>
    <w:rsid w:val="004461F1"/>
    <w:rsid w:val="004465A7"/>
    <w:rsid w:val="00450838"/>
    <w:rsid w:val="00450958"/>
    <w:rsid w:val="00451A91"/>
    <w:rsid w:val="00451EAB"/>
    <w:rsid w:val="00451FE9"/>
    <w:rsid w:val="004521C4"/>
    <w:rsid w:val="00453809"/>
    <w:rsid w:val="00453A05"/>
    <w:rsid w:val="004558E2"/>
    <w:rsid w:val="00455E06"/>
    <w:rsid w:val="00456595"/>
    <w:rsid w:val="00456CB5"/>
    <w:rsid w:val="00456F02"/>
    <w:rsid w:val="004570EC"/>
    <w:rsid w:val="00457CED"/>
    <w:rsid w:val="00462415"/>
    <w:rsid w:val="00462843"/>
    <w:rsid w:val="00463432"/>
    <w:rsid w:val="004645BD"/>
    <w:rsid w:val="00466A54"/>
    <w:rsid w:val="00467830"/>
    <w:rsid w:val="00467979"/>
    <w:rsid w:val="00471543"/>
    <w:rsid w:val="0047192C"/>
    <w:rsid w:val="00471EE8"/>
    <w:rsid w:val="00472A50"/>
    <w:rsid w:val="004733DB"/>
    <w:rsid w:val="00475133"/>
    <w:rsid w:val="004763CE"/>
    <w:rsid w:val="00476622"/>
    <w:rsid w:val="004770CD"/>
    <w:rsid w:val="00477746"/>
    <w:rsid w:val="0048000E"/>
    <w:rsid w:val="0048067D"/>
    <w:rsid w:val="00481681"/>
    <w:rsid w:val="00482225"/>
    <w:rsid w:val="0048224E"/>
    <w:rsid w:val="00485CC4"/>
    <w:rsid w:val="00485CE8"/>
    <w:rsid w:val="004867D0"/>
    <w:rsid w:val="004900CF"/>
    <w:rsid w:val="00490E51"/>
    <w:rsid w:val="00491252"/>
    <w:rsid w:val="0049149F"/>
    <w:rsid w:val="00491FB9"/>
    <w:rsid w:val="00494464"/>
    <w:rsid w:val="00494DC0"/>
    <w:rsid w:val="004958B2"/>
    <w:rsid w:val="004965A0"/>
    <w:rsid w:val="0049665C"/>
    <w:rsid w:val="00497266"/>
    <w:rsid w:val="00497419"/>
    <w:rsid w:val="00497A01"/>
    <w:rsid w:val="00497AB9"/>
    <w:rsid w:val="00497FBF"/>
    <w:rsid w:val="004A1E13"/>
    <w:rsid w:val="004A3396"/>
    <w:rsid w:val="004A43F7"/>
    <w:rsid w:val="004A5024"/>
    <w:rsid w:val="004A533B"/>
    <w:rsid w:val="004A56FB"/>
    <w:rsid w:val="004A63C1"/>
    <w:rsid w:val="004A655B"/>
    <w:rsid w:val="004A6591"/>
    <w:rsid w:val="004A7ECB"/>
    <w:rsid w:val="004A7F7E"/>
    <w:rsid w:val="004B01A1"/>
    <w:rsid w:val="004B08A8"/>
    <w:rsid w:val="004B0E3E"/>
    <w:rsid w:val="004B109C"/>
    <w:rsid w:val="004B18DE"/>
    <w:rsid w:val="004B2A02"/>
    <w:rsid w:val="004B3562"/>
    <w:rsid w:val="004B4DA0"/>
    <w:rsid w:val="004B50F1"/>
    <w:rsid w:val="004B5480"/>
    <w:rsid w:val="004B7130"/>
    <w:rsid w:val="004B7D58"/>
    <w:rsid w:val="004C011D"/>
    <w:rsid w:val="004C195A"/>
    <w:rsid w:val="004C3125"/>
    <w:rsid w:val="004C3AE0"/>
    <w:rsid w:val="004C41CF"/>
    <w:rsid w:val="004C4391"/>
    <w:rsid w:val="004C46A2"/>
    <w:rsid w:val="004C49D8"/>
    <w:rsid w:val="004C50A9"/>
    <w:rsid w:val="004C6CE7"/>
    <w:rsid w:val="004D0272"/>
    <w:rsid w:val="004D02B2"/>
    <w:rsid w:val="004D2351"/>
    <w:rsid w:val="004D37A3"/>
    <w:rsid w:val="004D3B18"/>
    <w:rsid w:val="004D3D99"/>
    <w:rsid w:val="004D3E5A"/>
    <w:rsid w:val="004E0A45"/>
    <w:rsid w:val="004E18A2"/>
    <w:rsid w:val="004E1F6B"/>
    <w:rsid w:val="004E1F8F"/>
    <w:rsid w:val="004E254D"/>
    <w:rsid w:val="004E260E"/>
    <w:rsid w:val="004E3117"/>
    <w:rsid w:val="004E32FF"/>
    <w:rsid w:val="004E36D4"/>
    <w:rsid w:val="004E4C0D"/>
    <w:rsid w:val="004E64A2"/>
    <w:rsid w:val="004E71E8"/>
    <w:rsid w:val="004F02A4"/>
    <w:rsid w:val="004F120C"/>
    <w:rsid w:val="004F402A"/>
    <w:rsid w:val="004F4667"/>
    <w:rsid w:val="004F4F98"/>
    <w:rsid w:val="004F6097"/>
    <w:rsid w:val="004F7138"/>
    <w:rsid w:val="00502700"/>
    <w:rsid w:val="00502C29"/>
    <w:rsid w:val="00502F7C"/>
    <w:rsid w:val="00503A4C"/>
    <w:rsid w:val="00503D52"/>
    <w:rsid w:val="00504203"/>
    <w:rsid w:val="00504984"/>
    <w:rsid w:val="00506F38"/>
    <w:rsid w:val="005079DB"/>
    <w:rsid w:val="005100F2"/>
    <w:rsid w:val="00510BEC"/>
    <w:rsid w:val="00511C11"/>
    <w:rsid w:val="00512417"/>
    <w:rsid w:val="00512D36"/>
    <w:rsid w:val="00514BC7"/>
    <w:rsid w:val="00515E2E"/>
    <w:rsid w:val="00517B4C"/>
    <w:rsid w:val="00517C6E"/>
    <w:rsid w:val="00517FD2"/>
    <w:rsid w:val="00521B01"/>
    <w:rsid w:val="00521B12"/>
    <w:rsid w:val="00521CAA"/>
    <w:rsid w:val="00521CBD"/>
    <w:rsid w:val="00521E8B"/>
    <w:rsid w:val="00521EF2"/>
    <w:rsid w:val="00522925"/>
    <w:rsid w:val="00522C8E"/>
    <w:rsid w:val="00523F17"/>
    <w:rsid w:val="00524AA1"/>
    <w:rsid w:val="00525DE0"/>
    <w:rsid w:val="00527584"/>
    <w:rsid w:val="00527882"/>
    <w:rsid w:val="0053104B"/>
    <w:rsid w:val="00532154"/>
    <w:rsid w:val="00532BBD"/>
    <w:rsid w:val="00533353"/>
    <w:rsid w:val="005338FD"/>
    <w:rsid w:val="005339B3"/>
    <w:rsid w:val="00534D3B"/>
    <w:rsid w:val="00536213"/>
    <w:rsid w:val="00536581"/>
    <w:rsid w:val="00536FE0"/>
    <w:rsid w:val="00537033"/>
    <w:rsid w:val="00542122"/>
    <w:rsid w:val="0054322A"/>
    <w:rsid w:val="00543231"/>
    <w:rsid w:val="00544235"/>
    <w:rsid w:val="00544527"/>
    <w:rsid w:val="00544C43"/>
    <w:rsid w:val="00544E83"/>
    <w:rsid w:val="00544EE7"/>
    <w:rsid w:val="005453DD"/>
    <w:rsid w:val="005458BB"/>
    <w:rsid w:val="00546FC0"/>
    <w:rsid w:val="00547700"/>
    <w:rsid w:val="005515CC"/>
    <w:rsid w:val="005516A7"/>
    <w:rsid w:val="00551FC2"/>
    <w:rsid w:val="00553291"/>
    <w:rsid w:val="00554A28"/>
    <w:rsid w:val="00556513"/>
    <w:rsid w:val="00556841"/>
    <w:rsid w:val="00556A20"/>
    <w:rsid w:val="0055784E"/>
    <w:rsid w:val="00557A87"/>
    <w:rsid w:val="0056011E"/>
    <w:rsid w:val="00560907"/>
    <w:rsid w:val="00561677"/>
    <w:rsid w:val="0056214E"/>
    <w:rsid w:val="005629E1"/>
    <w:rsid w:val="005634B9"/>
    <w:rsid w:val="005645BC"/>
    <w:rsid w:val="00565EA6"/>
    <w:rsid w:val="00567134"/>
    <w:rsid w:val="00570277"/>
    <w:rsid w:val="00571433"/>
    <w:rsid w:val="00571E60"/>
    <w:rsid w:val="00572F08"/>
    <w:rsid w:val="00574B17"/>
    <w:rsid w:val="00574EAB"/>
    <w:rsid w:val="00574F93"/>
    <w:rsid w:val="00575F30"/>
    <w:rsid w:val="0057680E"/>
    <w:rsid w:val="00577524"/>
    <w:rsid w:val="00580688"/>
    <w:rsid w:val="0058130A"/>
    <w:rsid w:val="005813C6"/>
    <w:rsid w:val="0058261D"/>
    <w:rsid w:val="0058299B"/>
    <w:rsid w:val="00582D36"/>
    <w:rsid w:val="005841BE"/>
    <w:rsid w:val="00584A48"/>
    <w:rsid w:val="00584A5B"/>
    <w:rsid w:val="0058500C"/>
    <w:rsid w:val="00585158"/>
    <w:rsid w:val="00586201"/>
    <w:rsid w:val="00586BCC"/>
    <w:rsid w:val="00590ABE"/>
    <w:rsid w:val="00591909"/>
    <w:rsid w:val="00592AAC"/>
    <w:rsid w:val="00593522"/>
    <w:rsid w:val="00593B71"/>
    <w:rsid w:val="00595181"/>
    <w:rsid w:val="0059572E"/>
    <w:rsid w:val="005959F9"/>
    <w:rsid w:val="00596922"/>
    <w:rsid w:val="00596D04"/>
    <w:rsid w:val="00597BE1"/>
    <w:rsid w:val="005A04E1"/>
    <w:rsid w:val="005A1782"/>
    <w:rsid w:val="005A1CA9"/>
    <w:rsid w:val="005A1F1C"/>
    <w:rsid w:val="005A29D1"/>
    <w:rsid w:val="005A4E87"/>
    <w:rsid w:val="005A5102"/>
    <w:rsid w:val="005A545B"/>
    <w:rsid w:val="005A6483"/>
    <w:rsid w:val="005B015C"/>
    <w:rsid w:val="005B0C59"/>
    <w:rsid w:val="005B0D1C"/>
    <w:rsid w:val="005B1C64"/>
    <w:rsid w:val="005B225C"/>
    <w:rsid w:val="005B2BAC"/>
    <w:rsid w:val="005B33F9"/>
    <w:rsid w:val="005B344B"/>
    <w:rsid w:val="005B6964"/>
    <w:rsid w:val="005B758B"/>
    <w:rsid w:val="005C0650"/>
    <w:rsid w:val="005C0D38"/>
    <w:rsid w:val="005C0E2D"/>
    <w:rsid w:val="005C0F1F"/>
    <w:rsid w:val="005C1960"/>
    <w:rsid w:val="005C1BEB"/>
    <w:rsid w:val="005C2252"/>
    <w:rsid w:val="005C25BB"/>
    <w:rsid w:val="005C2C0E"/>
    <w:rsid w:val="005C3A17"/>
    <w:rsid w:val="005C3F1A"/>
    <w:rsid w:val="005C5320"/>
    <w:rsid w:val="005C6082"/>
    <w:rsid w:val="005C620C"/>
    <w:rsid w:val="005C6577"/>
    <w:rsid w:val="005C77B3"/>
    <w:rsid w:val="005C7B89"/>
    <w:rsid w:val="005D225A"/>
    <w:rsid w:val="005D2978"/>
    <w:rsid w:val="005D2E11"/>
    <w:rsid w:val="005D3A98"/>
    <w:rsid w:val="005D5720"/>
    <w:rsid w:val="005D5898"/>
    <w:rsid w:val="005E0FB7"/>
    <w:rsid w:val="005E2796"/>
    <w:rsid w:val="005E2BC0"/>
    <w:rsid w:val="005E3F32"/>
    <w:rsid w:val="005E4BFD"/>
    <w:rsid w:val="005E4D56"/>
    <w:rsid w:val="005E668A"/>
    <w:rsid w:val="005E66CE"/>
    <w:rsid w:val="005E6BDB"/>
    <w:rsid w:val="005E6E90"/>
    <w:rsid w:val="005E7756"/>
    <w:rsid w:val="005E797D"/>
    <w:rsid w:val="005E7F26"/>
    <w:rsid w:val="005E7FA6"/>
    <w:rsid w:val="005F01BA"/>
    <w:rsid w:val="005F069A"/>
    <w:rsid w:val="005F0728"/>
    <w:rsid w:val="005F0F12"/>
    <w:rsid w:val="005F2624"/>
    <w:rsid w:val="005F3992"/>
    <w:rsid w:val="005F5A1B"/>
    <w:rsid w:val="005F72E2"/>
    <w:rsid w:val="005F7457"/>
    <w:rsid w:val="005F7D8A"/>
    <w:rsid w:val="00600102"/>
    <w:rsid w:val="00600526"/>
    <w:rsid w:val="0060099E"/>
    <w:rsid w:val="00600A4E"/>
    <w:rsid w:val="006011B3"/>
    <w:rsid w:val="00601528"/>
    <w:rsid w:val="00602CCA"/>
    <w:rsid w:val="0060522F"/>
    <w:rsid w:val="00607338"/>
    <w:rsid w:val="00607463"/>
    <w:rsid w:val="0060749B"/>
    <w:rsid w:val="006075C3"/>
    <w:rsid w:val="00607DBA"/>
    <w:rsid w:val="00611375"/>
    <w:rsid w:val="00611D95"/>
    <w:rsid w:val="00612477"/>
    <w:rsid w:val="00612DFB"/>
    <w:rsid w:val="00613DE7"/>
    <w:rsid w:val="006146E4"/>
    <w:rsid w:val="0061587C"/>
    <w:rsid w:val="006159BA"/>
    <w:rsid w:val="00615D5C"/>
    <w:rsid w:val="00617019"/>
    <w:rsid w:val="006170BA"/>
    <w:rsid w:val="00617491"/>
    <w:rsid w:val="00617EC9"/>
    <w:rsid w:val="0062047A"/>
    <w:rsid w:val="00620AF4"/>
    <w:rsid w:val="00621DA9"/>
    <w:rsid w:val="00622478"/>
    <w:rsid w:val="00623DCC"/>
    <w:rsid w:val="006243F2"/>
    <w:rsid w:val="00624AD6"/>
    <w:rsid w:val="0062670A"/>
    <w:rsid w:val="00630AAD"/>
    <w:rsid w:val="00631F09"/>
    <w:rsid w:val="00634645"/>
    <w:rsid w:val="00634780"/>
    <w:rsid w:val="00635AA7"/>
    <w:rsid w:val="0063673D"/>
    <w:rsid w:val="006369C1"/>
    <w:rsid w:val="006413FA"/>
    <w:rsid w:val="0064318F"/>
    <w:rsid w:val="0064488D"/>
    <w:rsid w:val="00645A3B"/>
    <w:rsid w:val="00645B82"/>
    <w:rsid w:val="00645CF2"/>
    <w:rsid w:val="00646BD9"/>
    <w:rsid w:val="006478E8"/>
    <w:rsid w:val="00651C9B"/>
    <w:rsid w:val="00653582"/>
    <w:rsid w:val="0065477D"/>
    <w:rsid w:val="00654E72"/>
    <w:rsid w:val="00655843"/>
    <w:rsid w:val="00655A0B"/>
    <w:rsid w:val="0065782D"/>
    <w:rsid w:val="00660D1D"/>
    <w:rsid w:val="00661382"/>
    <w:rsid w:val="00661421"/>
    <w:rsid w:val="00662B27"/>
    <w:rsid w:val="0066354A"/>
    <w:rsid w:val="00664071"/>
    <w:rsid w:val="006651E4"/>
    <w:rsid w:val="00665495"/>
    <w:rsid w:val="0066553F"/>
    <w:rsid w:val="00665595"/>
    <w:rsid w:val="0066628B"/>
    <w:rsid w:val="006675C5"/>
    <w:rsid w:val="006705C7"/>
    <w:rsid w:val="00670E37"/>
    <w:rsid w:val="00670E5D"/>
    <w:rsid w:val="0067123E"/>
    <w:rsid w:val="00671467"/>
    <w:rsid w:val="006721A4"/>
    <w:rsid w:val="00672237"/>
    <w:rsid w:val="00672B36"/>
    <w:rsid w:val="0067386F"/>
    <w:rsid w:val="00673D5C"/>
    <w:rsid w:val="006762B8"/>
    <w:rsid w:val="0067662C"/>
    <w:rsid w:val="00677C62"/>
    <w:rsid w:val="006806FF"/>
    <w:rsid w:val="00680B72"/>
    <w:rsid w:val="00681BB6"/>
    <w:rsid w:val="0068235E"/>
    <w:rsid w:val="00682F5B"/>
    <w:rsid w:val="0068319C"/>
    <w:rsid w:val="0068418B"/>
    <w:rsid w:val="00684194"/>
    <w:rsid w:val="006842FA"/>
    <w:rsid w:val="00685515"/>
    <w:rsid w:val="00685A20"/>
    <w:rsid w:val="0068649F"/>
    <w:rsid w:val="0068696C"/>
    <w:rsid w:val="00690063"/>
    <w:rsid w:val="00690230"/>
    <w:rsid w:val="00690837"/>
    <w:rsid w:val="00691B5B"/>
    <w:rsid w:val="00692521"/>
    <w:rsid w:val="0069285C"/>
    <w:rsid w:val="00692F00"/>
    <w:rsid w:val="00693844"/>
    <w:rsid w:val="00693B17"/>
    <w:rsid w:val="006948B8"/>
    <w:rsid w:val="006972FC"/>
    <w:rsid w:val="006973D1"/>
    <w:rsid w:val="0069758B"/>
    <w:rsid w:val="006A1B0B"/>
    <w:rsid w:val="006A21B6"/>
    <w:rsid w:val="006A2347"/>
    <w:rsid w:val="006A2407"/>
    <w:rsid w:val="006A269E"/>
    <w:rsid w:val="006A3636"/>
    <w:rsid w:val="006A424B"/>
    <w:rsid w:val="006A439E"/>
    <w:rsid w:val="006A447A"/>
    <w:rsid w:val="006A5DE9"/>
    <w:rsid w:val="006A6112"/>
    <w:rsid w:val="006A6CF7"/>
    <w:rsid w:val="006A7AA9"/>
    <w:rsid w:val="006A7C3F"/>
    <w:rsid w:val="006B1CA6"/>
    <w:rsid w:val="006B2A86"/>
    <w:rsid w:val="006B5182"/>
    <w:rsid w:val="006B6DD2"/>
    <w:rsid w:val="006C1AE0"/>
    <w:rsid w:val="006C1F89"/>
    <w:rsid w:val="006C2738"/>
    <w:rsid w:val="006C2FF8"/>
    <w:rsid w:val="006C4A88"/>
    <w:rsid w:val="006C5014"/>
    <w:rsid w:val="006C5C8E"/>
    <w:rsid w:val="006C61AF"/>
    <w:rsid w:val="006C678F"/>
    <w:rsid w:val="006C6A82"/>
    <w:rsid w:val="006C6AAA"/>
    <w:rsid w:val="006C7E2F"/>
    <w:rsid w:val="006D0404"/>
    <w:rsid w:val="006D0734"/>
    <w:rsid w:val="006D0DFA"/>
    <w:rsid w:val="006D13DA"/>
    <w:rsid w:val="006D1557"/>
    <w:rsid w:val="006D1937"/>
    <w:rsid w:val="006D1D00"/>
    <w:rsid w:val="006D2BF9"/>
    <w:rsid w:val="006D4346"/>
    <w:rsid w:val="006D4452"/>
    <w:rsid w:val="006D4B99"/>
    <w:rsid w:val="006D59A7"/>
    <w:rsid w:val="006D5D2D"/>
    <w:rsid w:val="006D7361"/>
    <w:rsid w:val="006E1DC5"/>
    <w:rsid w:val="006E228F"/>
    <w:rsid w:val="006E657B"/>
    <w:rsid w:val="006E6807"/>
    <w:rsid w:val="006E6B31"/>
    <w:rsid w:val="006E6EBD"/>
    <w:rsid w:val="006E7EAE"/>
    <w:rsid w:val="006E7FEB"/>
    <w:rsid w:val="006F018E"/>
    <w:rsid w:val="006F189D"/>
    <w:rsid w:val="006F3BE9"/>
    <w:rsid w:val="006F49E0"/>
    <w:rsid w:val="006F79A0"/>
    <w:rsid w:val="006F7EA6"/>
    <w:rsid w:val="00701502"/>
    <w:rsid w:val="0070195D"/>
    <w:rsid w:val="00703243"/>
    <w:rsid w:val="007034BD"/>
    <w:rsid w:val="00704598"/>
    <w:rsid w:val="007047B0"/>
    <w:rsid w:val="00704B67"/>
    <w:rsid w:val="00704C4D"/>
    <w:rsid w:val="007068BD"/>
    <w:rsid w:val="00706C7A"/>
    <w:rsid w:val="00707053"/>
    <w:rsid w:val="00707093"/>
    <w:rsid w:val="00707460"/>
    <w:rsid w:val="00707924"/>
    <w:rsid w:val="00711138"/>
    <w:rsid w:val="00712279"/>
    <w:rsid w:val="00713D1B"/>
    <w:rsid w:val="00714A32"/>
    <w:rsid w:val="00715DBB"/>
    <w:rsid w:val="00717285"/>
    <w:rsid w:val="00717737"/>
    <w:rsid w:val="00717A02"/>
    <w:rsid w:val="00721B32"/>
    <w:rsid w:val="00722C3A"/>
    <w:rsid w:val="00722D77"/>
    <w:rsid w:val="00723013"/>
    <w:rsid w:val="00723678"/>
    <w:rsid w:val="00723EE4"/>
    <w:rsid w:val="0072451A"/>
    <w:rsid w:val="00724F38"/>
    <w:rsid w:val="00725666"/>
    <w:rsid w:val="007264FC"/>
    <w:rsid w:val="0072732D"/>
    <w:rsid w:val="00727457"/>
    <w:rsid w:val="007278E7"/>
    <w:rsid w:val="00730595"/>
    <w:rsid w:val="00730845"/>
    <w:rsid w:val="00730958"/>
    <w:rsid w:val="00731895"/>
    <w:rsid w:val="00731EED"/>
    <w:rsid w:val="00733006"/>
    <w:rsid w:val="00733090"/>
    <w:rsid w:val="00733BCB"/>
    <w:rsid w:val="0073538E"/>
    <w:rsid w:val="00735479"/>
    <w:rsid w:val="00735A3B"/>
    <w:rsid w:val="00737387"/>
    <w:rsid w:val="00737ABB"/>
    <w:rsid w:val="00742D71"/>
    <w:rsid w:val="00743CF2"/>
    <w:rsid w:val="007444B7"/>
    <w:rsid w:val="00744818"/>
    <w:rsid w:val="00744D89"/>
    <w:rsid w:val="00745016"/>
    <w:rsid w:val="00746BC6"/>
    <w:rsid w:val="00746E9B"/>
    <w:rsid w:val="0075041F"/>
    <w:rsid w:val="007515F8"/>
    <w:rsid w:val="00751F8B"/>
    <w:rsid w:val="007528D5"/>
    <w:rsid w:val="00753B0F"/>
    <w:rsid w:val="00753DF5"/>
    <w:rsid w:val="007564EA"/>
    <w:rsid w:val="00760692"/>
    <w:rsid w:val="00760D87"/>
    <w:rsid w:val="00761A0E"/>
    <w:rsid w:val="00762B2F"/>
    <w:rsid w:val="00765367"/>
    <w:rsid w:val="00765530"/>
    <w:rsid w:val="0076694C"/>
    <w:rsid w:val="00766E96"/>
    <w:rsid w:val="0076738C"/>
    <w:rsid w:val="00770AC1"/>
    <w:rsid w:val="00771CAC"/>
    <w:rsid w:val="0077211A"/>
    <w:rsid w:val="00772B62"/>
    <w:rsid w:val="00772C49"/>
    <w:rsid w:val="0077317C"/>
    <w:rsid w:val="00773AAC"/>
    <w:rsid w:val="00774395"/>
    <w:rsid w:val="007757C9"/>
    <w:rsid w:val="00777ABA"/>
    <w:rsid w:val="00780B0E"/>
    <w:rsid w:val="007830B1"/>
    <w:rsid w:val="007835D5"/>
    <w:rsid w:val="00783CD9"/>
    <w:rsid w:val="00783F00"/>
    <w:rsid w:val="00784CCC"/>
    <w:rsid w:val="007857EA"/>
    <w:rsid w:val="007858A9"/>
    <w:rsid w:val="00791656"/>
    <w:rsid w:val="0079425A"/>
    <w:rsid w:val="00794358"/>
    <w:rsid w:val="007957CC"/>
    <w:rsid w:val="00795944"/>
    <w:rsid w:val="00795EE0"/>
    <w:rsid w:val="007961C8"/>
    <w:rsid w:val="00797732"/>
    <w:rsid w:val="00797A9C"/>
    <w:rsid w:val="007A1B8F"/>
    <w:rsid w:val="007A2233"/>
    <w:rsid w:val="007A3057"/>
    <w:rsid w:val="007A44CA"/>
    <w:rsid w:val="007A5477"/>
    <w:rsid w:val="007A5812"/>
    <w:rsid w:val="007A584B"/>
    <w:rsid w:val="007A621E"/>
    <w:rsid w:val="007A6ED9"/>
    <w:rsid w:val="007B008C"/>
    <w:rsid w:val="007B0D30"/>
    <w:rsid w:val="007B0D32"/>
    <w:rsid w:val="007B13E0"/>
    <w:rsid w:val="007B15CA"/>
    <w:rsid w:val="007B2B2C"/>
    <w:rsid w:val="007B4170"/>
    <w:rsid w:val="007B6AAA"/>
    <w:rsid w:val="007B6FC0"/>
    <w:rsid w:val="007C4465"/>
    <w:rsid w:val="007C446D"/>
    <w:rsid w:val="007C47F2"/>
    <w:rsid w:val="007C49E9"/>
    <w:rsid w:val="007C4C3E"/>
    <w:rsid w:val="007C5419"/>
    <w:rsid w:val="007C579B"/>
    <w:rsid w:val="007C599B"/>
    <w:rsid w:val="007C7201"/>
    <w:rsid w:val="007D1B45"/>
    <w:rsid w:val="007D31E3"/>
    <w:rsid w:val="007D3BD6"/>
    <w:rsid w:val="007D4103"/>
    <w:rsid w:val="007D43B4"/>
    <w:rsid w:val="007D6427"/>
    <w:rsid w:val="007D657F"/>
    <w:rsid w:val="007D6BF6"/>
    <w:rsid w:val="007D7B56"/>
    <w:rsid w:val="007D7CEB"/>
    <w:rsid w:val="007D7EDD"/>
    <w:rsid w:val="007E28CA"/>
    <w:rsid w:val="007E3EF2"/>
    <w:rsid w:val="007E483E"/>
    <w:rsid w:val="007E54A3"/>
    <w:rsid w:val="007E783E"/>
    <w:rsid w:val="007E791C"/>
    <w:rsid w:val="007F0464"/>
    <w:rsid w:val="007F1381"/>
    <w:rsid w:val="007F1AD2"/>
    <w:rsid w:val="007F1C0F"/>
    <w:rsid w:val="007F1EEF"/>
    <w:rsid w:val="007F23A7"/>
    <w:rsid w:val="007F4E82"/>
    <w:rsid w:val="007F50DA"/>
    <w:rsid w:val="007F51CA"/>
    <w:rsid w:val="007F62EC"/>
    <w:rsid w:val="007F632D"/>
    <w:rsid w:val="007F6385"/>
    <w:rsid w:val="007F6C10"/>
    <w:rsid w:val="007F6E1C"/>
    <w:rsid w:val="007F7F90"/>
    <w:rsid w:val="00800B9C"/>
    <w:rsid w:val="00801AFA"/>
    <w:rsid w:val="00801D2A"/>
    <w:rsid w:val="00802611"/>
    <w:rsid w:val="00802980"/>
    <w:rsid w:val="008029C2"/>
    <w:rsid w:val="00802B46"/>
    <w:rsid w:val="00802C9B"/>
    <w:rsid w:val="00803C54"/>
    <w:rsid w:val="00804FDD"/>
    <w:rsid w:val="008057A1"/>
    <w:rsid w:val="008061AE"/>
    <w:rsid w:val="008061D3"/>
    <w:rsid w:val="00806391"/>
    <w:rsid w:val="00806A3F"/>
    <w:rsid w:val="00811E82"/>
    <w:rsid w:val="0081394E"/>
    <w:rsid w:val="00813986"/>
    <w:rsid w:val="00814700"/>
    <w:rsid w:val="008150C9"/>
    <w:rsid w:val="00815839"/>
    <w:rsid w:val="0081590E"/>
    <w:rsid w:val="00817399"/>
    <w:rsid w:val="008173F4"/>
    <w:rsid w:val="0082093F"/>
    <w:rsid w:val="00820A6C"/>
    <w:rsid w:val="008211F9"/>
    <w:rsid w:val="00823612"/>
    <w:rsid w:val="008236B5"/>
    <w:rsid w:val="00823A9F"/>
    <w:rsid w:val="00824992"/>
    <w:rsid w:val="00824BF5"/>
    <w:rsid w:val="00826B91"/>
    <w:rsid w:val="00826B9F"/>
    <w:rsid w:val="00831484"/>
    <w:rsid w:val="008348BF"/>
    <w:rsid w:val="008348D5"/>
    <w:rsid w:val="0083536C"/>
    <w:rsid w:val="0083618E"/>
    <w:rsid w:val="008378EB"/>
    <w:rsid w:val="00837B97"/>
    <w:rsid w:val="00837E2A"/>
    <w:rsid w:val="00840A0B"/>
    <w:rsid w:val="008410B3"/>
    <w:rsid w:val="00841522"/>
    <w:rsid w:val="00842589"/>
    <w:rsid w:val="008426BD"/>
    <w:rsid w:val="00843495"/>
    <w:rsid w:val="008436DF"/>
    <w:rsid w:val="008444BC"/>
    <w:rsid w:val="0084588E"/>
    <w:rsid w:val="00845BCC"/>
    <w:rsid w:val="00846CE5"/>
    <w:rsid w:val="008475EC"/>
    <w:rsid w:val="008503F3"/>
    <w:rsid w:val="00850915"/>
    <w:rsid w:val="0085160E"/>
    <w:rsid w:val="00851647"/>
    <w:rsid w:val="00852347"/>
    <w:rsid w:val="0085302D"/>
    <w:rsid w:val="008538FD"/>
    <w:rsid w:val="00856452"/>
    <w:rsid w:val="008567B3"/>
    <w:rsid w:val="00856F97"/>
    <w:rsid w:val="00857766"/>
    <w:rsid w:val="00860B03"/>
    <w:rsid w:val="008610CF"/>
    <w:rsid w:val="008615C6"/>
    <w:rsid w:val="00861B44"/>
    <w:rsid w:val="00863314"/>
    <w:rsid w:val="008639A6"/>
    <w:rsid w:val="00863C94"/>
    <w:rsid w:val="0086446B"/>
    <w:rsid w:val="008664CC"/>
    <w:rsid w:val="00866797"/>
    <w:rsid w:val="00866C0A"/>
    <w:rsid w:val="00867003"/>
    <w:rsid w:val="00870A64"/>
    <w:rsid w:val="00870CEB"/>
    <w:rsid w:val="00871981"/>
    <w:rsid w:val="00871A70"/>
    <w:rsid w:val="008723BC"/>
    <w:rsid w:val="0087246A"/>
    <w:rsid w:val="008733D0"/>
    <w:rsid w:val="008734E5"/>
    <w:rsid w:val="00874319"/>
    <w:rsid w:val="0087459E"/>
    <w:rsid w:val="00874C4B"/>
    <w:rsid w:val="008750AE"/>
    <w:rsid w:val="00877BEC"/>
    <w:rsid w:val="00880059"/>
    <w:rsid w:val="00880193"/>
    <w:rsid w:val="008813A2"/>
    <w:rsid w:val="00881BCF"/>
    <w:rsid w:val="00881F83"/>
    <w:rsid w:val="00882067"/>
    <w:rsid w:val="008820C6"/>
    <w:rsid w:val="00882B90"/>
    <w:rsid w:val="0088668C"/>
    <w:rsid w:val="00886B69"/>
    <w:rsid w:val="00886EAF"/>
    <w:rsid w:val="008879D2"/>
    <w:rsid w:val="00887FAC"/>
    <w:rsid w:val="00891976"/>
    <w:rsid w:val="008924CE"/>
    <w:rsid w:val="008924D3"/>
    <w:rsid w:val="0089296D"/>
    <w:rsid w:val="00892A39"/>
    <w:rsid w:val="00892BD0"/>
    <w:rsid w:val="00892F9E"/>
    <w:rsid w:val="0089416E"/>
    <w:rsid w:val="0089530C"/>
    <w:rsid w:val="00895C66"/>
    <w:rsid w:val="00896834"/>
    <w:rsid w:val="00897070"/>
    <w:rsid w:val="008979CF"/>
    <w:rsid w:val="008A0839"/>
    <w:rsid w:val="008A1DDB"/>
    <w:rsid w:val="008A2045"/>
    <w:rsid w:val="008A2DE3"/>
    <w:rsid w:val="008A31F0"/>
    <w:rsid w:val="008A48C1"/>
    <w:rsid w:val="008A660B"/>
    <w:rsid w:val="008A66AB"/>
    <w:rsid w:val="008A730A"/>
    <w:rsid w:val="008A734A"/>
    <w:rsid w:val="008A7495"/>
    <w:rsid w:val="008A76A0"/>
    <w:rsid w:val="008A7A87"/>
    <w:rsid w:val="008B081F"/>
    <w:rsid w:val="008B1206"/>
    <w:rsid w:val="008B12BA"/>
    <w:rsid w:val="008B27FC"/>
    <w:rsid w:val="008B2E2B"/>
    <w:rsid w:val="008B432D"/>
    <w:rsid w:val="008B4599"/>
    <w:rsid w:val="008B52D0"/>
    <w:rsid w:val="008C06F0"/>
    <w:rsid w:val="008C07A4"/>
    <w:rsid w:val="008C16CB"/>
    <w:rsid w:val="008C1F27"/>
    <w:rsid w:val="008C2933"/>
    <w:rsid w:val="008C44EE"/>
    <w:rsid w:val="008C5DA1"/>
    <w:rsid w:val="008C650A"/>
    <w:rsid w:val="008C71BC"/>
    <w:rsid w:val="008D018E"/>
    <w:rsid w:val="008D17EB"/>
    <w:rsid w:val="008D2134"/>
    <w:rsid w:val="008D3227"/>
    <w:rsid w:val="008D530B"/>
    <w:rsid w:val="008D5977"/>
    <w:rsid w:val="008D5CB4"/>
    <w:rsid w:val="008D737E"/>
    <w:rsid w:val="008D76AB"/>
    <w:rsid w:val="008D79EE"/>
    <w:rsid w:val="008E04B9"/>
    <w:rsid w:val="008E320D"/>
    <w:rsid w:val="008E3443"/>
    <w:rsid w:val="008E5B96"/>
    <w:rsid w:val="008E652B"/>
    <w:rsid w:val="008E7330"/>
    <w:rsid w:val="008E742D"/>
    <w:rsid w:val="008F0D31"/>
    <w:rsid w:val="008F1064"/>
    <w:rsid w:val="008F38E1"/>
    <w:rsid w:val="008F3F20"/>
    <w:rsid w:val="008F4A98"/>
    <w:rsid w:val="008F7470"/>
    <w:rsid w:val="008F7C40"/>
    <w:rsid w:val="009004E6"/>
    <w:rsid w:val="009008DB"/>
    <w:rsid w:val="00900DE9"/>
    <w:rsid w:val="00901D54"/>
    <w:rsid w:val="00902BA0"/>
    <w:rsid w:val="009042C0"/>
    <w:rsid w:val="00904589"/>
    <w:rsid w:val="00904639"/>
    <w:rsid w:val="00904EFC"/>
    <w:rsid w:val="009050FE"/>
    <w:rsid w:val="00905681"/>
    <w:rsid w:val="00905908"/>
    <w:rsid w:val="00905964"/>
    <w:rsid w:val="009062C1"/>
    <w:rsid w:val="00906506"/>
    <w:rsid w:val="00906BE9"/>
    <w:rsid w:val="00910AFF"/>
    <w:rsid w:val="00911383"/>
    <w:rsid w:val="00911C06"/>
    <w:rsid w:val="009121A1"/>
    <w:rsid w:val="00913365"/>
    <w:rsid w:val="0091434E"/>
    <w:rsid w:val="00915703"/>
    <w:rsid w:val="009163F3"/>
    <w:rsid w:val="00917FB2"/>
    <w:rsid w:val="00920349"/>
    <w:rsid w:val="00921E7A"/>
    <w:rsid w:val="00924006"/>
    <w:rsid w:val="009240F6"/>
    <w:rsid w:val="009242C7"/>
    <w:rsid w:val="0092439B"/>
    <w:rsid w:val="009249D1"/>
    <w:rsid w:val="00924E13"/>
    <w:rsid w:val="009303B2"/>
    <w:rsid w:val="00930FFE"/>
    <w:rsid w:val="00931647"/>
    <w:rsid w:val="009316FC"/>
    <w:rsid w:val="00931A41"/>
    <w:rsid w:val="00933FB8"/>
    <w:rsid w:val="0093419F"/>
    <w:rsid w:val="009350AB"/>
    <w:rsid w:val="00936675"/>
    <w:rsid w:val="0093798F"/>
    <w:rsid w:val="00941187"/>
    <w:rsid w:val="00942548"/>
    <w:rsid w:val="0094285F"/>
    <w:rsid w:val="00943341"/>
    <w:rsid w:val="00944B75"/>
    <w:rsid w:val="00944BAC"/>
    <w:rsid w:val="0094564E"/>
    <w:rsid w:val="00947457"/>
    <w:rsid w:val="00947FE3"/>
    <w:rsid w:val="00950136"/>
    <w:rsid w:val="009506F2"/>
    <w:rsid w:val="00950FB1"/>
    <w:rsid w:val="00951922"/>
    <w:rsid w:val="00951E4D"/>
    <w:rsid w:val="00952905"/>
    <w:rsid w:val="00954861"/>
    <w:rsid w:val="00955428"/>
    <w:rsid w:val="00956061"/>
    <w:rsid w:val="0095623D"/>
    <w:rsid w:val="009564CA"/>
    <w:rsid w:val="009576DB"/>
    <w:rsid w:val="00957D19"/>
    <w:rsid w:val="00960DF7"/>
    <w:rsid w:val="00961720"/>
    <w:rsid w:val="0096221E"/>
    <w:rsid w:val="009626A2"/>
    <w:rsid w:val="00962C21"/>
    <w:rsid w:val="009630E6"/>
    <w:rsid w:val="00963616"/>
    <w:rsid w:val="009654F4"/>
    <w:rsid w:val="00966CB7"/>
    <w:rsid w:val="009671C0"/>
    <w:rsid w:val="00967D8C"/>
    <w:rsid w:val="00967EC1"/>
    <w:rsid w:val="00967FB5"/>
    <w:rsid w:val="00970794"/>
    <w:rsid w:val="0097128E"/>
    <w:rsid w:val="009713B4"/>
    <w:rsid w:val="00974B6A"/>
    <w:rsid w:val="00975E70"/>
    <w:rsid w:val="00976897"/>
    <w:rsid w:val="009770E1"/>
    <w:rsid w:val="00977356"/>
    <w:rsid w:val="00977CE4"/>
    <w:rsid w:val="00980416"/>
    <w:rsid w:val="00981136"/>
    <w:rsid w:val="00982295"/>
    <w:rsid w:val="009822B1"/>
    <w:rsid w:val="00982C04"/>
    <w:rsid w:val="00983884"/>
    <w:rsid w:val="00983F4B"/>
    <w:rsid w:val="00983F59"/>
    <w:rsid w:val="009841A5"/>
    <w:rsid w:val="00985CDB"/>
    <w:rsid w:val="00986B33"/>
    <w:rsid w:val="00986F56"/>
    <w:rsid w:val="00987107"/>
    <w:rsid w:val="0098719A"/>
    <w:rsid w:val="00987A3C"/>
    <w:rsid w:val="0099083D"/>
    <w:rsid w:val="009917C7"/>
    <w:rsid w:val="009931A4"/>
    <w:rsid w:val="00994285"/>
    <w:rsid w:val="00994ADE"/>
    <w:rsid w:val="00995F67"/>
    <w:rsid w:val="009960E9"/>
    <w:rsid w:val="00996123"/>
    <w:rsid w:val="009967FD"/>
    <w:rsid w:val="00997200"/>
    <w:rsid w:val="009977CB"/>
    <w:rsid w:val="009A0404"/>
    <w:rsid w:val="009A072A"/>
    <w:rsid w:val="009A0D81"/>
    <w:rsid w:val="009A31AA"/>
    <w:rsid w:val="009A3272"/>
    <w:rsid w:val="009A3900"/>
    <w:rsid w:val="009A3974"/>
    <w:rsid w:val="009A3AB0"/>
    <w:rsid w:val="009A3B2B"/>
    <w:rsid w:val="009A3C2B"/>
    <w:rsid w:val="009A40E1"/>
    <w:rsid w:val="009A4945"/>
    <w:rsid w:val="009A4F3B"/>
    <w:rsid w:val="009A50CA"/>
    <w:rsid w:val="009A54A0"/>
    <w:rsid w:val="009A6025"/>
    <w:rsid w:val="009A79A2"/>
    <w:rsid w:val="009B1995"/>
    <w:rsid w:val="009B1BCD"/>
    <w:rsid w:val="009B271A"/>
    <w:rsid w:val="009B418C"/>
    <w:rsid w:val="009B418E"/>
    <w:rsid w:val="009B4BAF"/>
    <w:rsid w:val="009B4F2D"/>
    <w:rsid w:val="009B4FA8"/>
    <w:rsid w:val="009B578D"/>
    <w:rsid w:val="009B6141"/>
    <w:rsid w:val="009B6F71"/>
    <w:rsid w:val="009C07C4"/>
    <w:rsid w:val="009C1194"/>
    <w:rsid w:val="009C1E00"/>
    <w:rsid w:val="009C2FEC"/>
    <w:rsid w:val="009C3967"/>
    <w:rsid w:val="009C42B3"/>
    <w:rsid w:val="009C63FD"/>
    <w:rsid w:val="009C74A2"/>
    <w:rsid w:val="009D04C0"/>
    <w:rsid w:val="009D08AD"/>
    <w:rsid w:val="009D2AA9"/>
    <w:rsid w:val="009D59F4"/>
    <w:rsid w:val="009D60D5"/>
    <w:rsid w:val="009D6B7C"/>
    <w:rsid w:val="009D6EDD"/>
    <w:rsid w:val="009E0197"/>
    <w:rsid w:val="009E0336"/>
    <w:rsid w:val="009E1A15"/>
    <w:rsid w:val="009E1ABE"/>
    <w:rsid w:val="009E21C1"/>
    <w:rsid w:val="009E29FE"/>
    <w:rsid w:val="009E3FD5"/>
    <w:rsid w:val="009E4195"/>
    <w:rsid w:val="009E567A"/>
    <w:rsid w:val="009E6AEF"/>
    <w:rsid w:val="009E7735"/>
    <w:rsid w:val="009F021A"/>
    <w:rsid w:val="009F21DE"/>
    <w:rsid w:val="009F4314"/>
    <w:rsid w:val="009F4C10"/>
    <w:rsid w:val="009F4F49"/>
    <w:rsid w:val="009F553E"/>
    <w:rsid w:val="009F58D6"/>
    <w:rsid w:val="009F5E91"/>
    <w:rsid w:val="009F6F2F"/>
    <w:rsid w:val="00A00C06"/>
    <w:rsid w:val="00A00DD6"/>
    <w:rsid w:val="00A00FE7"/>
    <w:rsid w:val="00A012BD"/>
    <w:rsid w:val="00A02563"/>
    <w:rsid w:val="00A02858"/>
    <w:rsid w:val="00A0340E"/>
    <w:rsid w:val="00A03A26"/>
    <w:rsid w:val="00A03E3A"/>
    <w:rsid w:val="00A03FE0"/>
    <w:rsid w:val="00A04EC7"/>
    <w:rsid w:val="00A05847"/>
    <w:rsid w:val="00A07B86"/>
    <w:rsid w:val="00A10290"/>
    <w:rsid w:val="00A10E48"/>
    <w:rsid w:val="00A10EC2"/>
    <w:rsid w:val="00A136F9"/>
    <w:rsid w:val="00A143DD"/>
    <w:rsid w:val="00A14DFF"/>
    <w:rsid w:val="00A14F98"/>
    <w:rsid w:val="00A16636"/>
    <w:rsid w:val="00A169A1"/>
    <w:rsid w:val="00A1750A"/>
    <w:rsid w:val="00A17C33"/>
    <w:rsid w:val="00A17EDE"/>
    <w:rsid w:val="00A20256"/>
    <w:rsid w:val="00A22875"/>
    <w:rsid w:val="00A22A8C"/>
    <w:rsid w:val="00A22CB0"/>
    <w:rsid w:val="00A22D4B"/>
    <w:rsid w:val="00A232E8"/>
    <w:rsid w:val="00A23C46"/>
    <w:rsid w:val="00A2541A"/>
    <w:rsid w:val="00A25765"/>
    <w:rsid w:val="00A26481"/>
    <w:rsid w:val="00A279F1"/>
    <w:rsid w:val="00A30904"/>
    <w:rsid w:val="00A31AE2"/>
    <w:rsid w:val="00A3439B"/>
    <w:rsid w:val="00A34CAC"/>
    <w:rsid w:val="00A35078"/>
    <w:rsid w:val="00A35903"/>
    <w:rsid w:val="00A373A9"/>
    <w:rsid w:val="00A40252"/>
    <w:rsid w:val="00A4185F"/>
    <w:rsid w:val="00A44064"/>
    <w:rsid w:val="00A448D3"/>
    <w:rsid w:val="00A44A8E"/>
    <w:rsid w:val="00A463B4"/>
    <w:rsid w:val="00A465DB"/>
    <w:rsid w:val="00A468A3"/>
    <w:rsid w:val="00A50019"/>
    <w:rsid w:val="00A50FA3"/>
    <w:rsid w:val="00A511A8"/>
    <w:rsid w:val="00A51A67"/>
    <w:rsid w:val="00A51AB7"/>
    <w:rsid w:val="00A51D3A"/>
    <w:rsid w:val="00A5270A"/>
    <w:rsid w:val="00A52C3C"/>
    <w:rsid w:val="00A53FAE"/>
    <w:rsid w:val="00A5507C"/>
    <w:rsid w:val="00A571EA"/>
    <w:rsid w:val="00A62D9C"/>
    <w:rsid w:val="00A62E0D"/>
    <w:rsid w:val="00A62F30"/>
    <w:rsid w:val="00A6559C"/>
    <w:rsid w:val="00A656BB"/>
    <w:rsid w:val="00A65789"/>
    <w:rsid w:val="00A67418"/>
    <w:rsid w:val="00A674E9"/>
    <w:rsid w:val="00A703FF"/>
    <w:rsid w:val="00A7071B"/>
    <w:rsid w:val="00A71080"/>
    <w:rsid w:val="00A72DF9"/>
    <w:rsid w:val="00A747F5"/>
    <w:rsid w:val="00A74BAB"/>
    <w:rsid w:val="00A75C5D"/>
    <w:rsid w:val="00A75CDC"/>
    <w:rsid w:val="00A75E8F"/>
    <w:rsid w:val="00A77F70"/>
    <w:rsid w:val="00A80DDC"/>
    <w:rsid w:val="00A80EB6"/>
    <w:rsid w:val="00A84340"/>
    <w:rsid w:val="00A87202"/>
    <w:rsid w:val="00A90219"/>
    <w:rsid w:val="00A91805"/>
    <w:rsid w:val="00A91AF3"/>
    <w:rsid w:val="00A9217B"/>
    <w:rsid w:val="00A9263B"/>
    <w:rsid w:val="00A93ABF"/>
    <w:rsid w:val="00A93CA7"/>
    <w:rsid w:val="00A95B15"/>
    <w:rsid w:val="00A95E77"/>
    <w:rsid w:val="00A97435"/>
    <w:rsid w:val="00AA0349"/>
    <w:rsid w:val="00AA19E4"/>
    <w:rsid w:val="00AA22DE"/>
    <w:rsid w:val="00AA2408"/>
    <w:rsid w:val="00AA25D3"/>
    <w:rsid w:val="00AA4179"/>
    <w:rsid w:val="00AA44E9"/>
    <w:rsid w:val="00AA4947"/>
    <w:rsid w:val="00AA4AA2"/>
    <w:rsid w:val="00AA589B"/>
    <w:rsid w:val="00AA7EE9"/>
    <w:rsid w:val="00AB0203"/>
    <w:rsid w:val="00AB0981"/>
    <w:rsid w:val="00AB2994"/>
    <w:rsid w:val="00AB3BEF"/>
    <w:rsid w:val="00AB4BB4"/>
    <w:rsid w:val="00AB5E58"/>
    <w:rsid w:val="00AB623E"/>
    <w:rsid w:val="00AB67A1"/>
    <w:rsid w:val="00AB6F31"/>
    <w:rsid w:val="00AB7947"/>
    <w:rsid w:val="00AC2E78"/>
    <w:rsid w:val="00AC37F9"/>
    <w:rsid w:val="00AC3C59"/>
    <w:rsid w:val="00AC412D"/>
    <w:rsid w:val="00AC695F"/>
    <w:rsid w:val="00AC718D"/>
    <w:rsid w:val="00AC74FA"/>
    <w:rsid w:val="00AC7B59"/>
    <w:rsid w:val="00AD0F54"/>
    <w:rsid w:val="00AD14DD"/>
    <w:rsid w:val="00AD2BD2"/>
    <w:rsid w:val="00AD35B8"/>
    <w:rsid w:val="00AD5C43"/>
    <w:rsid w:val="00AD6783"/>
    <w:rsid w:val="00AE01BD"/>
    <w:rsid w:val="00AE09D7"/>
    <w:rsid w:val="00AE17B3"/>
    <w:rsid w:val="00AE1EF2"/>
    <w:rsid w:val="00AE2470"/>
    <w:rsid w:val="00AE2517"/>
    <w:rsid w:val="00AE3D49"/>
    <w:rsid w:val="00AE46D6"/>
    <w:rsid w:val="00AE4EF5"/>
    <w:rsid w:val="00AE5604"/>
    <w:rsid w:val="00AE5677"/>
    <w:rsid w:val="00AE5ABB"/>
    <w:rsid w:val="00AE6B7A"/>
    <w:rsid w:val="00AE7539"/>
    <w:rsid w:val="00AE7D88"/>
    <w:rsid w:val="00AF0101"/>
    <w:rsid w:val="00AF0913"/>
    <w:rsid w:val="00AF163C"/>
    <w:rsid w:val="00AF2605"/>
    <w:rsid w:val="00AF292F"/>
    <w:rsid w:val="00AF366A"/>
    <w:rsid w:val="00AF57B9"/>
    <w:rsid w:val="00AF7290"/>
    <w:rsid w:val="00AF7966"/>
    <w:rsid w:val="00B00190"/>
    <w:rsid w:val="00B0044F"/>
    <w:rsid w:val="00B01335"/>
    <w:rsid w:val="00B01642"/>
    <w:rsid w:val="00B0213E"/>
    <w:rsid w:val="00B025D9"/>
    <w:rsid w:val="00B035B3"/>
    <w:rsid w:val="00B03C35"/>
    <w:rsid w:val="00B05F14"/>
    <w:rsid w:val="00B06061"/>
    <w:rsid w:val="00B06DAC"/>
    <w:rsid w:val="00B07024"/>
    <w:rsid w:val="00B07279"/>
    <w:rsid w:val="00B074C9"/>
    <w:rsid w:val="00B11F17"/>
    <w:rsid w:val="00B12595"/>
    <w:rsid w:val="00B12F8A"/>
    <w:rsid w:val="00B136B4"/>
    <w:rsid w:val="00B13842"/>
    <w:rsid w:val="00B140B1"/>
    <w:rsid w:val="00B14CAB"/>
    <w:rsid w:val="00B15605"/>
    <w:rsid w:val="00B16973"/>
    <w:rsid w:val="00B17AE7"/>
    <w:rsid w:val="00B202A3"/>
    <w:rsid w:val="00B2089A"/>
    <w:rsid w:val="00B20B3B"/>
    <w:rsid w:val="00B214F3"/>
    <w:rsid w:val="00B23F6F"/>
    <w:rsid w:val="00B2487E"/>
    <w:rsid w:val="00B24995"/>
    <w:rsid w:val="00B2577A"/>
    <w:rsid w:val="00B26686"/>
    <w:rsid w:val="00B27929"/>
    <w:rsid w:val="00B3138E"/>
    <w:rsid w:val="00B3156E"/>
    <w:rsid w:val="00B32624"/>
    <w:rsid w:val="00B32ADF"/>
    <w:rsid w:val="00B32AF4"/>
    <w:rsid w:val="00B32B11"/>
    <w:rsid w:val="00B32F3C"/>
    <w:rsid w:val="00B3417B"/>
    <w:rsid w:val="00B34520"/>
    <w:rsid w:val="00B35327"/>
    <w:rsid w:val="00B35A49"/>
    <w:rsid w:val="00B35D79"/>
    <w:rsid w:val="00B3625F"/>
    <w:rsid w:val="00B3686B"/>
    <w:rsid w:val="00B37E89"/>
    <w:rsid w:val="00B41CDF"/>
    <w:rsid w:val="00B43345"/>
    <w:rsid w:val="00B43391"/>
    <w:rsid w:val="00B44989"/>
    <w:rsid w:val="00B44E90"/>
    <w:rsid w:val="00B46BFC"/>
    <w:rsid w:val="00B511DF"/>
    <w:rsid w:val="00B51BF4"/>
    <w:rsid w:val="00B51EA5"/>
    <w:rsid w:val="00B52DEF"/>
    <w:rsid w:val="00B5325D"/>
    <w:rsid w:val="00B54FB8"/>
    <w:rsid w:val="00B55279"/>
    <w:rsid w:val="00B55831"/>
    <w:rsid w:val="00B56281"/>
    <w:rsid w:val="00B567CB"/>
    <w:rsid w:val="00B5695E"/>
    <w:rsid w:val="00B56973"/>
    <w:rsid w:val="00B57675"/>
    <w:rsid w:val="00B57724"/>
    <w:rsid w:val="00B57E66"/>
    <w:rsid w:val="00B613D8"/>
    <w:rsid w:val="00B61579"/>
    <w:rsid w:val="00B619B0"/>
    <w:rsid w:val="00B61B1F"/>
    <w:rsid w:val="00B62E5A"/>
    <w:rsid w:val="00B63902"/>
    <w:rsid w:val="00B644C3"/>
    <w:rsid w:val="00B6691F"/>
    <w:rsid w:val="00B675C1"/>
    <w:rsid w:val="00B67847"/>
    <w:rsid w:val="00B67C71"/>
    <w:rsid w:val="00B67F66"/>
    <w:rsid w:val="00B70695"/>
    <w:rsid w:val="00B71349"/>
    <w:rsid w:val="00B71A46"/>
    <w:rsid w:val="00B71FE6"/>
    <w:rsid w:val="00B762E8"/>
    <w:rsid w:val="00B778B8"/>
    <w:rsid w:val="00B80149"/>
    <w:rsid w:val="00B813BB"/>
    <w:rsid w:val="00B81A7A"/>
    <w:rsid w:val="00B81C98"/>
    <w:rsid w:val="00B81E12"/>
    <w:rsid w:val="00B82518"/>
    <w:rsid w:val="00B8294D"/>
    <w:rsid w:val="00B82E74"/>
    <w:rsid w:val="00B8442A"/>
    <w:rsid w:val="00B859B4"/>
    <w:rsid w:val="00B85BF0"/>
    <w:rsid w:val="00B8629C"/>
    <w:rsid w:val="00B87F34"/>
    <w:rsid w:val="00B9092D"/>
    <w:rsid w:val="00B919CA"/>
    <w:rsid w:val="00B919E9"/>
    <w:rsid w:val="00B91D3C"/>
    <w:rsid w:val="00B922C1"/>
    <w:rsid w:val="00B93A90"/>
    <w:rsid w:val="00B9439E"/>
    <w:rsid w:val="00B95976"/>
    <w:rsid w:val="00B95F4D"/>
    <w:rsid w:val="00B963DC"/>
    <w:rsid w:val="00B96673"/>
    <w:rsid w:val="00B97E99"/>
    <w:rsid w:val="00BA01DB"/>
    <w:rsid w:val="00BA094C"/>
    <w:rsid w:val="00BA0AEE"/>
    <w:rsid w:val="00BA1B6A"/>
    <w:rsid w:val="00BA2311"/>
    <w:rsid w:val="00BA2325"/>
    <w:rsid w:val="00BA310F"/>
    <w:rsid w:val="00BA40B3"/>
    <w:rsid w:val="00BA60C1"/>
    <w:rsid w:val="00BB01D9"/>
    <w:rsid w:val="00BB0D73"/>
    <w:rsid w:val="00BB1788"/>
    <w:rsid w:val="00BB2029"/>
    <w:rsid w:val="00BB3D2A"/>
    <w:rsid w:val="00BB40B8"/>
    <w:rsid w:val="00BB76BB"/>
    <w:rsid w:val="00BC03FB"/>
    <w:rsid w:val="00BC151F"/>
    <w:rsid w:val="00BC1BED"/>
    <w:rsid w:val="00BC29D1"/>
    <w:rsid w:val="00BC2A12"/>
    <w:rsid w:val="00BC2B43"/>
    <w:rsid w:val="00BC3D53"/>
    <w:rsid w:val="00BC3EFF"/>
    <w:rsid w:val="00BC3F3C"/>
    <w:rsid w:val="00BC4608"/>
    <w:rsid w:val="00BC58B4"/>
    <w:rsid w:val="00BC71D4"/>
    <w:rsid w:val="00BC7B41"/>
    <w:rsid w:val="00BD0246"/>
    <w:rsid w:val="00BD0880"/>
    <w:rsid w:val="00BD0ABE"/>
    <w:rsid w:val="00BD1E6F"/>
    <w:rsid w:val="00BD22B4"/>
    <w:rsid w:val="00BD29CC"/>
    <w:rsid w:val="00BD2FF0"/>
    <w:rsid w:val="00BD3200"/>
    <w:rsid w:val="00BD4147"/>
    <w:rsid w:val="00BD4F31"/>
    <w:rsid w:val="00BD5E10"/>
    <w:rsid w:val="00BD725A"/>
    <w:rsid w:val="00BD7B75"/>
    <w:rsid w:val="00BE1B3A"/>
    <w:rsid w:val="00BE1C8E"/>
    <w:rsid w:val="00BE3025"/>
    <w:rsid w:val="00BE4C90"/>
    <w:rsid w:val="00BE4DED"/>
    <w:rsid w:val="00BE6012"/>
    <w:rsid w:val="00BE7B83"/>
    <w:rsid w:val="00BF3A34"/>
    <w:rsid w:val="00BF414B"/>
    <w:rsid w:val="00BF5376"/>
    <w:rsid w:val="00BF578F"/>
    <w:rsid w:val="00BF6049"/>
    <w:rsid w:val="00BF6F19"/>
    <w:rsid w:val="00BF702B"/>
    <w:rsid w:val="00C00987"/>
    <w:rsid w:val="00C020F3"/>
    <w:rsid w:val="00C042F6"/>
    <w:rsid w:val="00C04DD9"/>
    <w:rsid w:val="00C0643B"/>
    <w:rsid w:val="00C07149"/>
    <w:rsid w:val="00C07962"/>
    <w:rsid w:val="00C1057E"/>
    <w:rsid w:val="00C10E86"/>
    <w:rsid w:val="00C11BF3"/>
    <w:rsid w:val="00C13EBA"/>
    <w:rsid w:val="00C15771"/>
    <w:rsid w:val="00C15C7F"/>
    <w:rsid w:val="00C17134"/>
    <w:rsid w:val="00C208C3"/>
    <w:rsid w:val="00C20C3C"/>
    <w:rsid w:val="00C219FA"/>
    <w:rsid w:val="00C21BB5"/>
    <w:rsid w:val="00C21C19"/>
    <w:rsid w:val="00C227BC"/>
    <w:rsid w:val="00C23A6F"/>
    <w:rsid w:val="00C23C98"/>
    <w:rsid w:val="00C24893"/>
    <w:rsid w:val="00C25040"/>
    <w:rsid w:val="00C25140"/>
    <w:rsid w:val="00C27E5B"/>
    <w:rsid w:val="00C27EB7"/>
    <w:rsid w:val="00C30688"/>
    <w:rsid w:val="00C341A2"/>
    <w:rsid w:val="00C345B7"/>
    <w:rsid w:val="00C34763"/>
    <w:rsid w:val="00C348AE"/>
    <w:rsid w:val="00C35528"/>
    <w:rsid w:val="00C36D85"/>
    <w:rsid w:val="00C4114B"/>
    <w:rsid w:val="00C41BE7"/>
    <w:rsid w:val="00C42652"/>
    <w:rsid w:val="00C4279B"/>
    <w:rsid w:val="00C42BFD"/>
    <w:rsid w:val="00C4318B"/>
    <w:rsid w:val="00C4325B"/>
    <w:rsid w:val="00C43BD2"/>
    <w:rsid w:val="00C44DE1"/>
    <w:rsid w:val="00C451E9"/>
    <w:rsid w:val="00C45FA4"/>
    <w:rsid w:val="00C46658"/>
    <w:rsid w:val="00C46F06"/>
    <w:rsid w:val="00C4757D"/>
    <w:rsid w:val="00C47B42"/>
    <w:rsid w:val="00C52C99"/>
    <w:rsid w:val="00C548A9"/>
    <w:rsid w:val="00C54C21"/>
    <w:rsid w:val="00C57AC6"/>
    <w:rsid w:val="00C61984"/>
    <w:rsid w:val="00C629E0"/>
    <w:rsid w:val="00C62C53"/>
    <w:rsid w:val="00C63524"/>
    <w:rsid w:val="00C63A23"/>
    <w:rsid w:val="00C6433A"/>
    <w:rsid w:val="00C664B6"/>
    <w:rsid w:val="00C66802"/>
    <w:rsid w:val="00C70F51"/>
    <w:rsid w:val="00C7370E"/>
    <w:rsid w:val="00C73745"/>
    <w:rsid w:val="00C737C2"/>
    <w:rsid w:val="00C73E6B"/>
    <w:rsid w:val="00C74090"/>
    <w:rsid w:val="00C757EF"/>
    <w:rsid w:val="00C75E7E"/>
    <w:rsid w:val="00C7654C"/>
    <w:rsid w:val="00C77E1C"/>
    <w:rsid w:val="00C8006E"/>
    <w:rsid w:val="00C80AA0"/>
    <w:rsid w:val="00C8256A"/>
    <w:rsid w:val="00C82A0A"/>
    <w:rsid w:val="00C84E72"/>
    <w:rsid w:val="00C858C8"/>
    <w:rsid w:val="00C86460"/>
    <w:rsid w:val="00C915EE"/>
    <w:rsid w:val="00C9175A"/>
    <w:rsid w:val="00C929F1"/>
    <w:rsid w:val="00C94DC8"/>
    <w:rsid w:val="00C95C34"/>
    <w:rsid w:val="00C960DC"/>
    <w:rsid w:val="00C978FA"/>
    <w:rsid w:val="00CA077C"/>
    <w:rsid w:val="00CA0E05"/>
    <w:rsid w:val="00CA1311"/>
    <w:rsid w:val="00CA132A"/>
    <w:rsid w:val="00CA1F9F"/>
    <w:rsid w:val="00CA2A8D"/>
    <w:rsid w:val="00CA32CE"/>
    <w:rsid w:val="00CA4790"/>
    <w:rsid w:val="00CA505D"/>
    <w:rsid w:val="00CA5261"/>
    <w:rsid w:val="00CA5F61"/>
    <w:rsid w:val="00CA753B"/>
    <w:rsid w:val="00CA7636"/>
    <w:rsid w:val="00CB0230"/>
    <w:rsid w:val="00CB03E6"/>
    <w:rsid w:val="00CB2F22"/>
    <w:rsid w:val="00CB37CE"/>
    <w:rsid w:val="00CB3946"/>
    <w:rsid w:val="00CB3C7E"/>
    <w:rsid w:val="00CB4D45"/>
    <w:rsid w:val="00CB4E49"/>
    <w:rsid w:val="00CB5ED1"/>
    <w:rsid w:val="00CB6111"/>
    <w:rsid w:val="00CB6CD1"/>
    <w:rsid w:val="00CB6E9F"/>
    <w:rsid w:val="00CB7369"/>
    <w:rsid w:val="00CB73FE"/>
    <w:rsid w:val="00CB7443"/>
    <w:rsid w:val="00CC0D3B"/>
    <w:rsid w:val="00CC1C61"/>
    <w:rsid w:val="00CC24DC"/>
    <w:rsid w:val="00CC41A5"/>
    <w:rsid w:val="00CC42FE"/>
    <w:rsid w:val="00CC54B3"/>
    <w:rsid w:val="00CC5E66"/>
    <w:rsid w:val="00CC62CC"/>
    <w:rsid w:val="00CC6AF9"/>
    <w:rsid w:val="00CC6BC0"/>
    <w:rsid w:val="00CD0F1A"/>
    <w:rsid w:val="00CD0F7E"/>
    <w:rsid w:val="00CD2D11"/>
    <w:rsid w:val="00CD2F8B"/>
    <w:rsid w:val="00CD2FBA"/>
    <w:rsid w:val="00CD4679"/>
    <w:rsid w:val="00CD4C81"/>
    <w:rsid w:val="00CD4EA5"/>
    <w:rsid w:val="00CD58EE"/>
    <w:rsid w:val="00CD60D1"/>
    <w:rsid w:val="00CD66AF"/>
    <w:rsid w:val="00CD769F"/>
    <w:rsid w:val="00CE00F1"/>
    <w:rsid w:val="00CE029F"/>
    <w:rsid w:val="00CE1982"/>
    <w:rsid w:val="00CE1BC1"/>
    <w:rsid w:val="00CE231F"/>
    <w:rsid w:val="00CE29F5"/>
    <w:rsid w:val="00CE2B7A"/>
    <w:rsid w:val="00CE35DA"/>
    <w:rsid w:val="00CE3836"/>
    <w:rsid w:val="00CE3C63"/>
    <w:rsid w:val="00CE3EB0"/>
    <w:rsid w:val="00CE4437"/>
    <w:rsid w:val="00CE4F10"/>
    <w:rsid w:val="00CE516D"/>
    <w:rsid w:val="00CE6018"/>
    <w:rsid w:val="00CE64AE"/>
    <w:rsid w:val="00CE6631"/>
    <w:rsid w:val="00CE7FDA"/>
    <w:rsid w:val="00CF007C"/>
    <w:rsid w:val="00CF160D"/>
    <w:rsid w:val="00CF17FC"/>
    <w:rsid w:val="00CF1AFD"/>
    <w:rsid w:val="00CF275A"/>
    <w:rsid w:val="00CF2F1E"/>
    <w:rsid w:val="00CF2F83"/>
    <w:rsid w:val="00CF3390"/>
    <w:rsid w:val="00CF3A44"/>
    <w:rsid w:val="00CF48CC"/>
    <w:rsid w:val="00CF4EAC"/>
    <w:rsid w:val="00CF6907"/>
    <w:rsid w:val="00CF6DF4"/>
    <w:rsid w:val="00CF770C"/>
    <w:rsid w:val="00D028AD"/>
    <w:rsid w:val="00D03C57"/>
    <w:rsid w:val="00D04703"/>
    <w:rsid w:val="00D05489"/>
    <w:rsid w:val="00D05EB0"/>
    <w:rsid w:val="00D0633B"/>
    <w:rsid w:val="00D06A20"/>
    <w:rsid w:val="00D06A47"/>
    <w:rsid w:val="00D06E2D"/>
    <w:rsid w:val="00D07167"/>
    <w:rsid w:val="00D074F4"/>
    <w:rsid w:val="00D07817"/>
    <w:rsid w:val="00D113D2"/>
    <w:rsid w:val="00D12361"/>
    <w:rsid w:val="00D12CB9"/>
    <w:rsid w:val="00D13623"/>
    <w:rsid w:val="00D13747"/>
    <w:rsid w:val="00D14D1D"/>
    <w:rsid w:val="00D16910"/>
    <w:rsid w:val="00D170F9"/>
    <w:rsid w:val="00D177BF"/>
    <w:rsid w:val="00D21AEC"/>
    <w:rsid w:val="00D21C2A"/>
    <w:rsid w:val="00D21DAC"/>
    <w:rsid w:val="00D236D8"/>
    <w:rsid w:val="00D23C5D"/>
    <w:rsid w:val="00D245FC"/>
    <w:rsid w:val="00D2480F"/>
    <w:rsid w:val="00D24E36"/>
    <w:rsid w:val="00D24E5F"/>
    <w:rsid w:val="00D250D8"/>
    <w:rsid w:val="00D25E23"/>
    <w:rsid w:val="00D268F3"/>
    <w:rsid w:val="00D26A29"/>
    <w:rsid w:val="00D3121A"/>
    <w:rsid w:val="00D313B3"/>
    <w:rsid w:val="00D31F70"/>
    <w:rsid w:val="00D31F90"/>
    <w:rsid w:val="00D32FEE"/>
    <w:rsid w:val="00D33037"/>
    <w:rsid w:val="00D334F7"/>
    <w:rsid w:val="00D337E5"/>
    <w:rsid w:val="00D338F1"/>
    <w:rsid w:val="00D349E6"/>
    <w:rsid w:val="00D35171"/>
    <w:rsid w:val="00D3645F"/>
    <w:rsid w:val="00D3773F"/>
    <w:rsid w:val="00D37F25"/>
    <w:rsid w:val="00D42AC0"/>
    <w:rsid w:val="00D43E8F"/>
    <w:rsid w:val="00D455AB"/>
    <w:rsid w:val="00D4789E"/>
    <w:rsid w:val="00D47DCD"/>
    <w:rsid w:val="00D50489"/>
    <w:rsid w:val="00D50DC1"/>
    <w:rsid w:val="00D51A0B"/>
    <w:rsid w:val="00D52684"/>
    <w:rsid w:val="00D5318E"/>
    <w:rsid w:val="00D5332C"/>
    <w:rsid w:val="00D540B9"/>
    <w:rsid w:val="00D54620"/>
    <w:rsid w:val="00D546A3"/>
    <w:rsid w:val="00D547C6"/>
    <w:rsid w:val="00D56140"/>
    <w:rsid w:val="00D572B1"/>
    <w:rsid w:val="00D57395"/>
    <w:rsid w:val="00D60BA2"/>
    <w:rsid w:val="00D613C7"/>
    <w:rsid w:val="00D61BD0"/>
    <w:rsid w:val="00D622A2"/>
    <w:rsid w:val="00D622C3"/>
    <w:rsid w:val="00D631ED"/>
    <w:rsid w:val="00D63621"/>
    <w:rsid w:val="00D637E3"/>
    <w:rsid w:val="00D63CFD"/>
    <w:rsid w:val="00D63DE2"/>
    <w:rsid w:val="00D64420"/>
    <w:rsid w:val="00D65C13"/>
    <w:rsid w:val="00D662C6"/>
    <w:rsid w:val="00D7090F"/>
    <w:rsid w:val="00D72B55"/>
    <w:rsid w:val="00D72DB9"/>
    <w:rsid w:val="00D73572"/>
    <w:rsid w:val="00D7467B"/>
    <w:rsid w:val="00D752A6"/>
    <w:rsid w:val="00D759E3"/>
    <w:rsid w:val="00D76BCE"/>
    <w:rsid w:val="00D8012F"/>
    <w:rsid w:val="00D81257"/>
    <w:rsid w:val="00D829A5"/>
    <w:rsid w:val="00D83117"/>
    <w:rsid w:val="00D83428"/>
    <w:rsid w:val="00D83CDC"/>
    <w:rsid w:val="00D8408A"/>
    <w:rsid w:val="00D84993"/>
    <w:rsid w:val="00D8602D"/>
    <w:rsid w:val="00D8614B"/>
    <w:rsid w:val="00D8657C"/>
    <w:rsid w:val="00D86B5C"/>
    <w:rsid w:val="00D876BC"/>
    <w:rsid w:val="00D87818"/>
    <w:rsid w:val="00D9122E"/>
    <w:rsid w:val="00D91737"/>
    <w:rsid w:val="00D919B6"/>
    <w:rsid w:val="00D92448"/>
    <w:rsid w:val="00D926FD"/>
    <w:rsid w:val="00D92710"/>
    <w:rsid w:val="00D941BA"/>
    <w:rsid w:val="00D95724"/>
    <w:rsid w:val="00D95CA7"/>
    <w:rsid w:val="00D97E20"/>
    <w:rsid w:val="00D97F07"/>
    <w:rsid w:val="00DA003F"/>
    <w:rsid w:val="00DA0B34"/>
    <w:rsid w:val="00DA1F96"/>
    <w:rsid w:val="00DA201C"/>
    <w:rsid w:val="00DA2285"/>
    <w:rsid w:val="00DA3AF7"/>
    <w:rsid w:val="00DA3DDD"/>
    <w:rsid w:val="00DA426E"/>
    <w:rsid w:val="00DA4810"/>
    <w:rsid w:val="00DA493B"/>
    <w:rsid w:val="00DA62DB"/>
    <w:rsid w:val="00DA6458"/>
    <w:rsid w:val="00DB021C"/>
    <w:rsid w:val="00DB0EA5"/>
    <w:rsid w:val="00DB1111"/>
    <w:rsid w:val="00DB16CB"/>
    <w:rsid w:val="00DB28AF"/>
    <w:rsid w:val="00DB2A10"/>
    <w:rsid w:val="00DB3176"/>
    <w:rsid w:val="00DB33A6"/>
    <w:rsid w:val="00DB4045"/>
    <w:rsid w:val="00DB4656"/>
    <w:rsid w:val="00DB4C2B"/>
    <w:rsid w:val="00DB5335"/>
    <w:rsid w:val="00DB6305"/>
    <w:rsid w:val="00DB7423"/>
    <w:rsid w:val="00DC03B5"/>
    <w:rsid w:val="00DC08F3"/>
    <w:rsid w:val="00DC1E31"/>
    <w:rsid w:val="00DC236B"/>
    <w:rsid w:val="00DC23A6"/>
    <w:rsid w:val="00DC3011"/>
    <w:rsid w:val="00DC3120"/>
    <w:rsid w:val="00DC357C"/>
    <w:rsid w:val="00DC36F2"/>
    <w:rsid w:val="00DC3B00"/>
    <w:rsid w:val="00DC3CEA"/>
    <w:rsid w:val="00DC6092"/>
    <w:rsid w:val="00DC7BA3"/>
    <w:rsid w:val="00DD098C"/>
    <w:rsid w:val="00DD0EB6"/>
    <w:rsid w:val="00DD27AE"/>
    <w:rsid w:val="00DD4AAE"/>
    <w:rsid w:val="00DD4B1F"/>
    <w:rsid w:val="00DD56CA"/>
    <w:rsid w:val="00DD5B20"/>
    <w:rsid w:val="00DD5C07"/>
    <w:rsid w:val="00DD5F7D"/>
    <w:rsid w:val="00DD6D4F"/>
    <w:rsid w:val="00DD6EBC"/>
    <w:rsid w:val="00DD745A"/>
    <w:rsid w:val="00DD7A60"/>
    <w:rsid w:val="00DE100F"/>
    <w:rsid w:val="00DE13CA"/>
    <w:rsid w:val="00DE2C6D"/>
    <w:rsid w:val="00DE3415"/>
    <w:rsid w:val="00DE3D41"/>
    <w:rsid w:val="00DE4990"/>
    <w:rsid w:val="00DE5B70"/>
    <w:rsid w:val="00DE66F1"/>
    <w:rsid w:val="00DE6D67"/>
    <w:rsid w:val="00DE7156"/>
    <w:rsid w:val="00DE7D5B"/>
    <w:rsid w:val="00DF02D0"/>
    <w:rsid w:val="00DF13BC"/>
    <w:rsid w:val="00DF149F"/>
    <w:rsid w:val="00DF15F4"/>
    <w:rsid w:val="00DF2E34"/>
    <w:rsid w:val="00DF3B44"/>
    <w:rsid w:val="00DF522D"/>
    <w:rsid w:val="00DF684A"/>
    <w:rsid w:val="00DF6BF6"/>
    <w:rsid w:val="00E00FBF"/>
    <w:rsid w:val="00E01DA3"/>
    <w:rsid w:val="00E01E3C"/>
    <w:rsid w:val="00E01F2E"/>
    <w:rsid w:val="00E02D8B"/>
    <w:rsid w:val="00E030DD"/>
    <w:rsid w:val="00E04B34"/>
    <w:rsid w:val="00E04BF4"/>
    <w:rsid w:val="00E04E2D"/>
    <w:rsid w:val="00E0561E"/>
    <w:rsid w:val="00E05BE7"/>
    <w:rsid w:val="00E05D59"/>
    <w:rsid w:val="00E063AA"/>
    <w:rsid w:val="00E06DF5"/>
    <w:rsid w:val="00E075B8"/>
    <w:rsid w:val="00E07C31"/>
    <w:rsid w:val="00E10FD6"/>
    <w:rsid w:val="00E117F0"/>
    <w:rsid w:val="00E11C6D"/>
    <w:rsid w:val="00E124BD"/>
    <w:rsid w:val="00E134B8"/>
    <w:rsid w:val="00E1460D"/>
    <w:rsid w:val="00E1492A"/>
    <w:rsid w:val="00E14B21"/>
    <w:rsid w:val="00E15331"/>
    <w:rsid w:val="00E15DD8"/>
    <w:rsid w:val="00E168AB"/>
    <w:rsid w:val="00E17D39"/>
    <w:rsid w:val="00E200D5"/>
    <w:rsid w:val="00E20A12"/>
    <w:rsid w:val="00E21910"/>
    <w:rsid w:val="00E21BAF"/>
    <w:rsid w:val="00E21BD2"/>
    <w:rsid w:val="00E23660"/>
    <w:rsid w:val="00E24280"/>
    <w:rsid w:val="00E242B2"/>
    <w:rsid w:val="00E24AAF"/>
    <w:rsid w:val="00E251C8"/>
    <w:rsid w:val="00E255E4"/>
    <w:rsid w:val="00E26C43"/>
    <w:rsid w:val="00E26DB8"/>
    <w:rsid w:val="00E279CE"/>
    <w:rsid w:val="00E27CBF"/>
    <w:rsid w:val="00E3075E"/>
    <w:rsid w:val="00E308A6"/>
    <w:rsid w:val="00E31729"/>
    <w:rsid w:val="00E319AE"/>
    <w:rsid w:val="00E32960"/>
    <w:rsid w:val="00E36688"/>
    <w:rsid w:val="00E3744B"/>
    <w:rsid w:val="00E40D0C"/>
    <w:rsid w:val="00E4308B"/>
    <w:rsid w:val="00E465BB"/>
    <w:rsid w:val="00E468B6"/>
    <w:rsid w:val="00E46A7D"/>
    <w:rsid w:val="00E47592"/>
    <w:rsid w:val="00E50883"/>
    <w:rsid w:val="00E50F93"/>
    <w:rsid w:val="00E52768"/>
    <w:rsid w:val="00E53674"/>
    <w:rsid w:val="00E54288"/>
    <w:rsid w:val="00E57EB0"/>
    <w:rsid w:val="00E60BAB"/>
    <w:rsid w:val="00E615D5"/>
    <w:rsid w:val="00E61FEE"/>
    <w:rsid w:val="00E62CBF"/>
    <w:rsid w:val="00E62E7D"/>
    <w:rsid w:val="00E64950"/>
    <w:rsid w:val="00E66585"/>
    <w:rsid w:val="00E66B93"/>
    <w:rsid w:val="00E66F59"/>
    <w:rsid w:val="00E710BE"/>
    <w:rsid w:val="00E71D74"/>
    <w:rsid w:val="00E72540"/>
    <w:rsid w:val="00E728B9"/>
    <w:rsid w:val="00E733C2"/>
    <w:rsid w:val="00E7371F"/>
    <w:rsid w:val="00E7389E"/>
    <w:rsid w:val="00E7460A"/>
    <w:rsid w:val="00E74C99"/>
    <w:rsid w:val="00E75A2C"/>
    <w:rsid w:val="00E76BB2"/>
    <w:rsid w:val="00E76C61"/>
    <w:rsid w:val="00E8050D"/>
    <w:rsid w:val="00E80F36"/>
    <w:rsid w:val="00E81FC9"/>
    <w:rsid w:val="00E827E1"/>
    <w:rsid w:val="00E82AE5"/>
    <w:rsid w:val="00E82EAF"/>
    <w:rsid w:val="00E84553"/>
    <w:rsid w:val="00E846BB"/>
    <w:rsid w:val="00E866DB"/>
    <w:rsid w:val="00E867C2"/>
    <w:rsid w:val="00E867D4"/>
    <w:rsid w:val="00E87C8E"/>
    <w:rsid w:val="00E90647"/>
    <w:rsid w:val="00E90C5E"/>
    <w:rsid w:val="00E90D84"/>
    <w:rsid w:val="00E912A3"/>
    <w:rsid w:val="00E91668"/>
    <w:rsid w:val="00E91835"/>
    <w:rsid w:val="00E922F7"/>
    <w:rsid w:val="00E931CC"/>
    <w:rsid w:val="00E932FD"/>
    <w:rsid w:val="00E9350E"/>
    <w:rsid w:val="00E941AF"/>
    <w:rsid w:val="00E95A34"/>
    <w:rsid w:val="00E95CD2"/>
    <w:rsid w:val="00E95D95"/>
    <w:rsid w:val="00E97656"/>
    <w:rsid w:val="00EA0AD2"/>
    <w:rsid w:val="00EA0FE5"/>
    <w:rsid w:val="00EA1157"/>
    <w:rsid w:val="00EA1398"/>
    <w:rsid w:val="00EA206A"/>
    <w:rsid w:val="00EA3752"/>
    <w:rsid w:val="00EA45C3"/>
    <w:rsid w:val="00EA4EF5"/>
    <w:rsid w:val="00EA697E"/>
    <w:rsid w:val="00EA73EE"/>
    <w:rsid w:val="00EA7FE6"/>
    <w:rsid w:val="00EB08D6"/>
    <w:rsid w:val="00EB0BC8"/>
    <w:rsid w:val="00EB16A6"/>
    <w:rsid w:val="00EB34D0"/>
    <w:rsid w:val="00EB4381"/>
    <w:rsid w:val="00EB4508"/>
    <w:rsid w:val="00EB4664"/>
    <w:rsid w:val="00EB4F4B"/>
    <w:rsid w:val="00EB4FC4"/>
    <w:rsid w:val="00EB54F7"/>
    <w:rsid w:val="00EB67EA"/>
    <w:rsid w:val="00EB6FFF"/>
    <w:rsid w:val="00EC13D9"/>
    <w:rsid w:val="00EC1BED"/>
    <w:rsid w:val="00EC1C43"/>
    <w:rsid w:val="00EC1CD5"/>
    <w:rsid w:val="00EC33EC"/>
    <w:rsid w:val="00EC3D3D"/>
    <w:rsid w:val="00EC4C1E"/>
    <w:rsid w:val="00EC5B18"/>
    <w:rsid w:val="00EC60E0"/>
    <w:rsid w:val="00EC682D"/>
    <w:rsid w:val="00EC6B2C"/>
    <w:rsid w:val="00EC7409"/>
    <w:rsid w:val="00EC794E"/>
    <w:rsid w:val="00ED2781"/>
    <w:rsid w:val="00ED4995"/>
    <w:rsid w:val="00ED554A"/>
    <w:rsid w:val="00ED5A90"/>
    <w:rsid w:val="00ED65EB"/>
    <w:rsid w:val="00ED6994"/>
    <w:rsid w:val="00ED6B49"/>
    <w:rsid w:val="00ED7EE8"/>
    <w:rsid w:val="00EE0507"/>
    <w:rsid w:val="00EE0AB7"/>
    <w:rsid w:val="00EE0E96"/>
    <w:rsid w:val="00EE1067"/>
    <w:rsid w:val="00EE196A"/>
    <w:rsid w:val="00EE235F"/>
    <w:rsid w:val="00EE2E7A"/>
    <w:rsid w:val="00EE3B31"/>
    <w:rsid w:val="00EE3F5F"/>
    <w:rsid w:val="00EE4A1B"/>
    <w:rsid w:val="00EE4FAD"/>
    <w:rsid w:val="00EE62A9"/>
    <w:rsid w:val="00EE6E4B"/>
    <w:rsid w:val="00EE6E9F"/>
    <w:rsid w:val="00EE6F17"/>
    <w:rsid w:val="00EE738A"/>
    <w:rsid w:val="00EF0BCA"/>
    <w:rsid w:val="00EF1B9B"/>
    <w:rsid w:val="00EF1DAF"/>
    <w:rsid w:val="00EF3D00"/>
    <w:rsid w:val="00EF3D1B"/>
    <w:rsid w:val="00EF46E2"/>
    <w:rsid w:val="00EF4BCB"/>
    <w:rsid w:val="00EF5708"/>
    <w:rsid w:val="00EF5AA4"/>
    <w:rsid w:val="00EF5ED5"/>
    <w:rsid w:val="00EF7608"/>
    <w:rsid w:val="00EF7652"/>
    <w:rsid w:val="00EF7B73"/>
    <w:rsid w:val="00F005F4"/>
    <w:rsid w:val="00F01516"/>
    <w:rsid w:val="00F02069"/>
    <w:rsid w:val="00F02B6A"/>
    <w:rsid w:val="00F02DF8"/>
    <w:rsid w:val="00F0307C"/>
    <w:rsid w:val="00F04EC6"/>
    <w:rsid w:val="00F05253"/>
    <w:rsid w:val="00F05DAD"/>
    <w:rsid w:val="00F05F00"/>
    <w:rsid w:val="00F06176"/>
    <w:rsid w:val="00F06ACD"/>
    <w:rsid w:val="00F06FC1"/>
    <w:rsid w:val="00F07686"/>
    <w:rsid w:val="00F1223D"/>
    <w:rsid w:val="00F137BE"/>
    <w:rsid w:val="00F13A84"/>
    <w:rsid w:val="00F14F25"/>
    <w:rsid w:val="00F15E27"/>
    <w:rsid w:val="00F16C32"/>
    <w:rsid w:val="00F16CAB"/>
    <w:rsid w:val="00F1767E"/>
    <w:rsid w:val="00F206BC"/>
    <w:rsid w:val="00F21293"/>
    <w:rsid w:val="00F236C9"/>
    <w:rsid w:val="00F249CB"/>
    <w:rsid w:val="00F24F6A"/>
    <w:rsid w:val="00F2762A"/>
    <w:rsid w:val="00F27E76"/>
    <w:rsid w:val="00F30623"/>
    <w:rsid w:val="00F3099D"/>
    <w:rsid w:val="00F319B8"/>
    <w:rsid w:val="00F320AA"/>
    <w:rsid w:val="00F3258D"/>
    <w:rsid w:val="00F33AD6"/>
    <w:rsid w:val="00F34809"/>
    <w:rsid w:val="00F34CD9"/>
    <w:rsid w:val="00F354EA"/>
    <w:rsid w:val="00F36436"/>
    <w:rsid w:val="00F36B20"/>
    <w:rsid w:val="00F3712D"/>
    <w:rsid w:val="00F37E33"/>
    <w:rsid w:val="00F4008C"/>
    <w:rsid w:val="00F4092A"/>
    <w:rsid w:val="00F41773"/>
    <w:rsid w:val="00F418EC"/>
    <w:rsid w:val="00F41A14"/>
    <w:rsid w:val="00F444C2"/>
    <w:rsid w:val="00F459ED"/>
    <w:rsid w:val="00F50D5A"/>
    <w:rsid w:val="00F50F39"/>
    <w:rsid w:val="00F54145"/>
    <w:rsid w:val="00F547BC"/>
    <w:rsid w:val="00F556B9"/>
    <w:rsid w:val="00F55FEE"/>
    <w:rsid w:val="00F57932"/>
    <w:rsid w:val="00F57B16"/>
    <w:rsid w:val="00F60A63"/>
    <w:rsid w:val="00F60CEB"/>
    <w:rsid w:val="00F60EF9"/>
    <w:rsid w:val="00F6150F"/>
    <w:rsid w:val="00F61675"/>
    <w:rsid w:val="00F6292A"/>
    <w:rsid w:val="00F62E84"/>
    <w:rsid w:val="00F62F56"/>
    <w:rsid w:val="00F63637"/>
    <w:rsid w:val="00F63A95"/>
    <w:rsid w:val="00F64F04"/>
    <w:rsid w:val="00F651BA"/>
    <w:rsid w:val="00F66B58"/>
    <w:rsid w:val="00F6740B"/>
    <w:rsid w:val="00F67D95"/>
    <w:rsid w:val="00F71798"/>
    <w:rsid w:val="00F721DC"/>
    <w:rsid w:val="00F72497"/>
    <w:rsid w:val="00F724D8"/>
    <w:rsid w:val="00F73827"/>
    <w:rsid w:val="00F74594"/>
    <w:rsid w:val="00F74B79"/>
    <w:rsid w:val="00F75013"/>
    <w:rsid w:val="00F758D1"/>
    <w:rsid w:val="00F761BB"/>
    <w:rsid w:val="00F76948"/>
    <w:rsid w:val="00F7791D"/>
    <w:rsid w:val="00F80722"/>
    <w:rsid w:val="00F80D7E"/>
    <w:rsid w:val="00F81C45"/>
    <w:rsid w:val="00F82798"/>
    <w:rsid w:val="00F83218"/>
    <w:rsid w:val="00F86FB3"/>
    <w:rsid w:val="00F87919"/>
    <w:rsid w:val="00F9033B"/>
    <w:rsid w:val="00F918A8"/>
    <w:rsid w:val="00F91E31"/>
    <w:rsid w:val="00F92673"/>
    <w:rsid w:val="00F9358F"/>
    <w:rsid w:val="00F93E18"/>
    <w:rsid w:val="00F9404B"/>
    <w:rsid w:val="00F94741"/>
    <w:rsid w:val="00F949D6"/>
    <w:rsid w:val="00F95760"/>
    <w:rsid w:val="00F958A0"/>
    <w:rsid w:val="00F95FDF"/>
    <w:rsid w:val="00F96205"/>
    <w:rsid w:val="00F96D90"/>
    <w:rsid w:val="00F96FEF"/>
    <w:rsid w:val="00F970AE"/>
    <w:rsid w:val="00FA0660"/>
    <w:rsid w:val="00FA0D70"/>
    <w:rsid w:val="00FA2015"/>
    <w:rsid w:val="00FA3AF5"/>
    <w:rsid w:val="00FA4D94"/>
    <w:rsid w:val="00FA4DEA"/>
    <w:rsid w:val="00FA52A8"/>
    <w:rsid w:val="00FA6F49"/>
    <w:rsid w:val="00FA765B"/>
    <w:rsid w:val="00FA7862"/>
    <w:rsid w:val="00FB017F"/>
    <w:rsid w:val="00FB15AE"/>
    <w:rsid w:val="00FB2685"/>
    <w:rsid w:val="00FB385F"/>
    <w:rsid w:val="00FB42BB"/>
    <w:rsid w:val="00FB4BE2"/>
    <w:rsid w:val="00FB5CB2"/>
    <w:rsid w:val="00FB64C0"/>
    <w:rsid w:val="00FB6A0D"/>
    <w:rsid w:val="00FB78DA"/>
    <w:rsid w:val="00FC037B"/>
    <w:rsid w:val="00FC35D0"/>
    <w:rsid w:val="00FC3709"/>
    <w:rsid w:val="00FC4706"/>
    <w:rsid w:val="00FC48AD"/>
    <w:rsid w:val="00FC4D8C"/>
    <w:rsid w:val="00FC5B09"/>
    <w:rsid w:val="00FD00BD"/>
    <w:rsid w:val="00FD0750"/>
    <w:rsid w:val="00FD0A9B"/>
    <w:rsid w:val="00FD29AF"/>
    <w:rsid w:val="00FD2F49"/>
    <w:rsid w:val="00FD590D"/>
    <w:rsid w:val="00FD6D92"/>
    <w:rsid w:val="00FD712B"/>
    <w:rsid w:val="00FD76B8"/>
    <w:rsid w:val="00FE2472"/>
    <w:rsid w:val="00FE25AA"/>
    <w:rsid w:val="00FE2CE0"/>
    <w:rsid w:val="00FE4411"/>
    <w:rsid w:val="00FE448E"/>
    <w:rsid w:val="00FE48A7"/>
    <w:rsid w:val="00FE4F68"/>
    <w:rsid w:val="00FE540F"/>
    <w:rsid w:val="00FE6BC1"/>
    <w:rsid w:val="00FF0F41"/>
    <w:rsid w:val="00FF1B78"/>
    <w:rsid w:val="00FF389D"/>
    <w:rsid w:val="00FF3913"/>
    <w:rsid w:val="00FF4392"/>
    <w:rsid w:val="00FF4EE6"/>
    <w:rsid w:val="00FF4F8A"/>
    <w:rsid w:val="00FF51A3"/>
    <w:rsid w:val="00FF5CF9"/>
    <w:rsid w:val="00FF631F"/>
    <w:rsid w:val="00FF7C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21E72"/>
  <w15:chartTrackingRefBased/>
  <w15:docId w15:val="{797E41F7-46EA-4F9C-8267-9DF100CEF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2134"/>
    <w:rPr>
      <w:rFonts w:ascii="Times New Roman" w:hAnsi="Times New Roman"/>
    </w:rPr>
  </w:style>
  <w:style w:type="paragraph" w:styleId="Heading1">
    <w:name w:val="heading 1"/>
    <w:basedOn w:val="Normal"/>
    <w:next w:val="Normal"/>
    <w:link w:val="Heading1Char"/>
    <w:uiPriority w:val="9"/>
    <w:qFormat/>
    <w:rsid w:val="008D32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32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F55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578B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242C7"/>
    <w:pPr>
      <w:keepNext/>
      <w:keepLines/>
      <w:spacing w:before="40" w:after="0" w:line="256" w:lineRule="auto"/>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D2134"/>
    <w:rPr>
      <w:sz w:val="16"/>
      <w:szCs w:val="16"/>
    </w:rPr>
  </w:style>
  <w:style w:type="paragraph" w:styleId="CommentText">
    <w:name w:val="annotation text"/>
    <w:basedOn w:val="Normal"/>
    <w:link w:val="CommentTextChar"/>
    <w:uiPriority w:val="99"/>
    <w:semiHidden/>
    <w:unhideWhenUsed/>
    <w:rsid w:val="008D2134"/>
    <w:pPr>
      <w:spacing w:line="240" w:lineRule="auto"/>
    </w:pPr>
    <w:rPr>
      <w:rFonts w:eastAsiaTheme="minorEastAsia"/>
      <w:sz w:val="20"/>
      <w:szCs w:val="20"/>
      <w:lang w:eastAsia="zh-TW"/>
    </w:rPr>
  </w:style>
  <w:style w:type="character" w:customStyle="1" w:styleId="CommentTextChar">
    <w:name w:val="Comment Text Char"/>
    <w:basedOn w:val="DefaultParagraphFont"/>
    <w:link w:val="CommentText"/>
    <w:uiPriority w:val="99"/>
    <w:semiHidden/>
    <w:rsid w:val="008D2134"/>
    <w:rPr>
      <w:rFonts w:ascii="Times New Roman" w:eastAsiaTheme="minorEastAsia" w:hAnsi="Times New Roman"/>
      <w:sz w:val="20"/>
      <w:szCs w:val="20"/>
      <w:lang w:eastAsia="zh-TW"/>
    </w:rPr>
  </w:style>
  <w:style w:type="paragraph" w:styleId="BalloonText">
    <w:name w:val="Balloon Text"/>
    <w:basedOn w:val="Normal"/>
    <w:link w:val="BalloonTextChar"/>
    <w:uiPriority w:val="99"/>
    <w:semiHidden/>
    <w:unhideWhenUsed/>
    <w:rsid w:val="008D21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134"/>
    <w:rPr>
      <w:rFonts w:ascii="Segoe UI" w:hAnsi="Segoe UI" w:cs="Segoe UI"/>
      <w:sz w:val="18"/>
      <w:szCs w:val="18"/>
    </w:rPr>
  </w:style>
  <w:style w:type="paragraph" w:styleId="ListParagraph">
    <w:name w:val="List Paragraph"/>
    <w:aliases w:val="Bullet spaced,Main numbered paragraph,123 List Paragraph,Numbered Paragraph,References,Numbered List Paragraph,Bullets,List Paragraph (numbered (a)),List Paragraph nowy,Liste 1,List_Paragraph,Multilevel para_II,List Paragraph1,Bullet1,Ha"/>
    <w:basedOn w:val="Normal"/>
    <w:link w:val="ListParagraphChar"/>
    <w:uiPriority w:val="34"/>
    <w:qFormat/>
    <w:rsid w:val="008D2134"/>
    <w:pPr>
      <w:ind w:left="720"/>
      <w:contextualSpacing/>
    </w:pPr>
  </w:style>
  <w:style w:type="character" w:customStyle="1" w:styleId="ListParagraphChar">
    <w:name w:val="List Paragraph Char"/>
    <w:aliases w:val="Bullet spaced Char,Main numbered paragraph Char,123 List Paragraph Char,Numbered Paragraph Char,References Char,Numbered List Paragraph Char,Bullets Char,List Paragraph (numbered (a)) Char,List Paragraph nowy Char,Liste 1 Char"/>
    <w:basedOn w:val="DefaultParagraphFont"/>
    <w:link w:val="ListParagraph"/>
    <w:uiPriority w:val="34"/>
    <w:qFormat/>
    <w:rsid w:val="008D3227"/>
    <w:rPr>
      <w:rFonts w:ascii="Times New Roman" w:hAnsi="Times New Roman"/>
    </w:rPr>
  </w:style>
  <w:style w:type="paragraph" w:styleId="NoSpacing">
    <w:name w:val="No Spacing"/>
    <w:aliases w:val="My Normal"/>
    <w:link w:val="NoSpacingChar"/>
    <w:uiPriority w:val="1"/>
    <w:qFormat/>
    <w:rsid w:val="008D3227"/>
    <w:pPr>
      <w:spacing w:after="0" w:line="240" w:lineRule="auto"/>
    </w:pPr>
  </w:style>
  <w:style w:type="paragraph" w:styleId="Caption">
    <w:name w:val="caption"/>
    <w:aliases w:val="Caption Char Char Char,Caption1 Char,Caption1,WB Caption,Table title,Figure Head"/>
    <w:basedOn w:val="Normal"/>
    <w:next w:val="Normal"/>
    <w:link w:val="CaptionChar"/>
    <w:uiPriority w:val="35"/>
    <w:unhideWhenUsed/>
    <w:qFormat/>
    <w:rsid w:val="008D3227"/>
    <w:pPr>
      <w:spacing w:after="100" w:line="240" w:lineRule="auto"/>
    </w:pPr>
    <w:rPr>
      <w:rFonts w:asciiTheme="minorHAnsi" w:hAnsiTheme="minorHAnsi"/>
      <w:b/>
      <w:iCs/>
      <w:szCs w:val="18"/>
    </w:rPr>
  </w:style>
  <w:style w:type="character" w:customStyle="1" w:styleId="CaptionChar">
    <w:name w:val="Caption Char"/>
    <w:aliases w:val="Caption Char Char Char Char,Caption1 Char Char,Caption1 Char1,WB Caption Char,Table title Char,Figure Head Char"/>
    <w:link w:val="Caption"/>
    <w:uiPriority w:val="35"/>
    <w:rsid w:val="008D3227"/>
    <w:rPr>
      <w:b/>
      <w:iCs/>
      <w:szCs w:val="18"/>
    </w:rPr>
  </w:style>
  <w:style w:type="character" w:customStyle="1" w:styleId="NoSpacingChar">
    <w:name w:val="No Spacing Char"/>
    <w:aliases w:val="My Normal Char"/>
    <w:basedOn w:val="DefaultParagraphFont"/>
    <w:link w:val="NoSpacing"/>
    <w:uiPriority w:val="1"/>
    <w:rsid w:val="008D3227"/>
  </w:style>
  <w:style w:type="character" w:customStyle="1" w:styleId="Heading1Char">
    <w:name w:val="Heading 1 Char"/>
    <w:basedOn w:val="DefaultParagraphFont"/>
    <w:link w:val="Heading1"/>
    <w:uiPriority w:val="9"/>
    <w:rsid w:val="008D322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D3227"/>
    <w:rPr>
      <w:rFonts w:asciiTheme="majorHAnsi" w:eastAsiaTheme="majorEastAsia" w:hAnsiTheme="majorHAnsi" w:cstheme="majorBidi"/>
      <w:color w:val="2F5496" w:themeColor="accent1" w:themeShade="BF"/>
      <w:sz w:val="26"/>
      <w:szCs w:val="26"/>
    </w:rPr>
  </w:style>
  <w:style w:type="paragraph" w:styleId="FootnoteText">
    <w:name w:val="footnote text"/>
    <w:aliases w:val="fn,Footnote Text Char1,Footnote Text Char Char,single space,footnote text,FOOTNOTES,Footnote Text Char Char Char Char Char Char,Footnote Text Char2 Char,Footnote Text Char1 Char Char,Footnote Text Char Char Char Char,ALTS FOOTNOTE,Geneva 9"/>
    <w:basedOn w:val="Normal"/>
    <w:link w:val="FootnoteTextChar"/>
    <w:uiPriority w:val="99"/>
    <w:unhideWhenUsed/>
    <w:qFormat/>
    <w:rsid w:val="00064115"/>
    <w:pPr>
      <w:spacing w:after="0" w:line="240" w:lineRule="auto"/>
    </w:pPr>
    <w:rPr>
      <w:sz w:val="20"/>
      <w:szCs w:val="20"/>
    </w:rPr>
  </w:style>
  <w:style w:type="character" w:customStyle="1" w:styleId="FootnoteTextChar">
    <w:name w:val="Footnote Text Char"/>
    <w:aliases w:val="fn Char,Footnote Text Char1 Char,Footnote Text Char Char Char,single space Char,footnote text Char,FOOTNOTES Char,Footnote Text Char Char Char Char Char Char Char,Footnote Text Char2 Char Char,Footnote Text Char1 Char Char Char"/>
    <w:basedOn w:val="DefaultParagraphFont"/>
    <w:link w:val="FootnoteText"/>
    <w:uiPriority w:val="99"/>
    <w:rsid w:val="00064115"/>
    <w:rPr>
      <w:rFonts w:ascii="Times New Roman" w:hAnsi="Times New Roman"/>
      <w:sz w:val="20"/>
      <w:szCs w:val="20"/>
    </w:rPr>
  </w:style>
  <w:style w:type="character" w:styleId="FootnoteReference">
    <w:name w:val="footnote reference"/>
    <w:aliases w:val="ftref,16 Point,Superscript 6 Point,BVI fnr,fr,Used by Word for Help footnote symbols,Footnote Reference1,heading1, BVI fnr, Car Car Char Car Char Car Car Char Car Char Char,Car Car Char Car Char Car Car Char Car Char Char,SUPERS,Style"/>
    <w:basedOn w:val="DefaultParagraphFont"/>
    <w:link w:val="BVIfnrCharCharChar"/>
    <w:uiPriority w:val="99"/>
    <w:unhideWhenUsed/>
    <w:qFormat/>
    <w:rsid w:val="00064115"/>
    <w:rPr>
      <w:vertAlign w:val="superscript"/>
    </w:rPr>
  </w:style>
  <w:style w:type="paragraph" w:customStyle="1" w:styleId="BVIfnrCharCharChar">
    <w:name w:val="BVI fnr Char Char Char"/>
    <w:aliases w:val="ftref Char Char Char,16 Point Char Char Char,Superscript 6 Point Char Char Char"/>
    <w:basedOn w:val="Normal"/>
    <w:link w:val="FootnoteReference"/>
    <w:uiPriority w:val="99"/>
    <w:rsid w:val="00064115"/>
    <w:pPr>
      <w:spacing w:before="120" w:line="240" w:lineRule="exact"/>
      <w:jc w:val="both"/>
    </w:pPr>
    <w:rPr>
      <w:rFonts w:asciiTheme="minorHAnsi" w:hAnsiTheme="minorHAnsi"/>
      <w:vertAlign w:val="superscript"/>
    </w:rPr>
  </w:style>
  <w:style w:type="character" w:customStyle="1" w:styleId="Heading3Char">
    <w:name w:val="Heading 3 Char"/>
    <w:basedOn w:val="DefaultParagraphFont"/>
    <w:link w:val="Heading3"/>
    <w:uiPriority w:val="9"/>
    <w:rsid w:val="009F553E"/>
    <w:rPr>
      <w:rFonts w:asciiTheme="majorHAnsi" w:eastAsiaTheme="majorEastAsia" w:hAnsiTheme="majorHAnsi" w:cstheme="majorBidi"/>
      <w:color w:val="1F3763" w:themeColor="accent1" w:themeShade="7F"/>
      <w:sz w:val="24"/>
      <w:szCs w:val="24"/>
    </w:rPr>
  </w:style>
  <w:style w:type="paragraph" w:styleId="EndnoteText">
    <w:name w:val="endnote text"/>
    <w:basedOn w:val="Normal"/>
    <w:link w:val="EndnoteTextChar"/>
    <w:uiPriority w:val="99"/>
    <w:unhideWhenUsed/>
    <w:rsid w:val="00C43BD2"/>
    <w:pPr>
      <w:spacing w:after="0" w:line="240" w:lineRule="auto"/>
    </w:pPr>
    <w:rPr>
      <w:rFonts w:asciiTheme="minorHAnsi" w:hAnsiTheme="minorHAnsi"/>
      <w:sz w:val="20"/>
      <w:szCs w:val="20"/>
    </w:rPr>
  </w:style>
  <w:style w:type="character" w:customStyle="1" w:styleId="EndnoteTextChar">
    <w:name w:val="Endnote Text Char"/>
    <w:basedOn w:val="DefaultParagraphFont"/>
    <w:link w:val="EndnoteText"/>
    <w:uiPriority w:val="99"/>
    <w:rsid w:val="00C43BD2"/>
    <w:rPr>
      <w:sz w:val="20"/>
      <w:szCs w:val="20"/>
    </w:rPr>
  </w:style>
  <w:style w:type="character" w:styleId="EndnoteReference">
    <w:name w:val="endnote reference"/>
    <w:basedOn w:val="DefaultParagraphFont"/>
    <w:uiPriority w:val="99"/>
    <w:unhideWhenUsed/>
    <w:rsid w:val="00C43BD2"/>
    <w:rPr>
      <w:vertAlign w:val="superscript"/>
    </w:rPr>
  </w:style>
  <w:style w:type="character" w:styleId="SubtleReference">
    <w:name w:val="Subtle Reference"/>
    <w:uiPriority w:val="31"/>
    <w:qFormat/>
    <w:rsid w:val="00E95CD2"/>
    <w:rPr>
      <w:color w:val="000000" w:themeColor="text1"/>
      <w:sz w:val="18"/>
    </w:rPr>
  </w:style>
  <w:style w:type="table" w:styleId="TableGrid">
    <w:name w:val="Table Grid"/>
    <w:aliases w:val="TabelEcorys"/>
    <w:basedOn w:val="TableNormal"/>
    <w:uiPriority w:val="39"/>
    <w:rsid w:val="001F6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79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7924"/>
    <w:rPr>
      <w:rFonts w:ascii="Times New Roman" w:hAnsi="Times New Roman"/>
    </w:rPr>
  </w:style>
  <w:style w:type="paragraph" w:styleId="Footer">
    <w:name w:val="footer"/>
    <w:basedOn w:val="Normal"/>
    <w:link w:val="FooterChar"/>
    <w:uiPriority w:val="99"/>
    <w:unhideWhenUsed/>
    <w:rsid w:val="007079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924"/>
    <w:rPr>
      <w:rFonts w:ascii="Times New Roman" w:hAnsi="Times New Roman"/>
    </w:rPr>
  </w:style>
  <w:style w:type="paragraph" w:styleId="IntenseQuote">
    <w:name w:val="Intense Quote"/>
    <w:basedOn w:val="Normal"/>
    <w:next w:val="Normal"/>
    <w:link w:val="IntenseQuoteChar"/>
    <w:uiPriority w:val="30"/>
    <w:qFormat/>
    <w:rsid w:val="0013513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35132"/>
    <w:rPr>
      <w:rFonts w:ascii="Times New Roman" w:hAnsi="Times New Roman"/>
      <w:i/>
      <w:iCs/>
      <w:color w:val="4472C4" w:themeColor="accent1"/>
    </w:rPr>
  </w:style>
  <w:style w:type="character" w:customStyle="1" w:styleId="Heading4Char">
    <w:name w:val="Heading 4 Char"/>
    <w:basedOn w:val="DefaultParagraphFont"/>
    <w:link w:val="Heading4"/>
    <w:uiPriority w:val="9"/>
    <w:rsid w:val="001578B7"/>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5A64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6483"/>
    <w:rPr>
      <w:rFonts w:asciiTheme="majorHAnsi" w:eastAsiaTheme="majorEastAsia" w:hAnsiTheme="majorHAnsi" w:cstheme="majorBidi"/>
      <w:spacing w:val="-10"/>
      <w:kern w:val="28"/>
      <w:sz w:val="56"/>
      <w:szCs w:val="56"/>
    </w:rPr>
  </w:style>
  <w:style w:type="table" w:customStyle="1" w:styleId="TableGrid1">
    <w:name w:val="Table Grid1"/>
    <w:basedOn w:val="TableNormal"/>
    <w:next w:val="TableGrid"/>
    <w:uiPriority w:val="39"/>
    <w:rsid w:val="00A95E7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D6427"/>
    <w:rPr>
      <w:rFonts w:eastAsiaTheme="minorHAnsi"/>
      <w:b/>
      <w:bCs/>
      <w:lang w:eastAsia="en-US"/>
    </w:rPr>
  </w:style>
  <w:style w:type="character" w:customStyle="1" w:styleId="CommentSubjectChar">
    <w:name w:val="Comment Subject Char"/>
    <w:basedOn w:val="CommentTextChar"/>
    <w:link w:val="CommentSubject"/>
    <w:uiPriority w:val="99"/>
    <w:semiHidden/>
    <w:rsid w:val="007D6427"/>
    <w:rPr>
      <w:rFonts w:ascii="Times New Roman" w:eastAsiaTheme="minorEastAsia" w:hAnsi="Times New Roman"/>
      <w:b/>
      <w:bCs/>
      <w:sz w:val="20"/>
      <w:szCs w:val="20"/>
      <w:lang w:eastAsia="zh-TW"/>
    </w:rPr>
  </w:style>
  <w:style w:type="character" w:styleId="Hyperlink">
    <w:name w:val="Hyperlink"/>
    <w:basedOn w:val="DefaultParagraphFont"/>
    <w:uiPriority w:val="99"/>
    <w:unhideWhenUsed/>
    <w:rsid w:val="00D72DB9"/>
    <w:rPr>
      <w:color w:val="0563C1" w:themeColor="hyperlink"/>
      <w:u w:val="single"/>
    </w:rPr>
  </w:style>
  <w:style w:type="table" w:customStyle="1" w:styleId="TableGrid3">
    <w:name w:val="Table Grid3"/>
    <w:basedOn w:val="TableNormal"/>
    <w:uiPriority w:val="39"/>
    <w:rsid w:val="003C476D"/>
    <w:pPr>
      <w:spacing w:after="0" w:line="240" w:lineRule="auto"/>
    </w:pPr>
    <w:rPr>
      <w:rFonts w:eastAsia="PMingLiU"/>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B8294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56214E"/>
    <w:pPr>
      <w:spacing w:after="0" w:line="240" w:lineRule="auto"/>
    </w:pPr>
    <w:rPr>
      <w:rFonts w:eastAsia="PMingLiU"/>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6B51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9242C7"/>
    <w:rPr>
      <w:rFonts w:asciiTheme="majorHAnsi" w:eastAsiaTheme="majorEastAsia" w:hAnsiTheme="majorHAnsi" w:cstheme="majorBidi"/>
      <w:color w:val="2F5496" w:themeColor="accent1" w:themeShade="BF"/>
    </w:rPr>
  </w:style>
  <w:style w:type="paragraph" w:customStyle="1" w:styleId="Normal1">
    <w:name w:val="Normal1"/>
    <w:rsid w:val="00E32960"/>
    <w:pPr>
      <w:spacing w:after="0" w:line="240" w:lineRule="auto"/>
    </w:pPr>
    <w:rPr>
      <w:rFonts w:eastAsiaTheme="minorEastAsia"/>
      <w:sz w:val="24"/>
      <w:szCs w:val="24"/>
    </w:rPr>
  </w:style>
  <w:style w:type="paragraph" w:styleId="TOCHeading">
    <w:name w:val="TOC Heading"/>
    <w:basedOn w:val="Heading1"/>
    <w:next w:val="Normal"/>
    <w:uiPriority w:val="39"/>
    <w:unhideWhenUsed/>
    <w:qFormat/>
    <w:rsid w:val="003E67B8"/>
    <w:pPr>
      <w:outlineLvl w:val="9"/>
    </w:pPr>
  </w:style>
  <w:style w:type="paragraph" w:styleId="TOC1">
    <w:name w:val="toc 1"/>
    <w:basedOn w:val="Normal"/>
    <w:next w:val="Normal"/>
    <w:autoRedefine/>
    <w:uiPriority w:val="39"/>
    <w:unhideWhenUsed/>
    <w:rsid w:val="003E67B8"/>
    <w:pPr>
      <w:spacing w:after="100"/>
    </w:pPr>
  </w:style>
  <w:style w:type="paragraph" w:styleId="TOC2">
    <w:name w:val="toc 2"/>
    <w:basedOn w:val="Normal"/>
    <w:next w:val="Normal"/>
    <w:autoRedefine/>
    <w:uiPriority w:val="39"/>
    <w:unhideWhenUsed/>
    <w:rsid w:val="00353E76"/>
    <w:pPr>
      <w:tabs>
        <w:tab w:val="left" w:pos="660"/>
        <w:tab w:val="right" w:leader="dot" w:pos="9350"/>
      </w:tabs>
      <w:spacing w:after="100"/>
    </w:pPr>
  </w:style>
  <w:style w:type="paragraph" w:styleId="TOC3">
    <w:name w:val="toc 3"/>
    <w:basedOn w:val="Normal"/>
    <w:next w:val="Normal"/>
    <w:autoRedefine/>
    <w:uiPriority w:val="39"/>
    <w:unhideWhenUsed/>
    <w:rsid w:val="00353E76"/>
    <w:pPr>
      <w:tabs>
        <w:tab w:val="right" w:leader="dot" w:pos="9350"/>
      </w:tabs>
      <w:spacing w:after="100"/>
      <w:ind w:left="440"/>
    </w:pPr>
    <w:rPr>
      <w:i/>
      <w:noProof/>
    </w:rPr>
  </w:style>
  <w:style w:type="paragraph" w:styleId="Revision">
    <w:name w:val="Revision"/>
    <w:hidden/>
    <w:uiPriority w:val="99"/>
    <w:semiHidden/>
    <w:rsid w:val="009A0404"/>
    <w:pPr>
      <w:spacing w:after="0" w:line="240" w:lineRule="auto"/>
    </w:pPr>
    <w:rPr>
      <w:rFonts w:ascii="Times New Roman" w:hAnsi="Times New Roman"/>
    </w:rPr>
  </w:style>
  <w:style w:type="table" w:customStyle="1" w:styleId="TableGrid4">
    <w:name w:val="Table Grid4"/>
    <w:basedOn w:val="TableNormal"/>
    <w:next w:val="TableGrid"/>
    <w:uiPriority w:val="39"/>
    <w:rsid w:val="00363065"/>
    <w:pPr>
      <w:spacing w:after="0" w:line="240" w:lineRule="auto"/>
    </w:pPr>
    <w:rPr>
      <w:rFonts w:eastAsia="Malgun Gothic"/>
      <w:sz w:val="24"/>
      <w:szCs w:val="24"/>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363065"/>
    <w:pPr>
      <w:spacing w:after="0" w:line="240" w:lineRule="auto"/>
    </w:pPr>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BFtNote">
    <w:name w:val="DB FtNote"/>
    <w:basedOn w:val="Normal"/>
    <w:autoRedefine/>
    <w:qFormat/>
    <w:rsid w:val="00363065"/>
    <w:pPr>
      <w:keepLines/>
      <w:spacing w:after="0" w:line="240" w:lineRule="auto"/>
      <w:jc w:val="both"/>
    </w:pPr>
    <w:rPr>
      <w:rFonts w:eastAsia="Calibri" w:cs="Times New Roman"/>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92444">
      <w:bodyDiv w:val="1"/>
      <w:marLeft w:val="0"/>
      <w:marRight w:val="0"/>
      <w:marTop w:val="0"/>
      <w:marBottom w:val="0"/>
      <w:divBdr>
        <w:top w:val="none" w:sz="0" w:space="0" w:color="auto"/>
        <w:left w:val="none" w:sz="0" w:space="0" w:color="auto"/>
        <w:bottom w:val="none" w:sz="0" w:space="0" w:color="auto"/>
        <w:right w:val="none" w:sz="0" w:space="0" w:color="auto"/>
      </w:divBdr>
    </w:div>
    <w:div w:id="73672201">
      <w:bodyDiv w:val="1"/>
      <w:marLeft w:val="0"/>
      <w:marRight w:val="0"/>
      <w:marTop w:val="0"/>
      <w:marBottom w:val="0"/>
      <w:divBdr>
        <w:top w:val="none" w:sz="0" w:space="0" w:color="auto"/>
        <w:left w:val="none" w:sz="0" w:space="0" w:color="auto"/>
        <w:bottom w:val="none" w:sz="0" w:space="0" w:color="auto"/>
        <w:right w:val="none" w:sz="0" w:space="0" w:color="auto"/>
      </w:divBdr>
    </w:div>
    <w:div w:id="82537643">
      <w:bodyDiv w:val="1"/>
      <w:marLeft w:val="0"/>
      <w:marRight w:val="0"/>
      <w:marTop w:val="0"/>
      <w:marBottom w:val="0"/>
      <w:divBdr>
        <w:top w:val="none" w:sz="0" w:space="0" w:color="auto"/>
        <w:left w:val="none" w:sz="0" w:space="0" w:color="auto"/>
        <w:bottom w:val="none" w:sz="0" w:space="0" w:color="auto"/>
        <w:right w:val="none" w:sz="0" w:space="0" w:color="auto"/>
      </w:divBdr>
    </w:div>
    <w:div w:id="93718546">
      <w:bodyDiv w:val="1"/>
      <w:marLeft w:val="0"/>
      <w:marRight w:val="0"/>
      <w:marTop w:val="0"/>
      <w:marBottom w:val="0"/>
      <w:divBdr>
        <w:top w:val="none" w:sz="0" w:space="0" w:color="auto"/>
        <w:left w:val="none" w:sz="0" w:space="0" w:color="auto"/>
        <w:bottom w:val="none" w:sz="0" w:space="0" w:color="auto"/>
        <w:right w:val="none" w:sz="0" w:space="0" w:color="auto"/>
      </w:divBdr>
    </w:div>
    <w:div w:id="125516711">
      <w:bodyDiv w:val="1"/>
      <w:marLeft w:val="0"/>
      <w:marRight w:val="0"/>
      <w:marTop w:val="0"/>
      <w:marBottom w:val="0"/>
      <w:divBdr>
        <w:top w:val="none" w:sz="0" w:space="0" w:color="auto"/>
        <w:left w:val="none" w:sz="0" w:space="0" w:color="auto"/>
        <w:bottom w:val="none" w:sz="0" w:space="0" w:color="auto"/>
        <w:right w:val="none" w:sz="0" w:space="0" w:color="auto"/>
      </w:divBdr>
    </w:div>
    <w:div w:id="182086592">
      <w:bodyDiv w:val="1"/>
      <w:marLeft w:val="0"/>
      <w:marRight w:val="0"/>
      <w:marTop w:val="0"/>
      <w:marBottom w:val="0"/>
      <w:divBdr>
        <w:top w:val="none" w:sz="0" w:space="0" w:color="auto"/>
        <w:left w:val="none" w:sz="0" w:space="0" w:color="auto"/>
        <w:bottom w:val="none" w:sz="0" w:space="0" w:color="auto"/>
        <w:right w:val="none" w:sz="0" w:space="0" w:color="auto"/>
      </w:divBdr>
    </w:div>
    <w:div w:id="227082445">
      <w:bodyDiv w:val="1"/>
      <w:marLeft w:val="0"/>
      <w:marRight w:val="0"/>
      <w:marTop w:val="0"/>
      <w:marBottom w:val="0"/>
      <w:divBdr>
        <w:top w:val="none" w:sz="0" w:space="0" w:color="auto"/>
        <w:left w:val="none" w:sz="0" w:space="0" w:color="auto"/>
        <w:bottom w:val="none" w:sz="0" w:space="0" w:color="auto"/>
        <w:right w:val="none" w:sz="0" w:space="0" w:color="auto"/>
      </w:divBdr>
    </w:div>
    <w:div w:id="256060974">
      <w:bodyDiv w:val="1"/>
      <w:marLeft w:val="0"/>
      <w:marRight w:val="0"/>
      <w:marTop w:val="0"/>
      <w:marBottom w:val="0"/>
      <w:divBdr>
        <w:top w:val="none" w:sz="0" w:space="0" w:color="auto"/>
        <w:left w:val="none" w:sz="0" w:space="0" w:color="auto"/>
        <w:bottom w:val="none" w:sz="0" w:space="0" w:color="auto"/>
        <w:right w:val="none" w:sz="0" w:space="0" w:color="auto"/>
      </w:divBdr>
    </w:div>
    <w:div w:id="295989818">
      <w:bodyDiv w:val="1"/>
      <w:marLeft w:val="0"/>
      <w:marRight w:val="0"/>
      <w:marTop w:val="0"/>
      <w:marBottom w:val="0"/>
      <w:divBdr>
        <w:top w:val="none" w:sz="0" w:space="0" w:color="auto"/>
        <w:left w:val="none" w:sz="0" w:space="0" w:color="auto"/>
        <w:bottom w:val="none" w:sz="0" w:space="0" w:color="auto"/>
        <w:right w:val="none" w:sz="0" w:space="0" w:color="auto"/>
      </w:divBdr>
    </w:div>
    <w:div w:id="310865587">
      <w:bodyDiv w:val="1"/>
      <w:marLeft w:val="0"/>
      <w:marRight w:val="0"/>
      <w:marTop w:val="0"/>
      <w:marBottom w:val="0"/>
      <w:divBdr>
        <w:top w:val="none" w:sz="0" w:space="0" w:color="auto"/>
        <w:left w:val="none" w:sz="0" w:space="0" w:color="auto"/>
        <w:bottom w:val="none" w:sz="0" w:space="0" w:color="auto"/>
        <w:right w:val="none" w:sz="0" w:space="0" w:color="auto"/>
      </w:divBdr>
    </w:div>
    <w:div w:id="343870870">
      <w:bodyDiv w:val="1"/>
      <w:marLeft w:val="0"/>
      <w:marRight w:val="0"/>
      <w:marTop w:val="0"/>
      <w:marBottom w:val="0"/>
      <w:divBdr>
        <w:top w:val="none" w:sz="0" w:space="0" w:color="auto"/>
        <w:left w:val="none" w:sz="0" w:space="0" w:color="auto"/>
        <w:bottom w:val="none" w:sz="0" w:space="0" w:color="auto"/>
        <w:right w:val="none" w:sz="0" w:space="0" w:color="auto"/>
      </w:divBdr>
    </w:div>
    <w:div w:id="445738350">
      <w:bodyDiv w:val="1"/>
      <w:marLeft w:val="0"/>
      <w:marRight w:val="0"/>
      <w:marTop w:val="0"/>
      <w:marBottom w:val="0"/>
      <w:divBdr>
        <w:top w:val="none" w:sz="0" w:space="0" w:color="auto"/>
        <w:left w:val="none" w:sz="0" w:space="0" w:color="auto"/>
        <w:bottom w:val="none" w:sz="0" w:space="0" w:color="auto"/>
        <w:right w:val="none" w:sz="0" w:space="0" w:color="auto"/>
      </w:divBdr>
    </w:div>
    <w:div w:id="482547388">
      <w:bodyDiv w:val="1"/>
      <w:marLeft w:val="0"/>
      <w:marRight w:val="0"/>
      <w:marTop w:val="0"/>
      <w:marBottom w:val="0"/>
      <w:divBdr>
        <w:top w:val="none" w:sz="0" w:space="0" w:color="auto"/>
        <w:left w:val="none" w:sz="0" w:space="0" w:color="auto"/>
        <w:bottom w:val="none" w:sz="0" w:space="0" w:color="auto"/>
        <w:right w:val="none" w:sz="0" w:space="0" w:color="auto"/>
      </w:divBdr>
    </w:div>
    <w:div w:id="582375280">
      <w:bodyDiv w:val="1"/>
      <w:marLeft w:val="0"/>
      <w:marRight w:val="0"/>
      <w:marTop w:val="0"/>
      <w:marBottom w:val="0"/>
      <w:divBdr>
        <w:top w:val="none" w:sz="0" w:space="0" w:color="auto"/>
        <w:left w:val="none" w:sz="0" w:space="0" w:color="auto"/>
        <w:bottom w:val="none" w:sz="0" w:space="0" w:color="auto"/>
        <w:right w:val="none" w:sz="0" w:space="0" w:color="auto"/>
      </w:divBdr>
    </w:div>
    <w:div w:id="688680432">
      <w:bodyDiv w:val="1"/>
      <w:marLeft w:val="0"/>
      <w:marRight w:val="0"/>
      <w:marTop w:val="0"/>
      <w:marBottom w:val="0"/>
      <w:divBdr>
        <w:top w:val="none" w:sz="0" w:space="0" w:color="auto"/>
        <w:left w:val="none" w:sz="0" w:space="0" w:color="auto"/>
        <w:bottom w:val="none" w:sz="0" w:space="0" w:color="auto"/>
        <w:right w:val="none" w:sz="0" w:space="0" w:color="auto"/>
      </w:divBdr>
    </w:div>
    <w:div w:id="716704884">
      <w:bodyDiv w:val="1"/>
      <w:marLeft w:val="0"/>
      <w:marRight w:val="0"/>
      <w:marTop w:val="0"/>
      <w:marBottom w:val="0"/>
      <w:divBdr>
        <w:top w:val="none" w:sz="0" w:space="0" w:color="auto"/>
        <w:left w:val="none" w:sz="0" w:space="0" w:color="auto"/>
        <w:bottom w:val="none" w:sz="0" w:space="0" w:color="auto"/>
        <w:right w:val="none" w:sz="0" w:space="0" w:color="auto"/>
      </w:divBdr>
    </w:div>
    <w:div w:id="747384975">
      <w:bodyDiv w:val="1"/>
      <w:marLeft w:val="0"/>
      <w:marRight w:val="0"/>
      <w:marTop w:val="0"/>
      <w:marBottom w:val="0"/>
      <w:divBdr>
        <w:top w:val="none" w:sz="0" w:space="0" w:color="auto"/>
        <w:left w:val="none" w:sz="0" w:space="0" w:color="auto"/>
        <w:bottom w:val="none" w:sz="0" w:space="0" w:color="auto"/>
        <w:right w:val="none" w:sz="0" w:space="0" w:color="auto"/>
      </w:divBdr>
    </w:div>
    <w:div w:id="961809179">
      <w:bodyDiv w:val="1"/>
      <w:marLeft w:val="0"/>
      <w:marRight w:val="0"/>
      <w:marTop w:val="0"/>
      <w:marBottom w:val="0"/>
      <w:divBdr>
        <w:top w:val="none" w:sz="0" w:space="0" w:color="auto"/>
        <w:left w:val="none" w:sz="0" w:space="0" w:color="auto"/>
        <w:bottom w:val="none" w:sz="0" w:space="0" w:color="auto"/>
        <w:right w:val="none" w:sz="0" w:space="0" w:color="auto"/>
      </w:divBdr>
    </w:div>
    <w:div w:id="964700256">
      <w:bodyDiv w:val="1"/>
      <w:marLeft w:val="0"/>
      <w:marRight w:val="0"/>
      <w:marTop w:val="0"/>
      <w:marBottom w:val="0"/>
      <w:divBdr>
        <w:top w:val="none" w:sz="0" w:space="0" w:color="auto"/>
        <w:left w:val="none" w:sz="0" w:space="0" w:color="auto"/>
        <w:bottom w:val="none" w:sz="0" w:space="0" w:color="auto"/>
        <w:right w:val="none" w:sz="0" w:space="0" w:color="auto"/>
      </w:divBdr>
    </w:div>
    <w:div w:id="1010377299">
      <w:bodyDiv w:val="1"/>
      <w:marLeft w:val="0"/>
      <w:marRight w:val="0"/>
      <w:marTop w:val="0"/>
      <w:marBottom w:val="0"/>
      <w:divBdr>
        <w:top w:val="none" w:sz="0" w:space="0" w:color="auto"/>
        <w:left w:val="none" w:sz="0" w:space="0" w:color="auto"/>
        <w:bottom w:val="none" w:sz="0" w:space="0" w:color="auto"/>
        <w:right w:val="none" w:sz="0" w:space="0" w:color="auto"/>
      </w:divBdr>
    </w:div>
    <w:div w:id="1024406920">
      <w:bodyDiv w:val="1"/>
      <w:marLeft w:val="0"/>
      <w:marRight w:val="0"/>
      <w:marTop w:val="0"/>
      <w:marBottom w:val="0"/>
      <w:divBdr>
        <w:top w:val="none" w:sz="0" w:space="0" w:color="auto"/>
        <w:left w:val="none" w:sz="0" w:space="0" w:color="auto"/>
        <w:bottom w:val="none" w:sz="0" w:space="0" w:color="auto"/>
        <w:right w:val="none" w:sz="0" w:space="0" w:color="auto"/>
      </w:divBdr>
    </w:div>
    <w:div w:id="1046293136">
      <w:bodyDiv w:val="1"/>
      <w:marLeft w:val="0"/>
      <w:marRight w:val="0"/>
      <w:marTop w:val="0"/>
      <w:marBottom w:val="0"/>
      <w:divBdr>
        <w:top w:val="none" w:sz="0" w:space="0" w:color="auto"/>
        <w:left w:val="none" w:sz="0" w:space="0" w:color="auto"/>
        <w:bottom w:val="none" w:sz="0" w:space="0" w:color="auto"/>
        <w:right w:val="none" w:sz="0" w:space="0" w:color="auto"/>
      </w:divBdr>
    </w:div>
    <w:div w:id="1145513904">
      <w:bodyDiv w:val="1"/>
      <w:marLeft w:val="0"/>
      <w:marRight w:val="0"/>
      <w:marTop w:val="0"/>
      <w:marBottom w:val="0"/>
      <w:divBdr>
        <w:top w:val="none" w:sz="0" w:space="0" w:color="auto"/>
        <w:left w:val="none" w:sz="0" w:space="0" w:color="auto"/>
        <w:bottom w:val="none" w:sz="0" w:space="0" w:color="auto"/>
        <w:right w:val="none" w:sz="0" w:space="0" w:color="auto"/>
      </w:divBdr>
    </w:div>
    <w:div w:id="1326981307">
      <w:bodyDiv w:val="1"/>
      <w:marLeft w:val="0"/>
      <w:marRight w:val="0"/>
      <w:marTop w:val="0"/>
      <w:marBottom w:val="0"/>
      <w:divBdr>
        <w:top w:val="none" w:sz="0" w:space="0" w:color="auto"/>
        <w:left w:val="none" w:sz="0" w:space="0" w:color="auto"/>
        <w:bottom w:val="none" w:sz="0" w:space="0" w:color="auto"/>
        <w:right w:val="none" w:sz="0" w:space="0" w:color="auto"/>
      </w:divBdr>
    </w:div>
    <w:div w:id="1331525371">
      <w:bodyDiv w:val="1"/>
      <w:marLeft w:val="0"/>
      <w:marRight w:val="0"/>
      <w:marTop w:val="0"/>
      <w:marBottom w:val="0"/>
      <w:divBdr>
        <w:top w:val="none" w:sz="0" w:space="0" w:color="auto"/>
        <w:left w:val="none" w:sz="0" w:space="0" w:color="auto"/>
        <w:bottom w:val="none" w:sz="0" w:space="0" w:color="auto"/>
        <w:right w:val="none" w:sz="0" w:space="0" w:color="auto"/>
      </w:divBdr>
    </w:div>
    <w:div w:id="1461149378">
      <w:bodyDiv w:val="1"/>
      <w:marLeft w:val="0"/>
      <w:marRight w:val="0"/>
      <w:marTop w:val="0"/>
      <w:marBottom w:val="0"/>
      <w:divBdr>
        <w:top w:val="none" w:sz="0" w:space="0" w:color="auto"/>
        <w:left w:val="none" w:sz="0" w:space="0" w:color="auto"/>
        <w:bottom w:val="none" w:sz="0" w:space="0" w:color="auto"/>
        <w:right w:val="none" w:sz="0" w:space="0" w:color="auto"/>
      </w:divBdr>
    </w:div>
    <w:div w:id="1572545934">
      <w:bodyDiv w:val="1"/>
      <w:marLeft w:val="0"/>
      <w:marRight w:val="0"/>
      <w:marTop w:val="0"/>
      <w:marBottom w:val="0"/>
      <w:divBdr>
        <w:top w:val="none" w:sz="0" w:space="0" w:color="auto"/>
        <w:left w:val="none" w:sz="0" w:space="0" w:color="auto"/>
        <w:bottom w:val="none" w:sz="0" w:space="0" w:color="auto"/>
        <w:right w:val="none" w:sz="0" w:space="0" w:color="auto"/>
      </w:divBdr>
    </w:div>
    <w:div w:id="1582376349">
      <w:bodyDiv w:val="1"/>
      <w:marLeft w:val="0"/>
      <w:marRight w:val="0"/>
      <w:marTop w:val="0"/>
      <w:marBottom w:val="0"/>
      <w:divBdr>
        <w:top w:val="none" w:sz="0" w:space="0" w:color="auto"/>
        <w:left w:val="none" w:sz="0" w:space="0" w:color="auto"/>
        <w:bottom w:val="none" w:sz="0" w:space="0" w:color="auto"/>
        <w:right w:val="none" w:sz="0" w:space="0" w:color="auto"/>
      </w:divBdr>
    </w:div>
    <w:div w:id="1637025705">
      <w:bodyDiv w:val="1"/>
      <w:marLeft w:val="0"/>
      <w:marRight w:val="0"/>
      <w:marTop w:val="0"/>
      <w:marBottom w:val="0"/>
      <w:divBdr>
        <w:top w:val="none" w:sz="0" w:space="0" w:color="auto"/>
        <w:left w:val="none" w:sz="0" w:space="0" w:color="auto"/>
        <w:bottom w:val="none" w:sz="0" w:space="0" w:color="auto"/>
        <w:right w:val="none" w:sz="0" w:space="0" w:color="auto"/>
      </w:divBdr>
    </w:div>
    <w:div w:id="1653868370">
      <w:bodyDiv w:val="1"/>
      <w:marLeft w:val="0"/>
      <w:marRight w:val="0"/>
      <w:marTop w:val="0"/>
      <w:marBottom w:val="0"/>
      <w:divBdr>
        <w:top w:val="none" w:sz="0" w:space="0" w:color="auto"/>
        <w:left w:val="none" w:sz="0" w:space="0" w:color="auto"/>
        <w:bottom w:val="none" w:sz="0" w:space="0" w:color="auto"/>
        <w:right w:val="none" w:sz="0" w:space="0" w:color="auto"/>
      </w:divBdr>
    </w:div>
    <w:div w:id="1745494467">
      <w:bodyDiv w:val="1"/>
      <w:marLeft w:val="0"/>
      <w:marRight w:val="0"/>
      <w:marTop w:val="0"/>
      <w:marBottom w:val="0"/>
      <w:divBdr>
        <w:top w:val="none" w:sz="0" w:space="0" w:color="auto"/>
        <w:left w:val="none" w:sz="0" w:space="0" w:color="auto"/>
        <w:bottom w:val="none" w:sz="0" w:space="0" w:color="auto"/>
        <w:right w:val="none" w:sz="0" w:space="0" w:color="auto"/>
      </w:divBdr>
    </w:div>
    <w:div w:id="2076051530">
      <w:bodyDiv w:val="1"/>
      <w:marLeft w:val="0"/>
      <w:marRight w:val="0"/>
      <w:marTop w:val="0"/>
      <w:marBottom w:val="0"/>
      <w:divBdr>
        <w:top w:val="none" w:sz="0" w:space="0" w:color="auto"/>
        <w:left w:val="none" w:sz="0" w:space="0" w:color="auto"/>
        <w:bottom w:val="none" w:sz="0" w:space="0" w:color="auto"/>
        <w:right w:val="none" w:sz="0" w:space="0" w:color="auto"/>
      </w:divBdr>
    </w:div>
    <w:div w:id="210811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chart" Target="charts/chart8.xml"/><Relationship Id="rId42" Type="http://schemas.openxmlformats.org/officeDocument/2006/relationships/image" Target="media/image9.jpeg"/><Relationship Id="rId47" Type="http://schemas.openxmlformats.org/officeDocument/2006/relationships/image" Target="media/image14.png"/><Relationship Id="rId63" Type="http://schemas.openxmlformats.org/officeDocument/2006/relationships/image" Target="media/image29.emf"/><Relationship Id="rId68" Type="http://schemas.openxmlformats.org/officeDocument/2006/relationships/image" Target="media/image35.emf"/><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chart" Target="charts/chart12.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chart" Target="charts/chart15.xml"/><Relationship Id="rId37" Type="http://schemas.openxmlformats.org/officeDocument/2006/relationships/image" Target="media/image6.png"/><Relationship Id="rId40" Type="http://schemas.openxmlformats.org/officeDocument/2006/relationships/chart" Target="charts/chart20.xml"/><Relationship Id="rId45" Type="http://schemas.openxmlformats.org/officeDocument/2006/relationships/image" Target="media/image12.png"/><Relationship Id="rId53" Type="http://schemas.openxmlformats.org/officeDocument/2006/relationships/image" Target="media/image19.emf"/><Relationship Id="rId58" Type="http://schemas.openxmlformats.org/officeDocument/2006/relationships/image" Target="media/image24.emf"/><Relationship Id="rId66" Type="http://schemas.openxmlformats.org/officeDocument/2006/relationships/image" Target="media/image32.emf"/><Relationship Id="rId5" Type="http://schemas.openxmlformats.org/officeDocument/2006/relationships/customXml" Target="../customXml/item5.xml"/><Relationship Id="rId61" Type="http://schemas.openxmlformats.org/officeDocument/2006/relationships/image" Target="media/image27.emf"/><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5.png"/><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image" Target="media/image10.png"/><Relationship Id="rId48" Type="http://schemas.openxmlformats.org/officeDocument/2006/relationships/image" Target="media/image15.emf"/><Relationship Id="rId56" Type="http://schemas.openxmlformats.org/officeDocument/2006/relationships/image" Target="media/image22.emf"/><Relationship Id="rId64" Type="http://schemas.openxmlformats.org/officeDocument/2006/relationships/image" Target="media/image30.emf"/><Relationship Id="rId69" Type="http://schemas.openxmlformats.org/officeDocument/2006/relationships/image" Target="media/image36.emf"/><Relationship Id="rId8" Type="http://schemas.openxmlformats.org/officeDocument/2006/relationships/settings" Target="settings.xml"/><Relationship Id="rId51" Type="http://schemas.openxmlformats.org/officeDocument/2006/relationships/image" Target="media/image18.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4.xml"/><Relationship Id="rId25" Type="http://schemas.openxmlformats.org/officeDocument/2006/relationships/image" Target="media/image3.png"/><Relationship Id="rId33" Type="http://schemas.openxmlformats.org/officeDocument/2006/relationships/chart" Target="charts/chart16.xml"/><Relationship Id="rId38" Type="http://schemas.openxmlformats.org/officeDocument/2006/relationships/image" Target="media/image7.png"/><Relationship Id="rId46" Type="http://schemas.openxmlformats.org/officeDocument/2006/relationships/image" Target="media/image13.png"/><Relationship Id="rId59" Type="http://schemas.openxmlformats.org/officeDocument/2006/relationships/image" Target="media/image25.emf"/><Relationship Id="rId67" Type="http://schemas.openxmlformats.org/officeDocument/2006/relationships/image" Target="media/image34.png"/><Relationship Id="rId20" Type="http://schemas.openxmlformats.org/officeDocument/2006/relationships/chart" Target="charts/chart7.xml"/><Relationship Id="rId41" Type="http://schemas.openxmlformats.org/officeDocument/2006/relationships/chart" Target="charts/chart21.xml"/><Relationship Id="rId54" Type="http://schemas.openxmlformats.org/officeDocument/2006/relationships/image" Target="media/image20.emf"/><Relationship Id="rId62" Type="http://schemas.openxmlformats.org/officeDocument/2006/relationships/image" Target="media/image28.emf"/><Relationship Id="rId70"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image" Target="media/image16.emf"/><Relationship Id="rId57" Type="http://schemas.openxmlformats.org/officeDocument/2006/relationships/image" Target="media/image23.png"/><Relationship Id="rId10" Type="http://schemas.openxmlformats.org/officeDocument/2006/relationships/footnotes" Target="footnotes.xml"/><Relationship Id="rId31" Type="http://schemas.openxmlformats.org/officeDocument/2006/relationships/chart" Target="charts/chart14.xml"/><Relationship Id="rId44" Type="http://schemas.openxmlformats.org/officeDocument/2006/relationships/image" Target="media/image11.png"/><Relationship Id="rId52" Type="http://schemas.openxmlformats.org/officeDocument/2006/relationships/image" Target="cid:image002.png@01D51688.E3E38600" TargetMode="External"/><Relationship Id="rId60" Type="http://schemas.openxmlformats.org/officeDocument/2006/relationships/image" Target="media/image26.emf"/><Relationship Id="rId65" Type="http://schemas.openxmlformats.org/officeDocument/2006/relationships/image" Target="media/image31.e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hart" Target="charts/chart5.xml"/><Relationship Id="rId39" Type="http://schemas.openxmlformats.org/officeDocument/2006/relationships/image" Target="media/image8.png"/><Relationship Id="rId34" Type="http://schemas.openxmlformats.org/officeDocument/2006/relationships/chart" Target="charts/chart17.xml"/><Relationship Id="rId50" Type="http://schemas.openxmlformats.org/officeDocument/2006/relationships/image" Target="media/image17.emf"/><Relationship Id="rId55" Type="http://schemas.openxmlformats.org/officeDocument/2006/relationships/image" Target="media/image21.emf"/><Relationship Id="rId7" Type="http://schemas.openxmlformats.org/officeDocument/2006/relationships/styles" Target="styles.xml"/><Relationship Id="rId71" Type="http://schemas.openxmlformats.org/officeDocument/2006/relationships/image" Target="media/image38.emf"/></Relationships>
</file>

<file path=word/_rels/endnotes.xml.rels><?xml version="1.0" encoding="UTF-8" standalone="yes"?>
<Relationships xmlns="http://schemas.openxmlformats.org/package/2006/relationships"><Relationship Id="rId8" Type="http://schemas.openxmlformats.org/officeDocument/2006/relationships/image" Target="media/image33.emf"/><Relationship Id="rId3" Type="http://schemas.openxmlformats.org/officeDocument/2006/relationships/hyperlink" Target="https://www.iras.gov.sg/irashome/Businesses/Companies/Learning-the-basics-of-Corporate-Income-Tax/Common-Tax-Reliefs-That-Help-Reduce-The-Tax-Bills/" TargetMode="External"/><Relationship Id="rId7" Type="http://schemas.openxmlformats.org/officeDocument/2006/relationships/hyperlink" Target="http://www.tradelinephilippines.dti.gov.ph/web/tradeline-portal/startup-ecosystem-development-program-sedp-" TargetMode="External"/><Relationship Id="rId2" Type="http://schemas.openxmlformats.org/officeDocument/2006/relationships/hyperlink" Target="https://www2.deloitte.com/content/dam/Deloitte/sg/Documents/tax/sg-tax-applying-for-gov-incentives-in-singapore-noexp.pdf" TargetMode="External"/><Relationship Id="rId1" Type="http://schemas.openxmlformats.org/officeDocument/2006/relationships/hyperlink" Target="http://www.doingbusiness.org/data/exploretopics/entrepreneurship" TargetMode="External"/><Relationship Id="rId6" Type="http://schemas.openxmlformats.org/officeDocument/2006/relationships/hyperlink" Target="http://www.senate.gov.ph/press_release/2018/0516_prib3.asp" TargetMode="External"/><Relationship Id="rId5" Type="http://schemas.openxmlformats.org/officeDocument/2006/relationships/hyperlink" Target="http://www.senate.gov.ph/press_release/2018/0516_prib3.asp" TargetMode="External"/><Relationship Id="rId4" Type="http://schemas.openxmlformats.org/officeDocument/2006/relationships/hyperlink" Target="http://www.pwc.com/ph/startu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doingbusiness.or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ouyan\Spark\1-Masterpiece\&#22797;&#26086;\&#39033;&#30446;\&#19990;&#30028;&#38134;&#34892;\1%20Productivity%20Reports\Chapter%202_041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E:\Myanmar_et%20al_2017\Philippine%20SMEs\PPT-PH%20Country%20Context\tool_PH.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E:\Myanmar_et%20al_2017\Philippine%20SMEs\PPT-PH%20Country%20Context\tool_PH.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ouyan\Spark\1-Masterpiece\&#22797;&#26086;\&#39033;&#30446;\&#19990;&#30028;&#38134;&#34892;\1%20Productivity%20Reports\Chapter%204_0411.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ouyan\Spark\1-Masterpiece\&#22797;&#26086;\&#39033;&#30446;\&#19990;&#30028;&#38134;&#34892;\1%20Productivity%20Reports\Chapter%204_0411.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C:\Users\kairongarcia\Desktop\WB\CPSD\Concept%20Note\Concept%20note%20dec%2020%20char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1.bin"/></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worldbankgroup-my.sharepoint.com/personal/rqian_worldbank_org/Documents/PH-%20Productivity%20and%20Growth/figures/labor%20market%20restriction.xlsx" TargetMode="Externa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https://worldbankgroup-my.sharepoint.com/personal/rqian_worldbank_org/Documents/PH-%20Productivity%20and%20Growth/Credit%20market%20graphs.xlsx" TargetMode="External"/><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worldbankgroup-my.sharepoint.com/personal/rqian_worldbank_org/Documents/PH-%20Productivity%20and%20Growth/Credit%20market%20graph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wb380717\AppData\Local\Packages\microsoft.windowscommunicationsapps_8wekyb3d8bbwe\LocalState\Files\S0\27\Growth%20Decomposition%20of%20peers%5b7078%5d.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3.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4.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file:///\\Volumes\DEMOGORGON\RA%20Deliverables\World%20Bank\SMEs\Productivity%20Report\SME%20productivity%20analysis_0815201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Volumes\DEMOGORGON\RA%20Deliverables\World%20Bank\SMEs\Productivity%20Report\SME%20productivity%20analysis_0815201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Volumes\DEMOGORGON\RA%20Deliverables\World%20Bank\SMEs\Productivity%20Report\SME%20productivity%20analysis_0815201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E:\Myanmar_et%20al_2017\Philippine%20SMEs\PPT-PH%20Country%20Context\tool_PH.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E:\Myanmar_et%20al_2017\Philippine%20SMEs\PPT-PH%20Country%20Context\tool_PH.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t>Real GDP Growth and Contributions</a:t>
            </a:r>
          </a:p>
          <a:p>
            <a:pPr>
              <a:defRPr sz="900" b="1"/>
            </a:pPr>
            <a:r>
              <a:rPr lang="en-US" sz="900" b="1"/>
              <a:t>(Percentage Points)</a:t>
            </a:r>
          </a:p>
        </c:rich>
      </c:tx>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6.7088821104569096E-2"/>
          <c:y val="6.3884176857314054E-2"/>
          <c:w val="0.86984638181488605"/>
          <c:h val="0.60689672633364566"/>
        </c:manualLayout>
      </c:layout>
      <c:barChart>
        <c:barDir val="col"/>
        <c:grouping val="stacked"/>
        <c:varyColors val="0"/>
        <c:ser>
          <c:idx val="1"/>
          <c:order val="1"/>
          <c:tx>
            <c:strRef>
              <c:f>'9'!$A$5</c:f>
              <c:strCache>
                <c:ptCount val="1"/>
                <c:pt idx="0">
                  <c:v>Labor</c:v>
                </c:pt>
              </c:strCache>
            </c:strRef>
          </c:tx>
          <c:spPr>
            <a:solidFill>
              <a:schemeClr val="accent2"/>
            </a:solidFill>
            <a:ln>
              <a:noFill/>
            </a:ln>
            <a:effectLst/>
          </c:spPr>
          <c:invertIfNegative val="0"/>
          <c:cat>
            <c:strRef>
              <c:f>'9'!$D$3:$J$3</c:f>
              <c:strCache>
                <c:ptCount val="7"/>
                <c:pt idx="0">
                  <c:v>1981-1986</c:v>
                </c:pt>
                <c:pt idx="1">
                  <c:v>1986-1991</c:v>
                </c:pt>
                <c:pt idx="2">
                  <c:v>1991-1996</c:v>
                </c:pt>
                <c:pt idx="3">
                  <c:v>1996-2001</c:v>
                </c:pt>
                <c:pt idx="4">
                  <c:v>2001-2006</c:v>
                </c:pt>
                <c:pt idx="5">
                  <c:v>2006-2011</c:v>
                </c:pt>
                <c:pt idx="6">
                  <c:v>2011-2016</c:v>
                </c:pt>
              </c:strCache>
            </c:strRef>
          </c:cat>
          <c:val>
            <c:numRef>
              <c:f>'9'!$D$5:$J$5</c:f>
              <c:numCache>
                <c:formatCode>0.0</c:formatCode>
                <c:ptCount val="7"/>
                <c:pt idx="0">
                  <c:v>3.1852257754496631</c:v>
                </c:pt>
                <c:pt idx="1">
                  <c:v>2.936198770478859</c:v>
                </c:pt>
                <c:pt idx="2">
                  <c:v>2.8172884416102209</c:v>
                </c:pt>
                <c:pt idx="3">
                  <c:v>2.6268132600225198</c:v>
                </c:pt>
                <c:pt idx="4">
                  <c:v>2.5140681751868672</c:v>
                </c:pt>
                <c:pt idx="5">
                  <c:v>2.5939715421264831</c:v>
                </c:pt>
                <c:pt idx="6">
                  <c:v>2.1111184955454831</c:v>
                </c:pt>
              </c:numCache>
            </c:numRef>
          </c:val>
          <c:extLst>
            <c:ext xmlns:c16="http://schemas.microsoft.com/office/drawing/2014/chart" uri="{C3380CC4-5D6E-409C-BE32-E72D297353CC}">
              <c16:uniqueId val="{00000000-5942-4E47-86C7-1BF2B09D03DB}"/>
            </c:ext>
          </c:extLst>
        </c:ser>
        <c:ser>
          <c:idx val="2"/>
          <c:order val="2"/>
          <c:tx>
            <c:strRef>
              <c:f>'9'!$A$6</c:f>
              <c:strCache>
                <c:ptCount val="1"/>
                <c:pt idx="0">
                  <c:v>Human Capital per Labor</c:v>
                </c:pt>
              </c:strCache>
            </c:strRef>
          </c:tx>
          <c:spPr>
            <a:solidFill>
              <a:schemeClr val="accent5">
                <a:lumMod val="40000"/>
                <a:lumOff val="60000"/>
              </a:schemeClr>
            </a:solidFill>
            <a:ln>
              <a:noFill/>
            </a:ln>
            <a:effectLst/>
          </c:spPr>
          <c:invertIfNegative val="0"/>
          <c:cat>
            <c:strRef>
              <c:f>'9'!$D$3:$J$3</c:f>
              <c:strCache>
                <c:ptCount val="7"/>
                <c:pt idx="0">
                  <c:v>1981-1986</c:v>
                </c:pt>
                <c:pt idx="1">
                  <c:v>1986-1991</c:v>
                </c:pt>
                <c:pt idx="2">
                  <c:v>1991-1996</c:v>
                </c:pt>
                <c:pt idx="3">
                  <c:v>1996-2001</c:v>
                </c:pt>
                <c:pt idx="4">
                  <c:v>2001-2006</c:v>
                </c:pt>
                <c:pt idx="5">
                  <c:v>2006-2011</c:v>
                </c:pt>
                <c:pt idx="6">
                  <c:v>2011-2016</c:v>
                </c:pt>
              </c:strCache>
            </c:strRef>
          </c:cat>
          <c:val>
            <c:numRef>
              <c:f>'9'!$D$6:$J$6</c:f>
              <c:numCache>
                <c:formatCode>0.0</c:formatCode>
                <c:ptCount val="7"/>
                <c:pt idx="0">
                  <c:v>0.81127312969024901</c:v>
                </c:pt>
                <c:pt idx="1">
                  <c:v>1.0314430772060621</c:v>
                </c:pt>
                <c:pt idx="2">
                  <c:v>0.87238327571093</c:v>
                </c:pt>
                <c:pt idx="3">
                  <c:v>0.62816473110778304</c:v>
                </c:pt>
                <c:pt idx="4">
                  <c:v>0.45117474221114701</c:v>
                </c:pt>
                <c:pt idx="5">
                  <c:v>0.32693326483428398</c:v>
                </c:pt>
                <c:pt idx="6">
                  <c:v>0.27237025562232298</c:v>
                </c:pt>
              </c:numCache>
            </c:numRef>
          </c:val>
          <c:extLst>
            <c:ext xmlns:c16="http://schemas.microsoft.com/office/drawing/2014/chart" uri="{C3380CC4-5D6E-409C-BE32-E72D297353CC}">
              <c16:uniqueId val="{00000001-5942-4E47-86C7-1BF2B09D03DB}"/>
            </c:ext>
          </c:extLst>
        </c:ser>
        <c:ser>
          <c:idx val="0"/>
          <c:order val="0"/>
          <c:tx>
            <c:strRef>
              <c:f>'9'!$A$4</c:f>
              <c:strCache>
                <c:ptCount val="1"/>
                <c:pt idx="0">
                  <c:v>Capital </c:v>
                </c:pt>
              </c:strCache>
            </c:strRef>
          </c:tx>
          <c:spPr>
            <a:solidFill>
              <a:schemeClr val="accent1"/>
            </a:solidFill>
            <a:ln>
              <a:noFill/>
            </a:ln>
            <a:effectLst/>
          </c:spPr>
          <c:invertIfNegative val="0"/>
          <c:cat>
            <c:strRef>
              <c:f>'9'!$D$3:$J$3</c:f>
              <c:strCache>
                <c:ptCount val="7"/>
                <c:pt idx="0">
                  <c:v>1981-1986</c:v>
                </c:pt>
                <c:pt idx="1">
                  <c:v>1986-1991</c:v>
                </c:pt>
                <c:pt idx="2">
                  <c:v>1991-1996</c:v>
                </c:pt>
                <c:pt idx="3">
                  <c:v>1996-2001</c:v>
                </c:pt>
                <c:pt idx="4">
                  <c:v>2001-2006</c:v>
                </c:pt>
                <c:pt idx="5">
                  <c:v>2006-2011</c:v>
                </c:pt>
                <c:pt idx="6">
                  <c:v>2011-2016</c:v>
                </c:pt>
              </c:strCache>
            </c:strRef>
          </c:cat>
          <c:val>
            <c:numRef>
              <c:f>'9'!$D$4:$J$4</c:f>
              <c:numCache>
                <c:formatCode>0.0</c:formatCode>
                <c:ptCount val="7"/>
                <c:pt idx="0">
                  <c:v>3.545457253417283</c:v>
                </c:pt>
                <c:pt idx="1">
                  <c:v>2.2978585560078599</c:v>
                </c:pt>
                <c:pt idx="2">
                  <c:v>3.374772210414267</c:v>
                </c:pt>
                <c:pt idx="3">
                  <c:v>3.3728460092945269</c:v>
                </c:pt>
                <c:pt idx="4">
                  <c:v>2.9999718876494001</c:v>
                </c:pt>
                <c:pt idx="5">
                  <c:v>3.4531059737510361</c:v>
                </c:pt>
                <c:pt idx="6">
                  <c:v>5.7357239528989412</c:v>
                </c:pt>
              </c:numCache>
            </c:numRef>
          </c:val>
          <c:extLst>
            <c:ext xmlns:c16="http://schemas.microsoft.com/office/drawing/2014/chart" uri="{C3380CC4-5D6E-409C-BE32-E72D297353CC}">
              <c16:uniqueId val="{00000002-5942-4E47-86C7-1BF2B09D03DB}"/>
            </c:ext>
          </c:extLst>
        </c:ser>
        <c:ser>
          <c:idx val="3"/>
          <c:order val="3"/>
          <c:tx>
            <c:strRef>
              <c:f>'9'!$A$7</c:f>
              <c:strCache>
                <c:ptCount val="1"/>
                <c:pt idx="0">
                  <c:v>Total Factor Productivity</c:v>
                </c:pt>
              </c:strCache>
            </c:strRef>
          </c:tx>
          <c:spPr>
            <a:solidFill>
              <a:srgbClr val="FF0000"/>
            </a:solidFill>
            <a:ln>
              <a:noFill/>
            </a:ln>
            <a:effectLst/>
          </c:spPr>
          <c:invertIfNegative val="0"/>
          <c:cat>
            <c:strRef>
              <c:f>'9'!$D$3:$J$3</c:f>
              <c:strCache>
                <c:ptCount val="7"/>
                <c:pt idx="0">
                  <c:v>1981-1986</c:v>
                </c:pt>
                <c:pt idx="1">
                  <c:v>1986-1991</c:v>
                </c:pt>
                <c:pt idx="2">
                  <c:v>1991-1996</c:v>
                </c:pt>
                <c:pt idx="3">
                  <c:v>1996-2001</c:v>
                </c:pt>
                <c:pt idx="4">
                  <c:v>2001-2006</c:v>
                </c:pt>
                <c:pt idx="5">
                  <c:v>2006-2011</c:v>
                </c:pt>
                <c:pt idx="6">
                  <c:v>2011-2016</c:v>
                </c:pt>
              </c:strCache>
            </c:strRef>
          </c:cat>
          <c:val>
            <c:numRef>
              <c:f>'9'!$D$7:$J$7</c:f>
              <c:numCache>
                <c:formatCode>0.0</c:formatCode>
                <c:ptCount val="7"/>
                <c:pt idx="0">
                  <c:v>-5.0103822997896774</c:v>
                </c:pt>
                <c:pt idx="1">
                  <c:v>0.91459390853185996</c:v>
                </c:pt>
                <c:pt idx="2">
                  <c:v>-5.2550783251624301E-2</c:v>
                </c:pt>
                <c:pt idx="3">
                  <c:v>-0.343521194038519</c:v>
                </c:pt>
                <c:pt idx="4">
                  <c:v>2.0769208384383671</c:v>
                </c:pt>
                <c:pt idx="5">
                  <c:v>1.386704270967922</c:v>
                </c:pt>
                <c:pt idx="6">
                  <c:v>2.2448995335527999</c:v>
                </c:pt>
              </c:numCache>
            </c:numRef>
          </c:val>
          <c:extLst>
            <c:ext xmlns:c16="http://schemas.microsoft.com/office/drawing/2014/chart" uri="{C3380CC4-5D6E-409C-BE32-E72D297353CC}">
              <c16:uniqueId val="{00000003-5942-4E47-86C7-1BF2B09D03DB}"/>
            </c:ext>
          </c:extLst>
        </c:ser>
        <c:dLbls>
          <c:showLegendKey val="0"/>
          <c:showVal val="0"/>
          <c:showCatName val="0"/>
          <c:showSerName val="0"/>
          <c:showPercent val="0"/>
          <c:showBubbleSize val="0"/>
        </c:dLbls>
        <c:gapWidth val="150"/>
        <c:overlap val="100"/>
        <c:axId val="2124184680"/>
        <c:axId val="2124188328"/>
      </c:barChart>
      <c:lineChart>
        <c:grouping val="standard"/>
        <c:varyColors val="0"/>
        <c:ser>
          <c:idx val="4"/>
          <c:order val="4"/>
          <c:tx>
            <c:strRef>
              <c:f>'9'!$A$8</c:f>
              <c:strCache>
                <c:ptCount val="1"/>
                <c:pt idx="0">
                  <c:v>Real GDP (RHS)</c:v>
                </c:pt>
              </c:strCache>
            </c:strRef>
          </c:tx>
          <c:spPr>
            <a:ln w="28575" cap="rnd">
              <a:solidFill>
                <a:schemeClr val="accent5"/>
              </a:solidFill>
              <a:round/>
            </a:ln>
            <a:effectLst/>
          </c:spPr>
          <c:marker>
            <c:symbol val="none"/>
          </c:marker>
          <c:cat>
            <c:strRef>
              <c:f>'9'!$D$3:$J$3</c:f>
              <c:strCache>
                <c:ptCount val="7"/>
                <c:pt idx="0">
                  <c:v>1981-1986</c:v>
                </c:pt>
                <c:pt idx="1">
                  <c:v>1986-1991</c:v>
                </c:pt>
                <c:pt idx="2">
                  <c:v>1991-1996</c:v>
                </c:pt>
                <c:pt idx="3">
                  <c:v>1996-2001</c:v>
                </c:pt>
                <c:pt idx="4">
                  <c:v>2001-2006</c:v>
                </c:pt>
                <c:pt idx="5">
                  <c:v>2006-2011</c:v>
                </c:pt>
                <c:pt idx="6">
                  <c:v>2011-2016</c:v>
                </c:pt>
              </c:strCache>
            </c:strRef>
          </c:cat>
          <c:val>
            <c:numRef>
              <c:f>'9'!$D$8:$J$8</c:f>
              <c:numCache>
                <c:formatCode>0.0</c:formatCode>
                <c:ptCount val="7"/>
                <c:pt idx="0">
                  <c:v>-1.2759271536970871</c:v>
                </c:pt>
                <c:pt idx="1">
                  <c:v>3.9121340175539698</c:v>
                </c:pt>
                <c:pt idx="2">
                  <c:v>3.4541723079351661</c:v>
                </c:pt>
                <c:pt idx="3">
                  <c:v>2.9799351259406799</c:v>
                </c:pt>
                <c:pt idx="4">
                  <c:v>5.0623404066573396</c:v>
                </c:pt>
                <c:pt idx="5">
                  <c:v>4.6168044566314377</c:v>
                </c:pt>
                <c:pt idx="6">
                  <c:v>6.5759519079856776</c:v>
                </c:pt>
              </c:numCache>
            </c:numRef>
          </c:val>
          <c:smooth val="0"/>
          <c:extLst>
            <c:ext xmlns:c16="http://schemas.microsoft.com/office/drawing/2014/chart" uri="{C3380CC4-5D6E-409C-BE32-E72D297353CC}">
              <c16:uniqueId val="{00000004-5942-4E47-86C7-1BF2B09D03DB}"/>
            </c:ext>
          </c:extLst>
        </c:ser>
        <c:dLbls>
          <c:showLegendKey val="0"/>
          <c:showVal val="0"/>
          <c:showCatName val="0"/>
          <c:showSerName val="0"/>
          <c:showPercent val="0"/>
          <c:showBubbleSize val="0"/>
        </c:dLbls>
        <c:marker val="1"/>
        <c:smooth val="0"/>
        <c:axId val="2124195304"/>
        <c:axId val="2124191800"/>
      </c:lineChart>
      <c:catAx>
        <c:axId val="21241846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24188328"/>
        <c:crosses val="autoZero"/>
        <c:auto val="1"/>
        <c:lblAlgn val="ctr"/>
        <c:lblOffset val="100"/>
        <c:noMultiLvlLbl val="0"/>
      </c:catAx>
      <c:valAx>
        <c:axId val="212418832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24184680"/>
        <c:crosses val="autoZero"/>
        <c:crossBetween val="between"/>
      </c:valAx>
      <c:valAx>
        <c:axId val="212419180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24195304"/>
        <c:crosses val="max"/>
        <c:crossBetween val="between"/>
      </c:valAx>
      <c:catAx>
        <c:axId val="2124195304"/>
        <c:scaling>
          <c:orientation val="minMax"/>
        </c:scaling>
        <c:delete val="1"/>
        <c:axPos val="b"/>
        <c:numFmt formatCode="General" sourceLinked="1"/>
        <c:majorTickMark val="out"/>
        <c:minorTickMark val="none"/>
        <c:tickLblPos val="nextTo"/>
        <c:crossAx val="2124191800"/>
        <c:crosses val="autoZero"/>
        <c:auto val="1"/>
        <c:lblAlgn val="ctr"/>
        <c:lblOffset val="100"/>
        <c:noMultiLvlLbl val="0"/>
      </c:catAx>
      <c:spPr>
        <a:noFill/>
        <a:ln>
          <a:noFill/>
        </a:ln>
        <a:effectLst/>
      </c:spPr>
    </c:plotArea>
    <c:legend>
      <c:legendPos val="b"/>
      <c:layout>
        <c:manualLayout>
          <c:xMode val="edge"/>
          <c:yMode val="edge"/>
          <c:x val="0"/>
          <c:y val="0.86781143882438427"/>
          <c:w val="0.99794706911636"/>
          <c:h val="0.1295090232365022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036107241131256E-2"/>
          <c:y val="0.10097710558457419"/>
          <c:w val="0.94192778551773748"/>
          <c:h val="0.57449286660949561"/>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accent5"/>
              </a:solidFill>
              <a:ln>
                <a:solidFill>
                  <a:schemeClr val="tx1"/>
                </a:solidFill>
              </a:ln>
              <a:effectLst/>
            </c:spPr>
            <c:extLst>
              <c:ext xmlns:c16="http://schemas.microsoft.com/office/drawing/2014/chart" uri="{C3380CC4-5D6E-409C-BE32-E72D297353CC}">
                <c16:uniqueId val="{00000001-2457-422A-88D7-14F069A4999E}"/>
              </c:ext>
            </c:extLst>
          </c:dPt>
          <c:dPt>
            <c:idx val="1"/>
            <c:invertIfNegative val="0"/>
            <c:bubble3D val="0"/>
            <c:spPr>
              <a:solidFill>
                <a:schemeClr val="tx1"/>
              </a:solidFill>
              <a:ln>
                <a:solidFill>
                  <a:schemeClr val="tx1"/>
                </a:solidFill>
              </a:ln>
              <a:effectLst/>
            </c:spPr>
            <c:extLst>
              <c:ext xmlns:c16="http://schemas.microsoft.com/office/drawing/2014/chart" uri="{C3380CC4-5D6E-409C-BE32-E72D297353CC}">
                <c16:uniqueId val="{00000003-2457-422A-88D7-14F069A4999E}"/>
              </c:ext>
            </c:extLst>
          </c:dPt>
          <c:dPt>
            <c:idx val="2"/>
            <c:invertIfNegative val="0"/>
            <c:bubble3D val="0"/>
            <c:spPr>
              <a:solidFill>
                <a:schemeClr val="accent5"/>
              </a:solidFill>
              <a:ln>
                <a:solidFill>
                  <a:schemeClr val="tx1"/>
                </a:solidFill>
              </a:ln>
              <a:effectLst/>
            </c:spPr>
            <c:extLst>
              <c:ext xmlns:c16="http://schemas.microsoft.com/office/drawing/2014/chart" uri="{C3380CC4-5D6E-409C-BE32-E72D297353CC}">
                <c16:uniqueId val="{00000005-2457-422A-88D7-14F069A4999E}"/>
              </c:ext>
            </c:extLst>
          </c:dPt>
          <c:dPt>
            <c:idx val="3"/>
            <c:invertIfNegative val="0"/>
            <c:bubble3D val="0"/>
            <c:spPr>
              <a:solidFill>
                <a:schemeClr val="accent5"/>
              </a:solidFill>
              <a:ln>
                <a:solidFill>
                  <a:schemeClr val="tx1"/>
                </a:solidFill>
              </a:ln>
              <a:effectLst/>
            </c:spPr>
            <c:extLst>
              <c:ext xmlns:c16="http://schemas.microsoft.com/office/drawing/2014/chart" uri="{C3380CC4-5D6E-409C-BE32-E72D297353CC}">
                <c16:uniqueId val="{00000007-2457-422A-88D7-14F069A4999E}"/>
              </c:ext>
            </c:extLst>
          </c:dPt>
          <c:dPt>
            <c:idx val="4"/>
            <c:invertIfNegative val="0"/>
            <c:bubble3D val="0"/>
            <c:spPr>
              <a:solidFill>
                <a:schemeClr val="accent2"/>
              </a:solidFill>
              <a:ln>
                <a:solidFill>
                  <a:schemeClr val="tx1"/>
                </a:solidFill>
              </a:ln>
              <a:effectLst/>
            </c:spPr>
            <c:extLst>
              <c:ext xmlns:c16="http://schemas.microsoft.com/office/drawing/2014/chart" uri="{C3380CC4-5D6E-409C-BE32-E72D297353CC}">
                <c16:uniqueId val="{00000009-2457-422A-88D7-14F069A4999E}"/>
              </c:ext>
            </c:extLst>
          </c:dPt>
          <c:dPt>
            <c:idx val="5"/>
            <c:invertIfNegative val="0"/>
            <c:bubble3D val="0"/>
            <c:spPr>
              <a:solidFill>
                <a:schemeClr val="accent5"/>
              </a:solidFill>
              <a:ln>
                <a:solidFill>
                  <a:schemeClr val="tx1"/>
                </a:solidFill>
              </a:ln>
              <a:effectLst/>
            </c:spPr>
            <c:extLst>
              <c:ext xmlns:c16="http://schemas.microsoft.com/office/drawing/2014/chart" uri="{C3380CC4-5D6E-409C-BE32-E72D297353CC}">
                <c16:uniqueId val="{0000000B-2457-422A-88D7-14F069A4999E}"/>
              </c:ext>
            </c:extLst>
          </c:dPt>
          <c:dPt>
            <c:idx val="6"/>
            <c:invertIfNegative val="0"/>
            <c:bubble3D val="0"/>
            <c:spPr>
              <a:solidFill>
                <a:schemeClr val="accent5"/>
              </a:solidFill>
              <a:ln>
                <a:solidFill>
                  <a:schemeClr val="tx1"/>
                </a:solidFill>
              </a:ln>
              <a:effectLst/>
            </c:spPr>
            <c:extLst>
              <c:ext xmlns:c16="http://schemas.microsoft.com/office/drawing/2014/chart" uri="{C3380CC4-5D6E-409C-BE32-E72D297353CC}">
                <c16:uniqueId val="{0000000D-2457-422A-88D7-14F069A4999E}"/>
              </c:ext>
            </c:extLst>
          </c:dPt>
          <c:dLbls>
            <c:dLbl>
              <c:idx val="1"/>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57-422A-88D7-14F069A4999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Vietnam</c:v>
                </c:pt>
                <c:pt idx="1">
                  <c:v>Philippines</c:v>
                </c:pt>
                <c:pt idx="2">
                  <c:v>Indonesia</c:v>
                </c:pt>
                <c:pt idx="3">
                  <c:v>Thailand</c:v>
                </c:pt>
                <c:pt idx="4">
                  <c:v>Morocco</c:v>
                </c:pt>
                <c:pt idx="5">
                  <c:v>China</c:v>
                </c:pt>
                <c:pt idx="6">
                  <c:v>Malaysia</c:v>
                </c:pt>
              </c:strCache>
            </c:strRef>
          </c:cat>
          <c:val>
            <c:numRef>
              <c:f>Sheet1!$B$2:$B$8</c:f>
              <c:numCache>
                <c:formatCode>General</c:formatCode>
                <c:ptCount val="7"/>
                <c:pt idx="0">
                  <c:v>56.8</c:v>
                </c:pt>
                <c:pt idx="1">
                  <c:v>53.77</c:v>
                </c:pt>
                <c:pt idx="2">
                  <c:v>49.91</c:v>
                </c:pt>
                <c:pt idx="3">
                  <c:v>41</c:v>
                </c:pt>
                <c:pt idx="4">
                  <c:v>34.25</c:v>
                </c:pt>
                <c:pt idx="5">
                  <c:v>31.71</c:v>
                </c:pt>
                <c:pt idx="6">
                  <c:v>28.24</c:v>
                </c:pt>
              </c:numCache>
            </c:numRef>
          </c:val>
          <c:extLst>
            <c:ext xmlns:c16="http://schemas.microsoft.com/office/drawing/2014/chart" uri="{C3380CC4-5D6E-409C-BE32-E72D297353CC}">
              <c16:uniqueId val="{0000000E-2457-422A-88D7-14F069A4999E}"/>
            </c:ext>
          </c:extLst>
        </c:ser>
        <c:dLbls>
          <c:showLegendKey val="0"/>
          <c:showVal val="0"/>
          <c:showCatName val="0"/>
          <c:showSerName val="0"/>
          <c:showPercent val="0"/>
          <c:showBubbleSize val="0"/>
        </c:dLbls>
        <c:gapWidth val="82"/>
        <c:overlap val="-27"/>
        <c:axId val="478582480"/>
        <c:axId val="478582088"/>
      </c:barChart>
      <c:catAx>
        <c:axId val="47858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8582088"/>
        <c:crosses val="autoZero"/>
        <c:auto val="1"/>
        <c:lblAlgn val="ctr"/>
        <c:lblOffset val="100"/>
        <c:noMultiLvlLbl val="0"/>
      </c:catAx>
      <c:valAx>
        <c:axId val="478582088"/>
        <c:scaling>
          <c:orientation val="minMax"/>
        </c:scaling>
        <c:delete val="1"/>
        <c:axPos val="l"/>
        <c:numFmt formatCode="General" sourceLinked="1"/>
        <c:majorTickMark val="none"/>
        <c:minorTickMark val="none"/>
        <c:tickLblPos val="nextTo"/>
        <c:crossAx val="47858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Sheet1!$B$157</c:f>
              <c:strCache>
                <c:ptCount val="1"/>
                <c:pt idx="0">
                  <c:v>Global Competitiveness Index</c:v>
                </c:pt>
              </c:strCache>
            </c:strRef>
          </c:tx>
          <c:spPr>
            <a:solidFill>
              <a:schemeClr val="accent1"/>
            </a:solidFill>
            <a:ln>
              <a:noFill/>
            </a:ln>
            <a:effectLst/>
          </c:spPr>
          <c:invertIfNegative val="0"/>
          <c:dPt>
            <c:idx val="5"/>
            <c:invertIfNegative val="0"/>
            <c:bubble3D val="0"/>
            <c:spPr>
              <a:solidFill>
                <a:schemeClr val="tx1"/>
              </a:solidFill>
              <a:ln>
                <a:noFill/>
              </a:ln>
              <a:effectLst/>
            </c:spPr>
            <c:extLst>
              <c:ext xmlns:c16="http://schemas.microsoft.com/office/drawing/2014/chart" uri="{C3380CC4-5D6E-409C-BE32-E72D297353CC}">
                <c16:uniqueId val="{00000001-AAB7-48B6-84F6-7B99E8D24CAA}"/>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3-AAB7-48B6-84F6-7B99E8D24CAA}"/>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5-AAB7-48B6-84F6-7B99E8D24CAA}"/>
              </c:ext>
            </c:extLst>
          </c:dPt>
          <c:dPt>
            <c:idx val="8"/>
            <c:invertIfNegative val="0"/>
            <c:bubble3D val="0"/>
            <c:spPr>
              <a:solidFill>
                <a:schemeClr val="accent2"/>
              </a:solidFill>
              <a:ln>
                <a:noFill/>
              </a:ln>
              <a:effectLst/>
            </c:spPr>
            <c:extLst>
              <c:ext xmlns:c16="http://schemas.microsoft.com/office/drawing/2014/chart" uri="{C3380CC4-5D6E-409C-BE32-E72D297353CC}">
                <c16:uniqueId val="{00000007-AAB7-48B6-84F6-7B99E8D24CAA}"/>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9-AAB7-48B6-84F6-7B99E8D24CAA}"/>
              </c:ext>
            </c:extLst>
          </c:dPt>
          <c:dPt>
            <c:idx val="10"/>
            <c:invertIfNegative val="0"/>
            <c:bubble3D val="0"/>
            <c:spPr>
              <a:solidFill>
                <a:schemeClr val="accent2"/>
              </a:solidFill>
              <a:ln>
                <a:noFill/>
              </a:ln>
              <a:effectLst/>
            </c:spPr>
            <c:extLst>
              <c:ext xmlns:c16="http://schemas.microsoft.com/office/drawing/2014/chart" uri="{C3380CC4-5D6E-409C-BE32-E72D297353CC}">
                <c16:uniqueId val="{0000000B-AAB7-48B6-84F6-7B99E8D24C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Sheet1!$A$158:$A$168</c:f>
              <c:strCache>
                <c:ptCount val="11"/>
                <c:pt idx="0">
                  <c:v>Malaysia</c:v>
                </c:pt>
                <c:pt idx="1">
                  <c:v>China</c:v>
                </c:pt>
                <c:pt idx="2">
                  <c:v>Thailand</c:v>
                </c:pt>
                <c:pt idx="3">
                  <c:v>Indonesia</c:v>
                </c:pt>
                <c:pt idx="4">
                  <c:v>Viet Nam</c:v>
                </c:pt>
                <c:pt idx="5">
                  <c:v>Philippines</c:v>
                </c:pt>
                <c:pt idx="6">
                  <c:v>Morocco</c:v>
                </c:pt>
                <c:pt idx="7">
                  <c:v>Sri Lanka</c:v>
                </c:pt>
                <c:pt idx="8">
                  <c:v>Kenya</c:v>
                </c:pt>
                <c:pt idx="9">
                  <c:v>Bangladesh</c:v>
                </c:pt>
                <c:pt idx="10">
                  <c:v>Pakistan</c:v>
                </c:pt>
              </c:strCache>
            </c:strRef>
          </c:cat>
          <c:val>
            <c:numRef>
              <c:f>Sheet1!$B$158:$B$168</c:f>
              <c:numCache>
                <c:formatCode>General</c:formatCode>
                <c:ptCount val="11"/>
                <c:pt idx="0">
                  <c:v>23</c:v>
                </c:pt>
                <c:pt idx="1">
                  <c:v>27</c:v>
                </c:pt>
                <c:pt idx="2">
                  <c:v>32</c:v>
                </c:pt>
                <c:pt idx="3">
                  <c:v>36</c:v>
                </c:pt>
                <c:pt idx="4">
                  <c:v>55</c:v>
                </c:pt>
                <c:pt idx="5">
                  <c:v>56</c:v>
                </c:pt>
                <c:pt idx="6">
                  <c:v>71</c:v>
                </c:pt>
                <c:pt idx="7">
                  <c:v>85</c:v>
                </c:pt>
                <c:pt idx="8">
                  <c:v>91</c:v>
                </c:pt>
                <c:pt idx="9">
                  <c:v>99</c:v>
                </c:pt>
                <c:pt idx="10">
                  <c:v>115</c:v>
                </c:pt>
              </c:numCache>
            </c:numRef>
          </c:val>
          <c:extLst>
            <c:ext xmlns:c16="http://schemas.microsoft.com/office/drawing/2014/chart" uri="{C3380CC4-5D6E-409C-BE32-E72D297353CC}">
              <c16:uniqueId val="{0000000C-AAB7-48B6-84F6-7B99E8D24CAA}"/>
            </c:ext>
          </c:extLst>
        </c:ser>
        <c:dLbls>
          <c:showLegendKey val="0"/>
          <c:showVal val="0"/>
          <c:showCatName val="0"/>
          <c:showSerName val="0"/>
          <c:showPercent val="0"/>
          <c:showBubbleSize val="0"/>
        </c:dLbls>
        <c:gapWidth val="219"/>
        <c:overlap val="-27"/>
        <c:axId val="371849600"/>
        <c:axId val="371848816"/>
      </c:barChart>
      <c:catAx>
        <c:axId val="37184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1848816"/>
        <c:crosses val="autoZero"/>
        <c:auto val="1"/>
        <c:lblAlgn val="ctr"/>
        <c:lblOffset val="100"/>
        <c:noMultiLvlLbl val="0"/>
      </c:catAx>
      <c:valAx>
        <c:axId val="3718488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1849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Sheet1!$N$157</c:f>
              <c:strCache>
                <c:ptCount val="1"/>
                <c:pt idx="0">
                  <c:v>Global Entrepreneurship Index</c:v>
                </c:pt>
              </c:strCache>
            </c:strRef>
          </c:tx>
          <c:spPr>
            <a:solidFill>
              <a:schemeClr val="accent1"/>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BD0A-4A72-A3AA-B2444B8D5C9E}"/>
              </c:ext>
            </c:extLst>
          </c:dPt>
          <c:dPt>
            <c:idx val="4"/>
            <c:invertIfNegative val="0"/>
            <c:bubble3D val="0"/>
            <c:spPr>
              <a:solidFill>
                <a:schemeClr val="tx1"/>
              </a:solidFill>
              <a:ln>
                <a:noFill/>
              </a:ln>
              <a:effectLst/>
            </c:spPr>
            <c:extLst>
              <c:ext xmlns:c16="http://schemas.microsoft.com/office/drawing/2014/chart" uri="{C3380CC4-5D6E-409C-BE32-E72D297353CC}">
                <c16:uniqueId val="{00000003-BD0A-4A72-A3AA-B2444B8D5C9E}"/>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5-BD0A-4A72-A3AA-B2444B8D5C9E}"/>
              </c:ext>
            </c:extLst>
          </c:dPt>
          <c:dPt>
            <c:idx val="8"/>
            <c:invertIfNegative val="0"/>
            <c:bubble3D val="0"/>
            <c:spPr>
              <a:solidFill>
                <a:schemeClr val="accent2"/>
              </a:solidFill>
              <a:ln>
                <a:noFill/>
              </a:ln>
              <a:effectLst/>
            </c:spPr>
            <c:extLst>
              <c:ext xmlns:c16="http://schemas.microsoft.com/office/drawing/2014/chart" uri="{C3380CC4-5D6E-409C-BE32-E72D297353CC}">
                <c16:uniqueId val="{00000007-BD0A-4A72-A3AA-B2444B8D5C9E}"/>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9-BD0A-4A72-A3AA-B2444B8D5C9E}"/>
              </c:ext>
            </c:extLst>
          </c:dPt>
          <c:dPt>
            <c:idx val="10"/>
            <c:invertIfNegative val="0"/>
            <c:bubble3D val="0"/>
            <c:spPr>
              <a:solidFill>
                <a:schemeClr val="accent2"/>
              </a:solidFill>
              <a:ln>
                <a:noFill/>
              </a:ln>
              <a:effectLst/>
            </c:spPr>
            <c:extLst>
              <c:ext xmlns:c16="http://schemas.microsoft.com/office/drawing/2014/chart" uri="{C3380CC4-5D6E-409C-BE32-E72D297353CC}">
                <c16:uniqueId val="{0000000B-BD0A-4A72-A3AA-B2444B8D5C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Sheet1!$M$158:$M$168</c:f>
              <c:strCache>
                <c:ptCount val="11"/>
                <c:pt idx="0">
                  <c:v>China</c:v>
                </c:pt>
                <c:pt idx="1">
                  <c:v>Malaysia</c:v>
                </c:pt>
                <c:pt idx="2">
                  <c:v>Morocco</c:v>
                </c:pt>
                <c:pt idx="3">
                  <c:v>Thailand</c:v>
                </c:pt>
                <c:pt idx="4">
                  <c:v>Philippines</c:v>
                </c:pt>
                <c:pt idx="5">
                  <c:v>Viet Nam</c:v>
                </c:pt>
                <c:pt idx="6">
                  <c:v>Sri Lanka</c:v>
                </c:pt>
                <c:pt idx="7">
                  <c:v>Indonesia</c:v>
                </c:pt>
                <c:pt idx="8">
                  <c:v>Kenya</c:v>
                </c:pt>
                <c:pt idx="9">
                  <c:v>Pakistan</c:v>
                </c:pt>
                <c:pt idx="10">
                  <c:v>Bangladesh</c:v>
                </c:pt>
              </c:strCache>
            </c:strRef>
          </c:cat>
          <c:val>
            <c:numRef>
              <c:f>Sheet1!$N$158:$N$168</c:f>
              <c:numCache>
                <c:formatCode>General</c:formatCode>
                <c:ptCount val="11"/>
                <c:pt idx="0">
                  <c:v>43</c:v>
                </c:pt>
                <c:pt idx="1">
                  <c:v>58</c:v>
                </c:pt>
                <c:pt idx="2">
                  <c:v>65</c:v>
                </c:pt>
                <c:pt idx="3">
                  <c:v>71</c:v>
                </c:pt>
                <c:pt idx="4">
                  <c:v>84</c:v>
                </c:pt>
                <c:pt idx="5">
                  <c:v>87</c:v>
                </c:pt>
                <c:pt idx="6">
                  <c:v>90</c:v>
                </c:pt>
                <c:pt idx="7">
                  <c:v>94</c:v>
                </c:pt>
                <c:pt idx="8">
                  <c:v>109</c:v>
                </c:pt>
                <c:pt idx="9">
                  <c:v>120</c:v>
                </c:pt>
                <c:pt idx="10">
                  <c:v>134</c:v>
                </c:pt>
              </c:numCache>
            </c:numRef>
          </c:val>
          <c:extLst>
            <c:ext xmlns:c16="http://schemas.microsoft.com/office/drawing/2014/chart" uri="{C3380CC4-5D6E-409C-BE32-E72D297353CC}">
              <c16:uniqueId val="{0000000C-BD0A-4A72-A3AA-B2444B8D5C9E}"/>
            </c:ext>
          </c:extLst>
        </c:ser>
        <c:dLbls>
          <c:showLegendKey val="0"/>
          <c:showVal val="0"/>
          <c:showCatName val="0"/>
          <c:showSerName val="0"/>
          <c:showPercent val="0"/>
          <c:showBubbleSize val="0"/>
        </c:dLbls>
        <c:gapWidth val="219"/>
        <c:overlap val="-27"/>
        <c:axId val="371851560"/>
        <c:axId val="489135152"/>
      </c:barChart>
      <c:catAx>
        <c:axId val="371851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9135152"/>
        <c:crosses val="autoZero"/>
        <c:auto val="1"/>
        <c:lblAlgn val="ctr"/>
        <c:lblOffset val="100"/>
        <c:noMultiLvlLbl val="0"/>
      </c:catAx>
      <c:valAx>
        <c:axId val="489135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1851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900" b="1"/>
              <a:t>Market concentration in manufacturing in the Philippines and selected EAP countries </a:t>
            </a:r>
          </a:p>
          <a:p>
            <a:pPr>
              <a:defRPr sz="900" b="1"/>
            </a:pPr>
            <a:r>
              <a:rPr lang="en-US" altLang="zh-CN" sz="900" b="1"/>
              <a:t>(in percent)</a:t>
            </a:r>
          </a:p>
        </c:rich>
      </c:tx>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stacked"/>
        <c:varyColors val="0"/>
        <c:ser>
          <c:idx val="0"/>
          <c:order val="0"/>
          <c:tx>
            <c:strRef>
              <c:f>'1'!$B$8</c:f>
              <c:strCache>
                <c:ptCount val="1"/>
                <c:pt idx="0">
                  <c:v>Monopoly</c:v>
                </c:pt>
              </c:strCache>
            </c:strRef>
          </c:tx>
          <c:spPr>
            <a:solidFill>
              <a:schemeClr val="accent1"/>
            </a:solidFill>
            <a:ln>
              <a:noFill/>
            </a:ln>
            <a:effectLst/>
          </c:spPr>
          <c:invertIfNegative val="0"/>
          <c:cat>
            <c:strRef>
              <c:f>'1'!$A$9:$A$12</c:f>
              <c:strCache>
                <c:ptCount val="4"/>
                <c:pt idx="0">
                  <c:v>Philippines</c:v>
                </c:pt>
                <c:pt idx="1">
                  <c:v>Indonesia</c:v>
                </c:pt>
                <c:pt idx="2">
                  <c:v>Malaysia</c:v>
                </c:pt>
                <c:pt idx="3">
                  <c:v>Cambodia</c:v>
                </c:pt>
              </c:strCache>
            </c:strRef>
          </c:cat>
          <c:val>
            <c:numRef>
              <c:f>'1'!$B$9:$B$12</c:f>
              <c:numCache>
                <c:formatCode>General</c:formatCode>
                <c:ptCount val="4"/>
                <c:pt idx="0">
                  <c:v>3.4175334323922733</c:v>
                </c:pt>
                <c:pt idx="1">
                  <c:v>1.3142174432497014</c:v>
                </c:pt>
                <c:pt idx="2">
                  <c:v>0</c:v>
                </c:pt>
                <c:pt idx="3">
                  <c:v>1.0416666666666665</c:v>
                </c:pt>
              </c:numCache>
            </c:numRef>
          </c:val>
          <c:extLst>
            <c:ext xmlns:c16="http://schemas.microsoft.com/office/drawing/2014/chart" uri="{C3380CC4-5D6E-409C-BE32-E72D297353CC}">
              <c16:uniqueId val="{00000000-3CF9-413A-88F3-BFD0052170F2}"/>
            </c:ext>
          </c:extLst>
        </c:ser>
        <c:ser>
          <c:idx val="1"/>
          <c:order val="1"/>
          <c:tx>
            <c:strRef>
              <c:f>'1'!$C$8</c:f>
              <c:strCache>
                <c:ptCount val="1"/>
                <c:pt idx="0">
                  <c:v>Duopoly</c:v>
                </c:pt>
              </c:strCache>
            </c:strRef>
          </c:tx>
          <c:spPr>
            <a:solidFill>
              <a:schemeClr val="accent2"/>
            </a:solidFill>
            <a:ln>
              <a:noFill/>
            </a:ln>
            <a:effectLst/>
          </c:spPr>
          <c:invertIfNegative val="0"/>
          <c:cat>
            <c:strRef>
              <c:f>'1'!$A$9:$A$12</c:f>
              <c:strCache>
                <c:ptCount val="4"/>
                <c:pt idx="0">
                  <c:v>Philippines</c:v>
                </c:pt>
                <c:pt idx="1">
                  <c:v>Indonesia</c:v>
                </c:pt>
                <c:pt idx="2">
                  <c:v>Malaysia</c:v>
                </c:pt>
                <c:pt idx="3">
                  <c:v>Cambodia</c:v>
                </c:pt>
              </c:strCache>
            </c:strRef>
          </c:cat>
          <c:val>
            <c:numRef>
              <c:f>'1'!$C$9:$C$12</c:f>
              <c:numCache>
                <c:formatCode>General</c:formatCode>
                <c:ptCount val="4"/>
                <c:pt idx="0">
                  <c:v>3.7147102526002973</c:v>
                </c:pt>
                <c:pt idx="1">
                  <c:v>0.71684587813620071</c:v>
                </c:pt>
                <c:pt idx="2">
                  <c:v>0.6198347107438017</c:v>
                </c:pt>
                <c:pt idx="3">
                  <c:v>0</c:v>
                </c:pt>
              </c:numCache>
            </c:numRef>
          </c:val>
          <c:extLst>
            <c:ext xmlns:c16="http://schemas.microsoft.com/office/drawing/2014/chart" uri="{C3380CC4-5D6E-409C-BE32-E72D297353CC}">
              <c16:uniqueId val="{00000001-3CF9-413A-88F3-BFD0052170F2}"/>
            </c:ext>
          </c:extLst>
        </c:ser>
        <c:ser>
          <c:idx val="2"/>
          <c:order val="2"/>
          <c:tx>
            <c:strRef>
              <c:f>'1'!$D$8</c:f>
              <c:strCache>
                <c:ptCount val="1"/>
                <c:pt idx="0">
                  <c:v>Oligopoly (3-6)</c:v>
                </c:pt>
              </c:strCache>
            </c:strRef>
          </c:tx>
          <c:spPr>
            <a:solidFill>
              <a:schemeClr val="accent3"/>
            </a:solidFill>
            <a:ln>
              <a:noFill/>
            </a:ln>
            <a:effectLst/>
          </c:spPr>
          <c:invertIfNegative val="0"/>
          <c:cat>
            <c:strRef>
              <c:f>'1'!$A$9:$A$12</c:f>
              <c:strCache>
                <c:ptCount val="4"/>
                <c:pt idx="0">
                  <c:v>Philippines</c:v>
                </c:pt>
                <c:pt idx="1">
                  <c:v>Indonesia</c:v>
                </c:pt>
                <c:pt idx="2">
                  <c:v>Malaysia</c:v>
                </c:pt>
                <c:pt idx="3">
                  <c:v>Cambodia</c:v>
                </c:pt>
              </c:strCache>
            </c:strRef>
          </c:cat>
          <c:val>
            <c:numRef>
              <c:f>'1'!$D$9:$D$12</c:f>
              <c:numCache>
                <c:formatCode>General</c:formatCode>
                <c:ptCount val="4"/>
                <c:pt idx="0">
                  <c:v>14.858841010401189</c:v>
                </c:pt>
                <c:pt idx="1">
                  <c:v>11.111111111111111</c:v>
                </c:pt>
                <c:pt idx="2">
                  <c:v>7.4380165289256199</c:v>
                </c:pt>
                <c:pt idx="3">
                  <c:v>3.125</c:v>
                </c:pt>
              </c:numCache>
            </c:numRef>
          </c:val>
          <c:extLst>
            <c:ext xmlns:c16="http://schemas.microsoft.com/office/drawing/2014/chart" uri="{C3380CC4-5D6E-409C-BE32-E72D297353CC}">
              <c16:uniqueId val="{00000002-3CF9-413A-88F3-BFD0052170F2}"/>
            </c:ext>
          </c:extLst>
        </c:ser>
        <c:ser>
          <c:idx val="3"/>
          <c:order val="3"/>
          <c:tx>
            <c:strRef>
              <c:f>'1'!$E$8</c:f>
              <c:strCache>
                <c:ptCount val="1"/>
                <c:pt idx="0">
                  <c:v>Many</c:v>
                </c:pt>
              </c:strCache>
            </c:strRef>
          </c:tx>
          <c:spPr>
            <a:solidFill>
              <a:schemeClr val="accent4"/>
            </a:solidFill>
            <a:ln>
              <a:noFill/>
            </a:ln>
            <a:effectLst/>
          </c:spPr>
          <c:invertIfNegative val="0"/>
          <c:cat>
            <c:strRef>
              <c:f>'1'!$A$9:$A$12</c:f>
              <c:strCache>
                <c:ptCount val="4"/>
                <c:pt idx="0">
                  <c:v>Philippines</c:v>
                </c:pt>
                <c:pt idx="1">
                  <c:v>Indonesia</c:v>
                </c:pt>
                <c:pt idx="2">
                  <c:v>Malaysia</c:v>
                </c:pt>
                <c:pt idx="3">
                  <c:v>Cambodia</c:v>
                </c:pt>
              </c:strCache>
            </c:strRef>
          </c:cat>
          <c:val>
            <c:numRef>
              <c:f>'1'!$E$9:$E$12</c:f>
              <c:numCache>
                <c:formatCode>General</c:formatCode>
                <c:ptCount val="4"/>
                <c:pt idx="0">
                  <c:v>78.008915304606248</c:v>
                </c:pt>
                <c:pt idx="1">
                  <c:v>86.857825567502985</c:v>
                </c:pt>
                <c:pt idx="2">
                  <c:v>91.942148760330582</c:v>
                </c:pt>
                <c:pt idx="3">
                  <c:v>95.833333333333343</c:v>
                </c:pt>
              </c:numCache>
            </c:numRef>
          </c:val>
          <c:extLst>
            <c:ext xmlns:c16="http://schemas.microsoft.com/office/drawing/2014/chart" uri="{C3380CC4-5D6E-409C-BE32-E72D297353CC}">
              <c16:uniqueId val="{00000003-3CF9-413A-88F3-BFD0052170F2}"/>
            </c:ext>
          </c:extLst>
        </c:ser>
        <c:dLbls>
          <c:showLegendKey val="0"/>
          <c:showVal val="0"/>
          <c:showCatName val="0"/>
          <c:showSerName val="0"/>
          <c:showPercent val="0"/>
          <c:showBubbleSize val="0"/>
        </c:dLbls>
        <c:gapWidth val="150"/>
        <c:overlap val="100"/>
        <c:axId val="573359032"/>
        <c:axId val="573360632"/>
      </c:barChart>
      <c:catAx>
        <c:axId val="573359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3360632"/>
        <c:crosses val="autoZero"/>
        <c:auto val="1"/>
        <c:lblAlgn val="ctr"/>
        <c:lblOffset val="100"/>
        <c:noMultiLvlLbl val="0"/>
      </c:catAx>
      <c:valAx>
        <c:axId val="573360632"/>
        <c:scaling>
          <c:orientation val="minMax"/>
          <c:max val="1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3359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a:t>Evolution of market concentration in manufacturing in the Philippines (in percent)</a:t>
            </a:r>
            <a:endParaRPr lang="zh-CN" altLang="en-US"/>
          </a:p>
        </c:rich>
      </c:tx>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2476624015748035E-2"/>
          <c:y val="9.2708333333333309E-2"/>
          <c:w val="0.85978032042869645"/>
          <c:h val="0.71327763717035375"/>
        </c:manualLayout>
      </c:layout>
      <c:barChart>
        <c:barDir val="col"/>
        <c:grouping val="clustered"/>
        <c:varyColors val="0"/>
        <c:ser>
          <c:idx val="0"/>
          <c:order val="0"/>
          <c:tx>
            <c:strRef>
              <c:f>'2'!$A$3</c:f>
              <c:strCache>
                <c:ptCount val="1"/>
                <c:pt idx="0">
                  <c:v>Philippines 2009</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53AB-4338-8680-FD8ED998C78B}"/>
              </c:ext>
            </c:extLst>
          </c:dPt>
          <c:dPt>
            <c:idx val="9"/>
            <c:invertIfNegative val="0"/>
            <c:bubble3D val="0"/>
            <c:spPr>
              <a:solidFill>
                <a:schemeClr val="accent1"/>
              </a:solidFill>
              <a:ln>
                <a:noFill/>
              </a:ln>
              <a:effectLst/>
            </c:spPr>
            <c:extLst>
              <c:ext xmlns:c16="http://schemas.microsoft.com/office/drawing/2014/chart" uri="{C3380CC4-5D6E-409C-BE32-E72D297353CC}">
                <c16:uniqueId val="{00000003-53AB-4338-8680-FD8ED998C78B}"/>
              </c:ext>
            </c:extLst>
          </c:dPt>
          <c:cat>
            <c:strRef>
              <c:f>'2'!$B$2:$D$2</c:f>
              <c:strCache>
                <c:ptCount val="3"/>
                <c:pt idx="0">
                  <c:v>Monopoly</c:v>
                </c:pt>
                <c:pt idx="1">
                  <c:v>Duopoly</c:v>
                </c:pt>
                <c:pt idx="2">
                  <c:v>Oligopoly (3-6)</c:v>
                </c:pt>
              </c:strCache>
            </c:strRef>
          </c:cat>
          <c:val>
            <c:numRef>
              <c:f>'2'!$B$3:$D$3</c:f>
              <c:numCache>
                <c:formatCode>General</c:formatCode>
                <c:ptCount val="3"/>
                <c:pt idx="0">
                  <c:v>2.3664860000000001</c:v>
                </c:pt>
                <c:pt idx="1">
                  <c:v>2.3066586</c:v>
                </c:pt>
                <c:pt idx="2">
                  <c:v>18.588873799999998</c:v>
                </c:pt>
              </c:numCache>
            </c:numRef>
          </c:val>
          <c:extLst>
            <c:ext xmlns:c16="http://schemas.microsoft.com/office/drawing/2014/chart" uri="{C3380CC4-5D6E-409C-BE32-E72D297353CC}">
              <c16:uniqueId val="{00000004-53AB-4338-8680-FD8ED998C78B}"/>
            </c:ext>
          </c:extLst>
        </c:ser>
        <c:ser>
          <c:idx val="1"/>
          <c:order val="1"/>
          <c:tx>
            <c:strRef>
              <c:f>'2'!$A$4</c:f>
              <c:strCache>
                <c:ptCount val="1"/>
                <c:pt idx="0">
                  <c:v>Philippines 2015</c:v>
                </c:pt>
              </c:strCache>
            </c:strRef>
          </c:tx>
          <c:spPr>
            <a:solidFill>
              <a:schemeClr val="accent2"/>
            </a:solidFill>
            <a:ln>
              <a:noFill/>
            </a:ln>
            <a:effectLst/>
          </c:spPr>
          <c:invertIfNegative val="0"/>
          <c:cat>
            <c:strRef>
              <c:f>'2'!$B$2:$D$2</c:f>
              <c:strCache>
                <c:ptCount val="3"/>
                <c:pt idx="0">
                  <c:v>Monopoly</c:v>
                </c:pt>
                <c:pt idx="1">
                  <c:v>Duopoly</c:v>
                </c:pt>
                <c:pt idx="2">
                  <c:v>Oligopoly (3-6)</c:v>
                </c:pt>
              </c:strCache>
            </c:strRef>
          </c:cat>
          <c:val>
            <c:numRef>
              <c:f>'2'!$B$4:$D$4</c:f>
              <c:numCache>
                <c:formatCode>General</c:formatCode>
                <c:ptCount val="3"/>
                <c:pt idx="0">
                  <c:v>3.1753339999999999</c:v>
                </c:pt>
                <c:pt idx="1">
                  <c:v>3.7147103000000001</c:v>
                </c:pt>
                <c:pt idx="2">
                  <c:v>14.858841</c:v>
                </c:pt>
              </c:numCache>
            </c:numRef>
          </c:val>
          <c:extLst>
            <c:ext xmlns:c16="http://schemas.microsoft.com/office/drawing/2014/chart" uri="{C3380CC4-5D6E-409C-BE32-E72D297353CC}">
              <c16:uniqueId val="{00000005-53AB-4338-8680-FD8ED998C78B}"/>
            </c:ext>
          </c:extLst>
        </c:ser>
        <c:dLbls>
          <c:showLegendKey val="0"/>
          <c:showVal val="0"/>
          <c:showCatName val="0"/>
          <c:showSerName val="0"/>
          <c:showPercent val="0"/>
          <c:showBubbleSize val="0"/>
        </c:dLbls>
        <c:gapWidth val="219"/>
        <c:overlap val="-27"/>
        <c:axId val="1106734831"/>
        <c:axId val="1178975199"/>
      </c:barChart>
      <c:catAx>
        <c:axId val="1106734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8975199"/>
        <c:crosses val="autoZero"/>
        <c:auto val="1"/>
        <c:lblAlgn val="ctr"/>
        <c:lblOffset val="100"/>
        <c:noMultiLvlLbl val="0"/>
      </c:catAx>
      <c:valAx>
        <c:axId val="117897519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6734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Sheet1!$B$14</c:f>
              <c:strCache>
                <c:ptCount val="1"/>
                <c:pt idx="0">
                  <c:v>Export</c:v>
                </c:pt>
              </c:strCache>
            </c:strRef>
          </c:tx>
          <c:spPr>
            <a:solidFill>
              <a:schemeClr val="accent1"/>
            </a:solidFill>
            <a:ln>
              <a:noFill/>
            </a:ln>
            <a:effectLst/>
          </c:spPr>
          <c:invertIfNegative val="0"/>
          <c:cat>
            <c:strRef>
              <c:f>Sheet1!$A$15:$A$21</c:f>
              <c:strCache>
                <c:ptCount val="7"/>
                <c:pt idx="0">
                  <c:v>Philippines</c:v>
                </c:pt>
                <c:pt idx="1">
                  <c:v>Indonesia</c:v>
                </c:pt>
                <c:pt idx="2">
                  <c:v>Lao PDR</c:v>
                </c:pt>
                <c:pt idx="3">
                  <c:v>Malaysia</c:v>
                </c:pt>
                <c:pt idx="4">
                  <c:v>Myanmar</c:v>
                </c:pt>
                <c:pt idx="5">
                  <c:v>Thailand</c:v>
                </c:pt>
                <c:pt idx="6">
                  <c:v>Vietnam</c:v>
                </c:pt>
              </c:strCache>
            </c:strRef>
          </c:cat>
          <c:val>
            <c:numRef>
              <c:f>Sheet1!$B$15:$B$21</c:f>
              <c:numCache>
                <c:formatCode>0</c:formatCode>
                <c:ptCount val="7"/>
                <c:pt idx="0" formatCode="General">
                  <c:v>509</c:v>
                </c:pt>
                <c:pt idx="1">
                  <c:v>392.5</c:v>
                </c:pt>
                <c:pt idx="2" formatCode="General">
                  <c:v>375</c:v>
                </c:pt>
                <c:pt idx="3" formatCode="General">
                  <c:v>248</c:v>
                </c:pt>
                <c:pt idx="4" formatCode="General">
                  <c:v>572</c:v>
                </c:pt>
                <c:pt idx="5" formatCode="General">
                  <c:v>320</c:v>
                </c:pt>
                <c:pt idx="6" formatCode="General">
                  <c:v>429</c:v>
                </c:pt>
              </c:numCache>
            </c:numRef>
          </c:val>
          <c:extLst>
            <c:ext xmlns:c16="http://schemas.microsoft.com/office/drawing/2014/chart" uri="{C3380CC4-5D6E-409C-BE32-E72D297353CC}">
              <c16:uniqueId val="{00000000-CF4D-422D-8C81-1045328935BC}"/>
            </c:ext>
          </c:extLst>
        </c:ser>
        <c:ser>
          <c:idx val="1"/>
          <c:order val="1"/>
          <c:tx>
            <c:strRef>
              <c:f>Sheet1!$C$14</c:f>
              <c:strCache>
                <c:ptCount val="1"/>
                <c:pt idx="0">
                  <c:v>Import</c:v>
                </c:pt>
              </c:strCache>
            </c:strRef>
          </c:tx>
          <c:spPr>
            <a:solidFill>
              <a:schemeClr val="tx2">
                <a:lumMod val="40000"/>
                <a:lumOff val="60000"/>
              </a:schemeClr>
            </a:solidFill>
            <a:ln>
              <a:noFill/>
            </a:ln>
            <a:effectLst/>
          </c:spPr>
          <c:invertIfNegative val="0"/>
          <c:cat>
            <c:strRef>
              <c:f>Sheet1!$A$15:$A$21</c:f>
              <c:strCache>
                <c:ptCount val="7"/>
                <c:pt idx="0">
                  <c:v>Philippines</c:v>
                </c:pt>
                <c:pt idx="1">
                  <c:v>Indonesia</c:v>
                </c:pt>
                <c:pt idx="2">
                  <c:v>Lao PDR</c:v>
                </c:pt>
                <c:pt idx="3">
                  <c:v>Malaysia</c:v>
                </c:pt>
                <c:pt idx="4">
                  <c:v>Myanmar</c:v>
                </c:pt>
                <c:pt idx="5">
                  <c:v>Thailand</c:v>
                </c:pt>
                <c:pt idx="6">
                  <c:v>Vietnam</c:v>
                </c:pt>
              </c:strCache>
            </c:strRef>
          </c:cat>
          <c:val>
            <c:numRef>
              <c:f>Sheet1!$C$15:$C$21</c:f>
              <c:numCache>
                <c:formatCode>General</c:formatCode>
                <c:ptCount val="7"/>
                <c:pt idx="0">
                  <c:v>630</c:v>
                </c:pt>
                <c:pt idx="1">
                  <c:v>547</c:v>
                </c:pt>
                <c:pt idx="2">
                  <c:v>339</c:v>
                </c:pt>
                <c:pt idx="3">
                  <c:v>273</c:v>
                </c:pt>
                <c:pt idx="4">
                  <c:v>667</c:v>
                </c:pt>
                <c:pt idx="5">
                  <c:v>276</c:v>
                </c:pt>
                <c:pt idx="6">
                  <c:v>556</c:v>
                </c:pt>
              </c:numCache>
            </c:numRef>
          </c:val>
          <c:extLst>
            <c:ext xmlns:c16="http://schemas.microsoft.com/office/drawing/2014/chart" uri="{C3380CC4-5D6E-409C-BE32-E72D297353CC}">
              <c16:uniqueId val="{00000001-CF4D-422D-8C81-1045328935BC}"/>
            </c:ext>
          </c:extLst>
        </c:ser>
        <c:dLbls>
          <c:showLegendKey val="0"/>
          <c:showVal val="0"/>
          <c:showCatName val="0"/>
          <c:showSerName val="0"/>
          <c:showPercent val="0"/>
          <c:showBubbleSize val="0"/>
        </c:dLbls>
        <c:gapWidth val="219"/>
        <c:overlap val="-27"/>
        <c:axId val="1574126144"/>
        <c:axId val="1574110912"/>
      </c:barChart>
      <c:catAx>
        <c:axId val="157412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574110912"/>
        <c:crosses val="autoZero"/>
        <c:auto val="1"/>
        <c:lblAlgn val="ctr"/>
        <c:lblOffset val="100"/>
        <c:noMultiLvlLbl val="0"/>
      </c:catAx>
      <c:valAx>
        <c:axId val="157411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412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t>Net FDI inflow: Philippines vs. Regional peers (percent of GDP)</a:t>
            </a:r>
          </a:p>
        </c:rich>
      </c:tx>
      <c:layout>
        <c:manualLayout>
          <c:xMode val="edge"/>
          <c:yMode val="edge"/>
          <c:x val="0.14597402597402598"/>
          <c:y val="1.0582010582010581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5948801854313662E-2"/>
          <c:y val="8.6825396825396819E-2"/>
          <c:w val="0.85643215052663868"/>
          <c:h val="0.79956763217097848"/>
        </c:manualLayout>
      </c:layout>
      <c:barChart>
        <c:barDir val="col"/>
        <c:grouping val="clustered"/>
        <c:varyColors val="0"/>
        <c:ser>
          <c:idx val="0"/>
          <c:order val="0"/>
          <c:tx>
            <c:strRef>
              <c:f>'[FDI_Philippines (002).xlsx]Sheet1'!$C$10</c:f>
              <c:strCache>
                <c:ptCount val="1"/>
                <c:pt idx="0">
                  <c:v>1999-2014</c:v>
                </c:pt>
              </c:strCache>
            </c:strRef>
          </c:tx>
          <c:spPr>
            <a:solidFill>
              <a:schemeClr val="accent1"/>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99F9-4E94-9E58-9D2FC16E9688}"/>
              </c:ext>
            </c:extLst>
          </c:dPt>
          <c:cat>
            <c:strRef>
              <c:f>'[FDI_Philippines (002).xlsx]Sheet1'!$B$11:$B$16</c:f>
              <c:strCache>
                <c:ptCount val="6"/>
                <c:pt idx="0">
                  <c:v>Philippines</c:v>
                </c:pt>
                <c:pt idx="1">
                  <c:v>Indonesia</c:v>
                </c:pt>
                <c:pt idx="2">
                  <c:v>Malaysia</c:v>
                </c:pt>
                <c:pt idx="3">
                  <c:v>Thailand</c:v>
                </c:pt>
                <c:pt idx="4">
                  <c:v>China</c:v>
                </c:pt>
                <c:pt idx="5">
                  <c:v>Vietnam</c:v>
                </c:pt>
              </c:strCache>
            </c:strRef>
          </c:cat>
          <c:val>
            <c:numRef>
              <c:f>'[FDI_Philippines (002).xlsx]Sheet1'!$C$11:$C$16</c:f>
              <c:numCache>
                <c:formatCode>General</c:formatCode>
                <c:ptCount val="6"/>
                <c:pt idx="0">
                  <c:v>1.2904800304060775</c:v>
                </c:pt>
                <c:pt idx="1">
                  <c:v>-0.84334038254575905</c:v>
                </c:pt>
                <c:pt idx="2">
                  <c:v>3.1919719634487458</c:v>
                </c:pt>
                <c:pt idx="3">
                  <c:v>3.5011236406512745</c:v>
                </c:pt>
                <c:pt idx="4">
                  <c:v>3.5184265462518156</c:v>
                </c:pt>
                <c:pt idx="5">
                  <c:v>4.0444505690491486</c:v>
                </c:pt>
              </c:numCache>
            </c:numRef>
          </c:val>
          <c:extLst>
            <c:ext xmlns:c16="http://schemas.microsoft.com/office/drawing/2014/chart" uri="{C3380CC4-5D6E-409C-BE32-E72D297353CC}">
              <c16:uniqueId val="{00000002-99F9-4E94-9E58-9D2FC16E9688}"/>
            </c:ext>
          </c:extLst>
        </c:ser>
        <c:ser>
          <c:idx val="1"/>
          <c:order val="1"/>
          <c:tx>
            <c:strRef>
              <c:f>'[FDI_Philippines (002).xlsx]Sheet1'!$D$10</c:f>
              <c:strCache>
                <c:ptCount val="1"/>
                <c:pt idx="0">
                  <c:v>2005-2010</c:v>
                </c:pt>
              </c:strCache>
            </c:strRef>
          </c:tx>
          <c:spPr>
            <a:solidFill>
              <a:schemeClr val="accent2"/>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4-99F9-4E94-9E58-9D2FC16E9688}"/>
              </c:ext>
            </c:extLst>
          </c:dPt>
          <c:cat>
            <c:strRef>
              <c:f>'[FDI_Philippines (002).xlsx]Sheet1'!$B$11:$B$16</c:f>
              <c:strCache>
                <c:ptCount val="6"/>
                <c:pt idx="0">
                  <c:v>Philippines</c:v>
                </c:pt>
                <c:pt idx="1">
                  <c:v>Indonesia</c:v>
                </c:pt>
                <c:pt idx="2">
                  <c:v>Malaysia</c:v>
                </c:pt>
                <c:pt idx="3">
                  <c:v>Thailand</c:v>
                </c:pt>
                <c:pt idx="4">
                  <c:v>China</c:v>
                </c:pt>
                <c:pt idx="5">
                  <c:v>Vietnam</c:v>
                </c:pt>
              </c:strCache>
            </c:strRef>
          </c:cat>
          <c:val>
            <c:numRef>
              <c:f>'[FDI_Philippines (002).xlsx]Sheet1'!$D$11:$D$16</c:f>
              <c:numCache>
                <c:formatCode>General</c:formatCode>
                <c:ptCount val="6"/>
                <c:pt idx="0">
                  <c:v>1.3859984139943553</c:v>
                </c:pt>
                <c:pt idx="1">
                  <c:v>1.6833085922761271</c:v>
                </c:pt>
                <c:pt idx="2">
                  <c:v>3.2924262390923693</c:v>
                </c:pt>
                <c:pt idx="3">
                  <c:v>3.5302946792769334</c:v>
                </c:pt>
                <c:pt idx="4">
                  <c:v>3.9585766968498901</c:v>
                </c:pt>
                <c:pt idx="5">
                  <c:v>6.5655988324930741</c:v>
                </c:pt>
              </c:numCache>
            </c:numRef>
          </c:val>
          <c:extLst>
            <c:ext xmlns:c16="http://schemas.microsoft.com/office/drawing/2014/chart" uri="{C3380CC4-5D6E-409C-BE32-E72D297353CC}">
              <c16:uniqueId val="{00000005-99F9-4E94-9E58-9D2FC16E9688}"/>
            </c:ext>
          </c:extLst>
        </c:ser>
        <c:ser>
          <c:idx val="2"/>
          <c:order val="2"/>
          <c:tx>
            <c:strRef>
              <c:f>'[FDI_Philippines (002).xlsx]Sheet1'!$E$10</c:f>
              <c:strCache>
                <c:ptCount val="1"/>
                <c:pt idx="0">
                  <c:v>2011-2016</c:v>
                </c:pt>
              </c:strCache>
            </c:strRef>
          </c:tx>
          <c:spPr>
            <a:solidFill>
              <a:schemeClr val="accent3"/>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7-99F9-4E94-9E58-9D2FC16E9688}"/>
              </c:ext>
            </c:extLst>
          </c:dPt>
          <c:cat>
            <c:strRef>
              <c:f>'[FDI_Philippines (002).xlsx]Sheet1'!$B$11:$B$16</c:f>
              <c:strCache>
                <c:ptCount val="6"/>
                <c:pt idx="0">
                  <c:v>Philippines</c:v>
                </c:pt>
                <c:pt idx="1">
                  <c:v>Indonesia</c:v>
                </c:pt>
                <c:pt idx="2">
                  <c:v>Malaysia</c:v>
                </c:pt>
                <c:pt idx="3">
                  <c:v>Thailand</c:v>
                </c:pt>
                <c:pt idx="4">
                  <c:v>China</c:v>
                </c:pt>
                <c:pt idx="5">
                  <c:v>Vietnam</c:v>
                </c:pt>
              </c:strCache>
            </c:strRef>
          </c:cat>
          <c:val>
            <c:numRef>
              <c:f>'[FDI_Philippines (002).xlsx]Sheet1'!$E$11:$E$16</c:f>
              <c:numCache>
                <c:formatCode>General</c:formatCode>
                <c:ptCount val="6"/>
                <c:pt idx="0">
                  <c:v>1.6860054186015452</c:v>
                </c:pt>
                <c:pt idx="1">
                  <c:v>2.1208260109988482</c:v>
                </c:pt>
                <c:pt idx="2">
                  <c:v>3.7370333495668375</c:v>
                </c:pt>
                <c:pt idx="3">
                  <c:v>1.9856361653967145</c:v>
                </c:pt>
                <c:pt idx="4">
                  <c:v>2.6360982166682239</c:v>
                </c:pt>
                <c:pt idx="5">
                  <c:v>5.5392102513998021</c:v>
                </c:pt>
              </c:numCache>
            </c:numRef>
          </c:val>
          <c:extLst>
            <c:ext xmlns:c16="http://schemas.microsoft.com/office/drawing/2014/chart" uri="{C3380CC4-5D6E-409C-BE32-E72D297353CC}">
              <c16:uniqueId val="{00000008-99F9-4E94-9E58-9D2FC16E9688}"/>
            </c:ext>
          </c:extLst>
        </c:ser>
        <c:dLbls>
          <c:showLegendKey val="0"/>
          <c:showVal val="0"/>
          <c:showCatName val="0"/>
          <c:showSerName val="0"/>
          <c:showPercent val="0"/>
          <c:showBubbleSize val="0"/>
        </c:dLbls>
        <c:gapWidth val="219"/>
        <c:overlap val="-27"/>
        <c:axId val="735384720"/>
        <c:axId val="735382160"/>
      </c:barChart>
      <c:catAx>
        <c:axId val="73538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35382160"/>
        <c:crosses val="autoZero"/>
        <c:auto val="1"/>
        <c:lblAlgn val="ctr"/>
        <c:lblOffset val="100"/>
        <c:noMultiLvlLbl val="0"/>
      </c:catAx>
      <c:valAx>
        <c:axId val="7353821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3538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Times New Roman" panose="02020603050405020304" pitchFamily="18" charset="0"/>
              </a:defRPr>
            </a:pPr>
            <a:r>
              <a:rPr lang="en-US" sz="900" b="0">
                <a:latin typeface="+mn-lt"/>
              </a:rPr>
              <a:t>Ease of Hiring and Firing (7=best)</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Times New Roman" panose="02020603050405020304" pitchFamily="18" charset="0"/>
            </a:defRPr>
          </a:pPr>
          <a:endParaRPr lang="en-US"/>
        </a:p>
      </c:txPr>
    </c:title>
    <c:autoTitleDeleted val="0"/>
    <c:plotArea>
      <c:layout>
        <c:manualLayout>
          <c:layoutTarget val="inner"/>
          <c:xMode val="edge"/>
          <c:yMode val="edge"/>
          <c:x val="0.1034298619649288"/>
          <c:y val="0.11503650680028635"/>
          <c:w val="0.84878053034068413"/>
          <c:h val="0.59257319397575303"/>
        </c:manualLayout>
      </c:layout>
      <c:barChart>
        <c:barDir val="col"/>
        <c:grouping val="clustered"/>
        <c:varyColors val="0"/>
        <c:ser>
          <c:idx val="0"/>
          <c:order val="0"/>
          <c:spPr>
            <a:solidFill>
              <a:schemeClr val="accent1"/>
            </a:solidFill>
            <a:ln>
              <a:noFill/>
            </a:ln>
            <a:effectLst/>
          </c:spPr>
          <c:invertIfNegative val="0"/>
          <c:dPt>
            <c:idx val="8"/>
            <c:invertIfNegative val="0"/>
            <c:bubble3D val="0"/>
            <c:spPr>
              <a:solidFill>
                <a:srgbClr val="FF0000"/>
              </a:solidFill>
              <a:ln>
                <a:noFill/>
              </a:ln>
              <a:effectLst/>
            </c:spPr>
            <c:extLst>
              <c:ext xmlns:c16="http://schemas.microsoft.com/office/drawing/2014/chart" uri="{C3380CC4-5D6E-409C-BE32-E72D297353CC}">
                <c16:uniqueId val="{00000001-6430-4633-A848-BF0A78208CDD}"/>
              </c:ext>
            </c:extLst>
          </c:dPt>
          <c:dPt>
            <c:idx val="10"/>
            <c:invertIfNegative val="0"/>
            <c:bubble3D val="0"/>
            <c:spPr>
              <a:solidFill>
                <a:schemeClr val="accent1"/>
              </a:solidFill>
              <a:ln>
                <a:noFill/>
              </a:ln>
              <a:effectLst/>
            </c:spPr>
            <c:extLst>
              <c:ext xmlns:c16="http://schemas.microsoft.com/office/drawing/2014/chart" uri="{C3380CC4-5D6E-409C-BE32-E72D297353CC}">
                <c16:uniqueId val="{00000003-6430-4633-A848-BF0A78208CDD}"/>
              </c:ext>
            </c:extLst>
          </c:dPt>
          <c:cat>
            <c:strRef>
              <c:f>'[labor market restriction.xlsx]F46'!$B$2:$B$12</c:f>
              <c:strCache>
                <c:ptCount val="11"/>
                <c:pt idx="0">
                  <c:v>Malaysia</c:v>
                </c:pt>
                <c:pt idx="1">
                  <c:v>China</c:v>
                </c:pt>
                <c:pt idx="2">
                  <c:v>Indonesia</c:v>
                </c:pt>
                <c:pt idx="3">
                  <c:v>Thailand</c:v>
                </c:pt>
                <c:pt idx="4">
                  <c:v>Kenya</c:v>
                </c:pt>
                <c:pt idx="5">
                  <c:v>Bangladesh</c:v>
                </c:pt>
                <c:pt idx="6">
                  <c:v>Vietnam</c:v>
                </c:pt>
                <c:pt idx="7">
                  <c:v>Pakistan </c:v>
                </c:pt>
                <c:pt idx="8">
                  <c:v>Philippines</c:v>
                </c:pt>
                <c:pt idx="9">
                  <c:v>Sri Lanka</c:v>
                </c:pt>
                <c:pt idx="10">
                  <c:v>Morocco</c:v>
                </c:pt>
              </c:strCache>
            </c:strRef>
          </c:cat>
          <c:val>
            <c:numRef>
              <c:f>'[labor market restriction.xlsx]F46'!$C$2:$C$12</c:f>
              <c:numCache>
                <c:formatCode>General</c:formatCode>
                <c:ptCount val="11"/>
                <c:pt idx="0">
                  <c:v>4.8673415179999999</c:v>
                </c:pt>
                <c:pt idx="1">
                  <c:v>4.4643559460000004</c:v>
                </c:pt>
                <c:pt idx="2">
                  <c:v>4.4617128370000003</c:v>
                </c:pt>
                <c:pt idx="3">
                  <c:v>4.3649711609999997</c:v>
                </c:pt>
                <c:pt idx="4">
                  <c:v>4.2587232589999999</c:v>
                </c:pt>
                <c:pt idx="5">
                  <c:v>4.1691374779999997</c:v>
                </c:pt>
                <c:pt idx="6">
                  <c:v>4.0222969060000002</c:v>
                </c:pt>
                <c:pt idx="7">
                  <c:v>3.7929079529999998</c:v>
                </c:pt>
                <c:pt idx="8">
                  <c:v>3.6479458810000001</c:v>
                </c:pt>
                <c:pt idx="9">
                  <c:v>3.4609780309999998</c:v>
                </c:pt>
                <c:pt idx="10">
                  <c:v>3.3020384310000002</c:v>
                </c:pt>
              </c:numCache>
            </c:numRef>
          </c:val>
          <c:extLst>
            <c:ext xmlns:c16="http://schemas.microsoft.com/office/drawing/2014/chart" uri="{C3380CC4-5D6E-409C-BE32-E72D297353CC}">
              <c16:uniqueId val="{00000004-6430-4633-A848-BF0A78208CDD}"/>
            </c:ext>
          </c:extLst>
        </c:ser>
        <c:dLbls>
          <c:showLegendKey val="0"/>
          <c:showVal val="0"/>
          <c:showCatName val="0"/>
          <c:showSerName val="0"/>
          <c:showPercent val="0"/>
          <c:showBubbleSize val="0"/>
        </c:dLbls>
        <c:gapWidth val="219"/>
        <c:overlap val="-27"/>
        <c:axId val="1519847936"/>
        <c:axId val="1519856096"/>
      </c:barChart>
      <c:catAx>
        <c:axId val="151984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19856096"/>
        <c:crosses val="autoZero"/>
        <c:auto val="1"/>
        <c:lblAlgn val="ctr"/>
        <c:lblOffset val="100"/>
        <c:noMultiLvlLbl val="0"/>
      </c:catAx>
      <c:valAx>
        <c:axId val="15198560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19847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800"/>
            </a:pPr>
            <a:r>
              <a:rPr lang="en-US" sz="800"/>
              <a:t>Domestic Credit to the Private Sector </a:t>
            </a:r>
            <a:br>
              <a:rPr lang="en-US" sz="800"/>
            </a:br>
            <a:r>
              <a:rPr lang="en-US" sz="800"/>
              <a:t>2016 (% of GDP)</a:t>
            </a:r>
          </a:p>
        </c:rich>
      </c:tx>
      <c:layout>
        <c:manualLayout>
          <c:xMode val="edge"/>
          <c:yMode val="edge"/>
          <c:x val="0.12326460837132198"/>
          <c:y val="5.3914203347532386E-2"/>
        </c:manualLayout>
      </c:layout>
      <c:overlay val="0"/>
    </c:title>
    <c:autoTitleDeleted val="0"/>
    <c:plotArea>
      <c:layout>
        <c:manualLayout>
          <c:layoutTarget val="inner"/>
          <c:xMode val="edge"/>
          <c:yMode val="edge"/>
          <c:x val="0.10319795551871805"/>
          <c:y val="9.6038521500601881E-2"/>
          <c:w val="0.82048625500759775"/>
          <c:h val="0.74678438632670907"/>
        </c:manualLayout>
      </c:layout>
      <c:scatterChart>
        <c:scatterStyle val="lineMarker"/>
        <c:varyColors val="0"/>
        <c:ser>
          <c:idx val="0"/>
          <c:order val="0"/>
          <c:spPr>
            <a:ln w="19050">
              <a:noFill/>
            </a:ln>
          </c:spPr>
          <c:marker>
            <c:symbol val="circle"/>
            <c:size val="5"/>
            <c:spPr>
              <a:solidFill>
                <a:schemeClr val="accent1"/>
              </a:solidFill>
              <a:ln w="9525">
                <a:solidFill>
                  <a:schemeClr val="accent1"/>
                </a:solidFill>
              </a:ln>
              <a:effectLst/>
            </c:spPr>
          </c:marker>
          <c:dPt>
            <c:idx val="4"/>
            <c:bubble3D val="0"/>
            <c:extLst>
              <c:ext xmlns:c16="http://schemas.microsoft.com/office/drawing/2014/chart" uri="{C3380CC4-5D6E-409C-BE32-E72D297353CC}">
                <c16:uniqueId val="{00000000-5597-4238-A5A8-7CB656C45292}"/>
              </c:ext>
            </c:extLst>
          </c:dPt>
          <c:dPt>
            <c:idx val="141"/>
            <c:marker>
              <c:symbol val="diamond"/>
              <c:size val="8"/>
              <c:spPr>
                <a:solidFill>
                  <a:srgbClr val="FF0000"/>
                </a:solidFill>
                <a:ln w="9525">
                  <a:noFill/>
                </a:ln>
                <a:effectLst/>
              </c:spPr>
            </c:marker>
            <c:bubble3D val="0"/>
            <c:extLst>
              <c:ext xmlns:c16="http://schemas.microsoft.com/office/drawing/2014/chart" uri="{C3380CC4-5D6E-409C-BE32-E72D297353CC}">
                <c16:uniqueId val="{00000001-5597-4238-A5A8-7CB656C45292}"/>
              </c:ext>
            </c:extLst>
          </c:dPt>
          <c:trendline>
            <c:trendlineType val="linear"/>
            <c:dispRSqr val="0"/>
            <c:dispEq val="0"/>
          </c:trendline>
          <c:xVal>
            <c:numRef>
              <c:f>'[Credit market graphs.xlsx]F59'!$B$4:$B$145</c:f>
              <c:numCache>
                <c:formatCode>General</c:formatCode>
                <c:ptCount val="142"/>
                <c:pt idx="0">
                  <c:v>1900</c:v>
                </c:pt>
                <c:pt idx="1">
                  <c:v>6220</c:v>
                </c:pt>
                <c:pt idx="2">
                  <c:v>11880</c:v>
                </c:pt>
                <c:pt idx="3">
                  <c:v>72850</c:v>
                </c:pt>
                <c:pt idx="4">
                  <c:v>19480</c:v>
                </c:pt>
                <c:pt idx="5">
                  <c:v>9000</c:v>
                </c:pt>
                <c:pt idx="6">
                  <c:v>21840</c:v>
                </c:pt>
                <c:pt idx="7">
                  <c:v>45970</c:v>
                </c:pt>
                <c:pt idx="8">
                  <c:v>49990</c:v>
                </c:pt>
                <c:pt idx="9">
                  <c:v>16130</c:v>
                </c:pt>
                <c:pt idx="10">
                  <c:v>770</c:v>
                </c:pt>
                <c:pt idx="11">
                  <c:v>46010</c:v>
                </c:pt>
                <c:pt idx="12">
                  <c:v>2170</c:v>
                </c:pt>
                <c:pt idx="13">
                  <c:v>1680</c:v>
                </c:pt>
                <c:pt idx="14">
                  <c:v>3790</c:v>
                </c:pt>
                <c:pt idx="15">
                  <c:v>19020</c:v>
                </c:pt>
                <c:pt idx="16">
                  <c:v>22090</c:v>
                </c:pt>
                <c:pt idx="17">
                  <c:v>12140</c:v>
                </c:pt>
                <c:pt idx="18">
                  <c:v>17210</c:v>
                </c:pt>
                <c:pt idx="19">
                  <c:v>8000</c:v>
                </c:pt>
                <c:pt idx="20">
                  <c:v>7090</c:v>
                </c:pt>
                <c:pt idx="21">
                  <c:v>14810</c:v>
                </c:pt>
                <c:pt idx="22">
                  <c:v>8070</c:v>
                </c:pt>
                <c:pt idx="23">
                  <c:v>16380</c:v>
                </c:pt>
                <c:pt idx="24">
                  <c:v>63660</c:v>
                </c:pt>
                <c:pt idx="25">
                  <c:v>23270</c:v>
                </c:pt>
                <c:pt idx="26">
                  <c:v>15500</c:v>
                </c:pt>
                <c:pt idx="27">
                  <c:v>3610</c:v>
                </c:pt>
                <c:pt idx="28">
                  <c:v>3250</c:v>
                </c:pt>
                <c:pt idx="29">
                  <c:v>730</c:v>
                </c:pt>
                <c:pt idx="30">
                  <c:v>5380</c:v>
                </c:pt>
                <c:pt idx="31">
                  <c:v>1520</c:v>
                </c:pt>
                <c:pt idx="32">
                  <c:v>6220</c:v>
                </c:pt>
                <c:pt idx="33">
                  <c:v>15750</c:v>
                </c:pt>
                <c:pt idx="34">
                  <c:v>31420</c:v>
                </c:pt>
                <c:pt idx="35">
                  <c:v>32710</c:v>
                </c:pt>
                <c:pt idx="36">
                  <c:v>49530</c:v>
                </c:pt>
                <c:pt idx="37">
                  <c:v>10610</c:v>
                </c:pt>
                <c:pt idx="38">
                  <c:v>14480</c:v>
                </c:pt>
                <c:pt idx="39">
                  <c:v>14720</c:v>
                </c:pt>
                <c:pt idx="40">
                  <c:v>11070</c:v>
                </c:pt>
                <c:pt idx="41">
                  <c:v>11110</c:v>
                </c:pt>
                <c:pt idx="42">
                  <c:v>36340</c:v>
                </c:pt>
                <c:pt idx="43">
                  <c:v>28920</c:v>
                </c:pt>
                <c:pt idx="44">
                  <c:v>43400</c:v>
                </c:pt>
                <c:pt idx="45">
                  <c:v>9140</c:v>
                </c:pt>
                <c:pt idx="46">
                  <c:v>42380</c:v>
                </c:pt>
                <c:pt idx="47">
                  <c:v>4330</c:v>
                </c:pt>
                <c:pt idx="48">
                  <c:v>16720</c:v>
                </c:pt>
                <c:pt idx="49">
                  <c:v>42100</c:v>
                </c:pt>
                <c:pt idx="50">
                  <c:v>9450</c:v>
                </c:pt>
                <c:pt idx="51">
                  <c:v>1200</c:v>
                </c:pt>
                <c:pt idx="52">
                  <c:v>1580</c:v>
                </c:pt>
                <c:pt idx="53">
                  <c:v>17020</c:v>
                </c:pt>
                <c:pt idx="54">
                  <c:v>26900</c:v>
                </c:pt>
                <c:pt idx="55">
                  <c:v>13440</c:v>
                </c:pt>
                <c:pt idx="56">
                  <c:v>7750</c:v>
                </c:pt>
                <c:pt idx="57">
                  <c:v>7860</c:v>
                </c:pt>
                <c:pt idx="58">
                  <c:v>4410</c:v>
                </c:pt>
                <c:pt idx="59">
                  <c:v>22880</c:v>
                </c:pt>
                <c:pt idx="60">
                  <c:v>1790</c:v>
                </c:pt>
                <c:pt idx="61">
                  <c:v>25640</c:v>
                </c:pt>
                <c:pt idx="62">
                  <c:v>11220</c:v>
                </c:pt>
                <c:pt idx="63">
                  <c:v>56870</c:v>
                </c:pt>
                <c:pt idx="64">
                  <c:v>52490</c:v>
                </c:pt>
                <c:pt idx="65">
                  <c:v>38230</c:v>
                </c:pt>
                <c:pt idx="66">
                  <c:v>8980</c:v>
                </c:pt>
                <c:pt idx="67">
                  <c:v>22910</c:v>
                </c:pt>
                <c:pt idx="68">
                  <c:v>3130</c:v>
                </c:pt>
                <c:pt idx="69">
                  <c:v>3410</c:v>
                </c:pt>
                <c:pt idx="70">
                  <c:v>3510</c:v>
                </c:pt>
                <c:pt idx="71">
                  <c:v>25940</c:v>
                </c:pt>
                <c:pt idx="72">
                  <c:v>35790</c:v>
                </c:pt>
                <c:pt idx="73">
                  <c:v>13860</c:v>
                </c:pt>
                <c:pt idx="74">
                  <c:v>11370</c:v>
                </c:pt>
                <c:pt idx="75">
                  <c:v>11970</c:v>
                </c:pt>
                <c:pt idx="76">
                  <c:v>3390</c:v>
                </c:pt>
                <c:pt idx="77">
                  <c:v>28840</c:v>
                </c:pt>
                <c:pt idx="78">
                  <c:v>75750</c:v>
                </c:pt>
                <c:pt idx="79">
                  <c:v>26090</c:v>
                </c:pt>
                <c:pt idx="80">
                  <c:v>7700</c:v>
                </c:pt>
                <c:pt idx="81">
                  <c:v>5670</c:v>
                </c:pt>
                <c:pt idx="82">
                  <c:v>1440</c:v>
                </c:pt>
                <c:pt idx="83">
                  <c:v>11970</c:v>
                </c:pt>
                <c:pt idx="84">
                  <c:v>17740</c:v>
                </c:pt>
                <c:pt idx="85">
                  <c:v>14480</c:v>
                </c:pt>
                <c:pt idx="86">
                  <c:v>2040</c:v>
                </c:pt>
                <c:pt idx="87">
                  <c:v>35720</c:v>
                </c:pt>
                <c:pt idx="88">
                  <c:v>17090</c:v>
                </c:pt>
                <c:pt idx="89">
                  <c:v>11290</c:v>
                </c:pt>
                <c:pt idx="90">
                  <c:v>1190</c:v>
                </c:pt>
                <c:pt idx="91">
                  <c:v>20980</c:v>
                </c:pt>
                <c:pt idx="92">
                  <c:v>1140</c:v>
                </c:pt>
                <c:pt idx="93">
                  <c:v>26900</c:v>
                </c:pt>
                <c:pt idx="94">
                  <c:v>970</c:v>
                </c:pt>
                <c:pt idx="95">
                  <c:v>5740</c:v>
                </c:pt>
                <c:pt idx="96">
                  <c:v>5390</c:v>
                </c:pt>
                <c:pt idx="97">
                  <c:v>50320</c:v>
                </c:pt>
                <c:pt idx="98">
                  <c:v>62510</c:v>
                </c:pt>
                <c:pt idx="99">
                  <c:v>2520</c:v>
                </c:pt>
                <c:pt idx="100">
                  <c:v>5580</c:v>
                </c:pt>
                <c:pt idx="101">
                  <c:v>20990</c:v>
                </c:pt>
                <c:pt idx="102">
                  <c:v>12480</c:v>
                </c:pt>
                <c:pt idx="103">
                  <c:v>9400</c:v>
                </c:pt>
                <c:pt idx="104">
                  <c:v>26770</c:v>
                </c:pt>
                <c:pt idx="105">
                  <c:v>29990</c:v>
                </c:pt>
                <c:pt idx="106">
                  <c:v>9060</c:v>
                </c:pt>
                <c:pt idx="107">
                  <c:v>3290</c:v>
                </c:pt>
                <c:pt idx="108">
                  <c:v>22950</c:v>
                </c:pt>
                <c:pt idx="109">
                  <c:v>1870</c:v>
                </c:pt>
                <c:pt idx="110">
                  <c:v>55760</c:v>
                </c:pt>
                <c:pt idx="111">
                  <c:v>4290</c:v>
                </c:pt>
                <c:pt idx="112">
                  <c:v>2480</c:v>
                </c:pt>
                <c:pt idx="113">
                  <c:v>85050</c:v>
                </c:pt>
                <c:pt idx="114">
                  <c:v>2150</c:v>
                </c:pt>
                <c:pt idx="115">
                  <c:v>8220</c:v>
                </c:pt>
                <c:pt idx="116">
                  <c:v>13680</c:v>
                </c:pt>
                <c:pt idx="117">
                  <c:v>3240</c:v>
                </c:pt>
                <c:pt idx="118">
                  <c:v>13720</c:v>
                </c:pt>
                <c:pt idx="119">
                  <c:v>29910</c:v>
                </c:pt>
                <c:pt idx="120">
                  <c:v>32360</c:v>
                </c:pt>
                <c:pt idx="121">
                  <c:v>50000</c:v>
                </c:pt>
                <c:pt idx="122">
                  <c:v>7980</c:v>
                </c:pt>
                <c:pt idx="123">
                  <c:v>28390</c:v>
                </c:pt>
                <c:pt idx="124">
                  <c:v>1950</c:v>
                </c:pt>
                <c:pt idx="125">
                  <c:v>1370</c:v>
                </c:pt>
                <c:pt idx="126">
                  <c:v>16070</c:v>
                </c:pt>
                <c:pt idx="127">
                  <c:v>3500</c:v>
                </c:pt>
                <c:pt idx="128">
                  <c:v>5760</c:v>
                </c:pt>
                <c:pt idx="129">
                  <c:v>30810</c:v>
                </c:pt>
                <c:pt idx="130">
                  <c:v>11150</c:v>
                </c:pt>
                <c:pt idx="131">
                  <c:v>23990</c:v>
                </c:pt>
                <c:pt idx="132">
                  <c:v>1820</c:v>
                </c:pt>
                <c:pt idx="133">
                  <c:v>8190</c:v>
                </c:pt>
                <c:pt idx="134">
                  <c:v>21090</c:v>
                </c:pt>
                <c:pt idx="135">
                  <c:v>58030</c:v>
                </c:pt>
                <c:pt idx="136">
                  <c:v>11530</c:v>
                </c:pt>
                <c:pt idx="137">
                  <c:v>16100.601468949804</c:v>
                </c:pt>
                <c:pt idx="138">
                  <c:v>6200</c:v>
                </c:pt>
                <c:pt idx="139">
                  <c:v>10200</c:v>
                </c:pt>
                <c:pt idx="140">
                  <c:v>3790</c:v>
                </c:pt>
                <c:pt idx="141">
                  <c:v>9400</c:v>
                </c:pt>
              </c:numCache>
            </c:numRef>
          </c:xVal>
          <c:yVal>
            <c:numRef>
              <c:f>'[Credit market graphs.xlsx]F59'!$C$4:$C$145</c:f>
              <c:numCache>
                <c:formatCode>General</c:formatCode>
                <c:ptCount val="142"/>
                <c:pt idx="0">
                  <c:v>3.5652456986754073</c:v>
                </c:pt>
                <c:pt idx="1">
                  <c:v>21.364058940386581</c:v>
                </c:pt>
                <c:pt idx="2">
                  <c:v>34.536056953378697</c:v>
                </c:pt>
                <c:pt idx="3">
                  <c:v>85.893477805979146</c:v>
                </c:pt>
                <c:pt idx="4">
                  <c:v>13.959735615656029</c:v>
                </c:pt>
                <c:pt idx="5">
                  <c:v>48.870101840076863</c:v>
                </c:pt>
                <c:pt idx="6">
                  <c:v>48.32548608932504</c:v>
                </c:pt>
                <c:pt idx="7">
                  <c:v>142.85804218922823</c:v>
                </c:pt>
                <c:pt idx="8">
                  <c:v>86.808017842366112</c:v>
                </c:pt>
                <c:pt idx="9">
                  <c:v>25.417838784854691</c:v>
                </c:pt>
                <c:pt idx="10">
                  <c:v>14.268987135854699</c:v>
                </c:pt>
                <c:pt idx="11">
                  <c:v>64.650590236023248</c:v>
                </c:pt>
                <c:pt idx="12">
                  <c:v>21.762242530504103</c:v>
                </c:pt>
                <c:pt idx="13">
                  <c:v>26.567496083938973</c:v>
                </c:pt>
                <c:pt idx="14">
                  <c:v>44.44878151697678</c:v>
                </c:pt>
                <c:pt idx="15">
                  <c:v>53.642314188049497</c:v>
                </c:pt>
                <c:pt idx="16">
                  <c:v>68.212667182491444</c:v>
                </c:pt>
                <c:pt idx="17">
                  <c:v>54.303644532408299</c:v>
                </c:pt>
                <c:pt idx="18">
                  <c:v>25.888055096722486</c:v>
                </c:pt>
                <c:pt idx="19">
                  <c:v>56.756273372525378</c:v>
                </c:pt>
                <c:pt idx="20">
                  <c:v>64.228731677669657</c:v>
                </c:pt>
                <c:pt idx="21">
                  <c:v>62.193459550822219</c:v>
                </c:pt>
                <c:pt idx="22">
                  <c:v>46.508486428507751</c:v>
                </c:pt>
                <c:pt idx="23">
                  <c:v>32.310496847596553</c:v>
                </c:pt>
                <c:pt idx="24">
                  <c:v>177.66329737404379</c:v>
                </c:pt>
                <c:pt idx="25">
                  <c:v>112.12465160140412</c:v>
                </c:pt>
                <c:pt idx="26">
                  <c:v>156.70608190860111</c:v>
                </c:pt>
                <c:pt idx="27">
                  <c:v>22.658602850276143</c:v>
                </c:pt>
                <c:pt idx="28">
                  <c:v>20.794847824581463</c:v>
                </c:pt>
                <c:pt idx="29">
                  <c:v>7.3620123950658991</c:v>
                </c:pt>
                <c:pt idx="30">
                  <c:v>25.016902252817371</c:v>
                </c:pt>
                <c:pt idx="31">
                  <c:v>26.496282249023334</c:v>
                </c:pt>
                <c:pt idx="32">
                  <c:v>63.019124904979648</c:v>
                </c:pt>
                <c:pt idx="33">
                  <c:v>59.261292291516256</c:v>
                </c:pt>
                <c:pt idx="34">
                  <c:v>229.69153250583753</c:v>
                </c:pt>
                <c:pt idx="35">
                  <c:v>51.902997649447173</c:v>
                </c:pt>
                <c:pt idx="36">
                  <c:v>77.471083926013137</c:v>
                </c:pt>
                <c:pt idx="37">
                  <c:v>51.485200822414043</c:v>
                </c:pt>
                <c:pt idx="38">
                  <c:v>28.408048578898377</c:v>
                </c:pt>
                <c:pt idx="39">
                  <c:v>23.711748607514732</c:v>
                </c:pt>
                <c:pt idx="40">
                  <c:v>29.393854717660727</c:v>
                </c:pt>
                <c:pt idx="41">
                  <c:v>34.148726801643136</c:v>
                </c:pt>
                <c:pt idx="42">
                  <c:v>111.83039742299464</c:v>
                </c:pt>
                <c:pt idx="43">
                  <c:v>72.560192222118232</c:v>
                </c:pt>
                <c:pt idx="44">
                  <c:v>95.508777830721939</c:v>
                </c:pt>
                <c:pt idx="45">
                  <c:v>89.867003733107822</c:v>
                </c:pt>
                <c:pt idx="46">
                  <c:v>97.604646686620086</c:v>
                </c:pt>
                <c:pt idx="47">
                  <c:v>23.353105590062111</c:v>
                </c:pt>
                <c:pt idx="48">
                  <c:v>13.635160506716575</c:v>
                </c:pt>
                <c:pt idx="49">
                  <c:v>135.89419051090488</c:v>
                </c:pt>
                <c:pt idx="50">
                  <c:v>62.047314706554779</c:v>
                </c:pt>
                <c:pt idx="51">
                  <c:v>12.850417989939144</c:v>
                </c:pt>
                <c:pt idx="52">
                  <c:v>7.1398490905959875</c:v>
                </c:pt>
                <c:pt idx="53">
                  <c:v>19.076321156619631</c:v>
                </c:pt>
                <c:pt idx="54">
                  <c:v>107.7379673454566</c:v>
                </c:pt>
                <c:pt idx="55">
                  <c:v>56.124617560961255</c:v>
                </c:pt>
                <c:pt idx="56">
                  <c:v>34.296022763790972</c:v>
                </c:pt>
                <c:pt idx="57">
                  <c:v>45.464420592859724</c:v>
                </c:pt>
                <c:pt idx="58">
                  <c:v>56.333123359960226</c:v>
                </c:pt>
                <c:pt idx="59">
                  <c:v>61.651571008692052</c:v>
                </c:pt>
                <c:pt idx="60">
                  <c:v>18.336830867673797</c:v>
                </c:pt>
                <c:pt idx="61">
                  <c:v>34.757517253247414</c:v>
                </c:pt>
                <c:pt idx="62">
                  <c:v>39.386287141756377</c:v>
                </c:pt>
                <c:pt idx="63">
                  <c:v>49.186566182197822</c:v>
                </c:pt>
                <c:pt idx="64">
                  <c:v>87.322542492502976</c:v>
                </c:pt>
                <c:pt idx="65">
                  <c:v>86.13286437302537</c:v>
                </c:pt>
                <c:pt idx="66">
                  <c:v>75.109920322520765</c:v>
                </c:pt>
                <c:pt idx="67">
                  <c:v>34.282240750020534</c:v>
                </c:pt>
                <c:pt idx="68">
                  <c:v>33.063228750331305</c:v>
                </c:pt>
                <c:pt idx="69">
                  <c:v>21.229519033893212</c:v>
                </c:pt>
                <c:pt idx="70">
                  <c:v>69.658125526961427</c:v>
                </c:pt>
                <c:pt idx="71">
                  <c:v>56.516250651806232</c:v>
                </c:pt>
                <c:pt idx="72">
                  <c:v>143.33639056008082</c:v>
                </c:pt>
                <c:pt idx="73">
                  <c:v>111.89829615810156</c:v>
                </c:pt>
                <c:pt idx="74">
                  <c:v>89.385336032027567</c:v>
                </c:pt>
                <c:pt idx="75">
                  <c:v>45.970156649025931</c:v>
                </c:pt>
                <c:pt idx="76">
                  <c:v>17.506790191534765</c:v>
                </c:pt>
                <c:pt idx="77">
                  <c:v>12.444589757009554</c:v>
                </c:pt>
                <c:pt idx="78">
                  <c:v>100.20315564748712</c:v>
                </c:pt>
                <c:pt idx="79">
                  <c:v>67.380932144499099</c:v>
                </c:pt>
                <c:pt idx="80">
                  <c:v>65.407819904529035</c:v>
                </c:pt>
                <c:pt idx="81">
                  <c:v>26.860030915390105</c:v>
                </c:pt>
                <c:pt idx="82">
                  <c:v>13.156819678443188</c:v>
                </c:pt>
                <c:pt idx="83">
                  <c:v>37.281397203042424</c:v>
                </c:pt>
                <c:pt idx="84">
                  <c:v>35.03732516552391</c:v>
                </c:pt>
                <c:pt idx="85">
                  <c:v>47.445396936741197</c:v>
                </c:pt>
                <c:pt idx="86">
                  <c:v>25.443091563167364</c:v>
                </c:pt>
                <c:pt idx="87">
                  <c:v>87.056150377816181</c:v>
                </c:pt>
                <c:pt idx="88">
                  <c:v>51.227906158129244</c:v>
                </c:pt>
                <c:pt idx="89">
                  <c:v>58.694838091234011</c:v>
                </c:pt>
                <c:pt idx="90">
                  <c:v>34.471047606380701</c:v>
                </c:pt>
                <c:pt idx="91">
                  <c:v>96.397449469424075</c:v>
                </c:pt>
                <c:pt idx="92">
                  <c:v>10.510721626706381</c:v>
                </c:pt>
                <c:pt idx="93">
                  <c:v>124.06017734690218</c:v>
                </c:pt>
                <c:pt idx="94">
                  <c:v>13.71942207985081</c:v>
                </c:pt>
                <c:pt idx="95">
                  <c:v>15.653774801671947</c:v>
                </c:pt>
                <c:pt idx="96">
                  <c:v>38.743228223814342</c:v>
                </c:pt>
                <c:pt idx="97">
                  <c:v>111.16318515191477</c:v>
                </c:pt>
                <c:pt idx="98">
                  <c:v>145.0042664254166</c:v>
                </c:pt>
                <c:pt idx="99">
                  <c:v>81.006095970037023</c:v>
                </c:pt>
                <c:pt idx="100">
                  <c:v>16.231595532889912</c:v>
                </c:pt>
                <c:pt idx="101">
                  <c:v>89.40698814020152</c:v>
                </c:pt>
                <c:pt idx="102">
                  <c:v>36.21014641172696</c:v>
                </c:pt>
                <c:pt idx="103">
                  <c:v>44.714481671791312</c:v>
                </c:pt>
                <c:pt idx="104">
                  <c:v>54.764362665577629</c:v>
                </c:pt>
                <c:pt idx="105">
                  <c:v>112.17859592094301</c:v>
                </c:pt>
                <c:pt idx="106">
                  <c:v>52.885947796195751</c:v>
                </c:pt>
                <c:pt idx="107">
                  <c:v>10.936747609754756</c:v>
                </c:pt>
                <c:pt idx="108">
                  <c:v>28.228111314430336</c:v>
                </c:pt>
                <c:pt idx="109">
                  <c:v>21.17213711860245</c:v>
                </c:pt>
                <c:pt idx="110">
                  <c:v>57.97939006242111</c:v>
                </c:pt>
                <c:pt idx="111">
                  <c:v>8.8550033474572043</c:v>
                </c:pt>
                <c:pt idx="112">
                  <c:v>33.089295421294338</c:v>
                </c:pt>
                <c:pt idx="113">
                  <c:v>132.91380667308681</c:v>
                </c:pt>
                <c:pt idx="114">
                  <c:v>39.015354063325361</c:v>
                </c:pt>
                <c:pt idx="115">
                  <c:v>45.570864531689004</c:v>
                </c:pt>
                <c:pt idx="116">
                  <c:v>44.081098003710359</c:v>
                </c:pt>
                <c:pt idx="117">
                  <c:v>25.860836750336635</c:v>
                </c:pt>
                <c:pt idx="118">
                  <c:v>33.286353591457349</c:v>
                </c:pt>
                <c:pt idx="119">
                  <c:v>57.137092955009116</c:v>
                </c:pt>
                <c:pt idx="120">
                  <c:v>47.324354087702737</c:v>
                </c:pt>
                <c:pt idx="121">
                  <c:v>129.59099245378928</c:v>
                </c:pt>
                <c:pt idx="122">
                  <c:v>21.550661445831238</c:v>
                </c:pt>
                <c:pt idx="123">
                  <c:v>26.910688712979614</c:v>
                </c:pt>
                <c:pt idx="124">
                  <c:v>10.245339217866514</c:v>
                </c:pt>
                <c:pt idx="125">
                  <c:v>39.284107782028101</c:v>
                </c:pt>
                <c:pt idx="126">
                  <c:v>147.43079810889037</c:v>
                </c:pt>
                <c:pt idx="127">
                  <c:v>19.208132403182603</c:v>
                </c:pt>
                <c:pt idx="128">
                  <c:v>38.134233570775741</c:v>
                </c:pt>
                <c:pt idx="129">
                  <c:v>41.2871037425327</c:v>
                </c:pt>
                <c:pt idx="130">
                  <c:v>81.15531932031864</c:v>
                </c:pt>
                <c:pt idx="131">
                  <c:v>70.338275527225264</c:v>
                </c:pt>
                <c:pt idx="132">
                  <c:v>13.719729118988521</c:v>
                </c:pt>
                <c:pt idx="133">
                  <c:v>39.841598373877865</c:v>
                </c:pt>
                <c:pt idx="134">
                  <c:v>28.161111001592264</c:v>
                </c:pt>
                <c:pt idx="135">
                  <c:v>192.73855748594494</c:v>
                </c:pt>
                <c:pt idx="136">
                  <c:v>50.771959954653923</c:v>
                </c:pt>
                <c:pt idx="137">
                  <c:v>131.67078244332265</c:v>
                </c:pt>
                <c:pt idx="138">
                  <c:v>80.086206547386936</c:v>
                </c:pt>
                <c:pt idx="139">
                  <c:v>39.269341538227373</c:v>
                </c:pt>
                <c:pt idx="140">
                  <c:v>12.970870371806843</c:v>
                </c:pt>
                <c:pt idx="141">
                  <c:v>44.714481671791312</c:v>
                </c:pt>
              </c:numCache>
            </c:numRef>
          </c:yVal>
          <c:smooth val="0"/>
          <c:extLst>
            <c:ext xmlns:c16="http://schemas.microsoft.com/office/drawing/2014/chart" uri="{C3380CC4-5D6E-409C-BE32-E72D297353CC}">
              <c16:uniqueId val="{00000003-5597-4238-A5A8-7CB656C45292}"/>
            </c:ext>
          </c:extLst>
        </c:ser>
        <c:dLbls>
          <c:showLegendKey val="0"/>
          <c:showVal val="0"/>
          <c:showCatName val="0"/>
          <c:showSerName val="0"/>
          <c:showPercent val="0"/>
          <c:showBubbleSize val="0"/>
        </c:dLbls>
        <c:axId val="677306120"/>
        <c:axId val="677306512"/>
      </c:scatterChart>
      <c:valAx>
        <c:axId val="677306120"/>
        <c:scaling>
          <c:orientation val="minMax"/>
          <c:max val="60000"/>
        </c:scaling>
        <c:delete val="0"/>
        <c:axPos val="b"/>
        <c:title>
          <c:tx>
            <c:rich>
              <a:bodyPr/>
              <a:lstStyle/>
              <a:p>
                <a:pPr>
                  <a:defRPr/>
                </a:pPr>
                <a:r>
                  <a:rPr lang="en-US"/>
                  <a:t>GNI per capita PPP (international currency)</a:t>
                </a:r>
              </a:p>
            </c:rich>
          </c:tx>
          <c:overlay val="0"/>
          <c:spPr>
            <a:noFill/>
            <a:ln w="25400">
              <a:noFill/>
            </a:ln>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0" vert="horz"/>
          <a:lstStyle/>
          <a:p>
            <a:pPr>
              <a:defRPr/>
            </a:pPr>
            <a:endParaRPr lang="en-US"/>
          </a:p>
        </c:txPr>
        <c:crossAx val="677306512"/>
        <c:crosses val="autoZero"/>
        <c:crossBetween val="midCat"/>
      </c:valAx>
      <c:valAx>
        <c:axId val="67730651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a:pPr>
            <a:endParaRPr lang="en-US"/>
          </a:p>
        </c:txPr>
        <c:crossAx val="677306120"/>
        <c:crosses val="autoZero"/>
        <c:crossBetween val="midCat"/>
      </c:valAx>
      <c:spPr>
        <a:noFill/>
        <a:ln w="25400">
          <a:noFill/>
        </a:ln>
      </c:spPr>
    </c:plotArea>
    <c:plotVisOnly val="1"/>
    <c:dispBlanksAs val="gap"/>
    <c:showDLblsOverMax val="0"/>
  </c:chart>
  <c:spPr>
    <a:solidFill>
      <a:schemeClr val="bg1"/>
    </a:solidFill>
    <a:ln w="6350">
      <a:noFill/>
    </a:ln>
  </c:spPr>
  <c:txPr>
    <a:bodyPr/>
    <a:lstStyle/>
    <a:p>
      <a:pPr>
        <a:defRPr sz="800" b="0" i="0" u="none" strike="noStrike" baseline="0">
          <a:solidFill>
            <a:srgbClr val="000000"/>
          </a:solidFill>
          <a:latin typeface="+mn-lt"/>
          <a:ea typeface="Calibri"/>
          <a:cs typeface="Times New Roman" panose="02020603050405020304" pitchFamily="18" charset="0"/>
        </a:defRPr>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ysClr val="windowText" lastClr="000000"/>
                </a:solidFill>
                <a:latin typeface="+mn-lt"/>
                <a:ea typeface="+mn-ea"/>
                <a:cs typeface="Times New Roman" panose="02020603050405020304" pitchFamily="18" charset="0"/>
              </a:defRPr>
            </a:pPr>
            <a:r>
              <a:rPr lang="en-US" sz="800"/>
              <a:t>Domestic Credit: the Philippines vs. Regional Peers, 2016 (% of GDP)</a:t>
            </a:r>
          </a:p>
        </c:rich>
      </c:tx>
      <c:layout>
        <c:manualLayout>
          <c:xMode val="edge"/>
          <c:yMode val="edge"/>
          <c:x val="0.11963807155684487"/>
          <c:y val="5.7050044476657985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mn-lt"/>
              <a:ea typeface="+mn-ea"/>
              <a:cs typeface="Times New Roman" panose="02020603050405020304" pitchFamily="18" charset="0"/>
            </a:defRPr>
          </a:pPr>
          <a:endParaRPr lang="en-US"/>
        </a:p>
      </c:txPr>
    </c:title>
    <c:autoTitleDeleted val="0"/>
    <c:plotArea>
      <c:layout>
        <c:manualLayout>
          <c:layoutTarget val="inner"/>
          <c:xMode val="edge"/>
          <c:yMode val="edge"/>
          <c:x val="0.11099392181240503"/>
          <c:y val="8.8306878306878306E-2"/>
          <c:w val="0.84076046415250727"/>
          <c:h val="0.80527392409282161"/>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F044-41BA-8762-84791EB9B681}"/>
              </c:ext>
            </c:extLst>
          </c:dPt>
          <c:cat>
            <c:strRef>
              <c:f>Sheet1!$A$2:$A$11</c:f>
              <c:strCache>
                <c:ptCount val="5"/>
                <c:pt idx="0">
                  <c:v>Indonesia</c:v>
                </c:pt>
                <c:pt idx="1">
                  <c:v>Philippines</c:v>
                </c:pt>
                <c:pt idx="2">
                  <c:v>Malaysia</c:v>
                </c:pt>
                <c:pt idx="3">
                  <c:v>Thailand</c:v>
                </c:pt>
                <c:pt idx="4">
                  <c:v>China</c:v>
                </c:pt>
              </c:strCache>
              <c:extLst/>
            </c:strRef>
          </c:cat>
          <c:val>
            <c:numRef>
              <c:f>Sheet1!$B$2:$B$11</c:f>
              <c:numCache>
                <c:formatCode>General</c:formatCode>
                <c:ptCount val="5"/>
                <c:pt idx="0">
                  <c:v>39.386287141756377</c:v>
                </c:pt>
                <c:pt idx="1">
                  <c:v>44.714481671791312</c:v>
                </c:pt>
                <c:pt idx="2">
                  <c:v>124.06017734690218</c:v>
                </c:pt>
                <c:pt idx="3">
                  <c:v>147.43079810889037</c:v>
                </c:pt>
                <c:pt idx="4">
                  <c:v>156.70608190860111</c:v>
                </c:pt>
              </c:numCache>
              <c:extLst/>
            </c:numRef>
          </c:val>
          <c:extLst>
            <c:ext xmlns:c16="http://schemas.microsoft.com/office/drawing/2014/chart" uri="{C3380CC4-5D6E-409C-BE32-E72D297353CC}">
              <c16:uniqueId val="{00000002-F044-41BA-8762-84791EB9B681}"/>
            </c:ext>
          </c:extLst>
        </c:ser>
        <c:dLbls>
          <c:showLegendKey val="0"/>
          <c:showVal val="0"/>
          <c:showCatName val="0"/>
          <c:showSerName val="0"/>
          <c:showPercent val="0"/>
          <c:showBubbleSize val="0"/>
        </c:dLbls>
        <c:gapWidth val="219"/>
        <c:overlap val="-27"/>
        <c:axId val="268851887"/>
        <c:axId val="263045823"/>
      </c:barChart>
      <c:catAx>
        <c:axId val="268851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en-US"/>
          </a:p>
        </c:txPr>
        <c:crossAx val="263045823"/>
        <c:crosses val="autoZero"/>
        <c:auto val="1"/>
        <c:lblAlgn val="ctr"/>
        <c:lblOffset val="100"/>
        <c:noMultiLvlLbl val="0"/>
      </c:catAx>
      <c:valAx>
        <c:axId val="26304582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en-US"/>
          </a:p>
        </c:txPr>
        <c:crossAx val="26885188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mn-lt"/>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900" b="1"/>
              <a:t>Contribution to Growth</a:t>
            </a:r>
            <a:r>
              <a:rPr lang="en-US" sz="900" b="1" baseline="0"/>
              <a:t> in the </a:t>
            </a:r>
            <a:r>
              <a:rPr lang="en-US" sz="900" b="1"/>
              <a:t>Philippines and Regional Peers,</a:t>
            </a:r>
            <a:r>
              <a:rPr lang="en-US" sz="900" b="1" baseline="0"/>
              <a:t> 1995-2010 (Percent)</a:t>
            </a:r>
            <a:endParaRPr lang="en-US" sz="900" b="1"/>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7.0142186951040575E-2"/>
          <c:y val="0.1108031187003521"/>
          <c:w val="0.90098642197284395"/>
          <c:h val="0.49104246584561545"/>
        </c:manualLayout>
      </c:layout>
      <c:barChart>
        <c:barDir val="col"/>
        <c:grouping val="stacked"/>
        <c:varyColors val="0"/>
        <c:ser>
          <c:idx val="0"/>
          <c:order val="0"/>
          <c:tx>
            <c:strRef>
              <c:f>'[Growth Decomposition of peers(7078).xlsx]Benchmark 4'!$A$28</c:f>
              <c:strCache>
                <c:ptCount val="1"/>
                <c:pt idx="0">
                  <c:v>Capital Stock</c:v>
                </c:pt>
              </c:strCache>
            </c:strRef>
          </c:tx>
          <c:spPr>
            <a:solidFill>
              <a:schemeClr val="accent6">
                <a:lumMod val="20000"/>
                <a:lumOff val="80000"/>
              </a:schemeClr>
            </a:solidFill>
            <a:ln>
              <a:noFill/>
            </a:ln>
            <a:effectLst/>
          </c:spPr>
          <c:invertIfNegative val="0"/>
          <c:cat>
            <c:multiLvlStrRef>
              <c:f>'[Growth Decomposition of peers(7078).xlsx]Benchmark 4'!$B$26:$G$27</c:f>
              <c:multiLvlStrCache>
                <c:ptCount val="6"/>
                <c:lvl>
                  <c:pt idx="0">
                    <c:v>1995-2010</c:v>
                  </c:pt>
                  <c:pt idx="1">
                    <c:v>1995-2010</c:v>
                  </c:pt>
                  <c:pt idx="2">
                    <c:v>1995-2010</c:v>
                  </c:pt>
                  <c:pt idx="3">
                    <c:v>1995-2010</c:v>
                  </c:pt>
                  <c:pt idx="4">
                    <c:v>1995-2010</c:v>
                  </c:pt>
                  <c:pt idx="5">
                    <c:v>1995-2010</c:v>
                  </c:pt>
                </c:lvl>
                <c:lvl>
                  <c:pt idx="0">
                    <c:v>Philippines</c:v>
                  </c:pt>
                  <c:pt idx="1">
                    <c:v>China</c:v>
                  </c:pt>
                  <c:pt idx="2">
                    <c:v>Malaysia</c:v>
                  </c:pt>
                  <c:pt idx="3">
                    <c:v>Thailand</c:v>
                  </c:pt>
                  <c:pt idx="4">
                    <c:v>Indonesia</c:v>
                  </c:pt>
                  <c:pt idx="5">
                    <c:v>Vietnam</c:v>
                  </c:pt>
                </c:lvl>
              </c:multiLvlStrCache>
            </c:multiLvlStrRef>
          </c:cat>
          <c:val>
            <c:numRef>
              <c:f>'[Growth Decomposition of peers(7078).xlsx]Benchmark 4'!$B$28:$G$28</c:f>
              <c:numCache>
                <c:formatCode>0.0</c:formatCode>
                <c:ptCount val="6"/>
                <c:pt idx="0">
                  <c:v>44.4</c:v>
                </c:pt>
                <c:pt idx="1">
                  <c:v>45.972490578730394</c:v>
                </c:pt>
                <c:pt idx="2">
                  <c:v>48.426991320022992</c:v>
                </c:pt>
                <c:pt idx="3">
                  <c:v>46.872525034120571</c:v>
                </c:pt>
                <c:pt idx="4">
                  <c:v>73</c:v>
                </c:pt>
                <c:pt idx="5">
                  <c:v>61.903762579344914</c:v>
                </c:pt>
              </c:numCache>
            </c:numRef>
          </c:val>
          <c:extLst>
            <c:ext xmlns:c16="http://schemas.microsoft.com/office/drawing/2014/chart" uri="{C3380CC4-5D6E-409C-BE32-E72D297353CC}">
              <c16:uniqueId val="{00000000-DF9E-40AD-9E91-E46E1C5E7BB5}"/>
            </c:ext>
          </c:extLst>
        </c:ser>
        <c:ser>
          <c:idx val="1"/>
          <c:order val="1"/>
          <c:tx>
            <c:strRef>
              <c:f>'[Growth Decomposition of peers(7078).xlsx]Benchmark 4'!$A$29</c:f>
              <c:strCache>
                <c:ptCount val="1"/>
                <c:pt idx="0">
                  <c:v>Labor</c:v>
                </c:pt>
              </c:strCache>
            </c:strRef>
          </c:tx>
          <c:spPr>
            <a:solidFill>
              <a:schemeClr val="accent5">
                <a:lumMod val="20000"/>
                <a:lumOff val="80000"/>
              </a:schemeClr>
            </a:solidFill>
            <a:ln>
              <a:noFill/>
            </a:ln>
            <a:effectLst/>
          </c:spPr>
          <c:invertIfNegative val="0"/>
          <c:cat>
            <c:multiLvlStrRef>
              <c:f>'[Growth Decomposition of peers(7078).xlsx]Benchmark 4'!$B$26:$G$27</c:f>
              <c:multiLvlStrCache>
                <c:ptCount val="6"/>
                <c:lvl>
                  <c:pt idx="0">
                    <c:v>1995-2010</c:v>
                  </c:pt>
                  <c:pt idx="1">
                    <c:v>1995-2010</c:v>
                  </c:pt>
                  <c:pt idx="2">
                    <c:v>1995-2010</c:v>
                  </c:pt>
                  <c:pt idx="3">
                    <c:v>1995-2010</c:v>
                  </c:pt>
                  <c:pt idx="4">
                    <c:v>1995-2010</c:v>
                  </c:pt>
                  <c:pt idx="5">
                    <c:v>1995-2010</c:v>
                  </c:pt>
                </c:lvl>
                <c:lvl>
                  <c:pt idx="0">
                    <c:v>Philippines</c:v>
                  </c:pt>
                  <c:pt idx="1">
                    <c:v>China</c:v>
                  </c:pt>
                  <c:pt idx="2">
                    <c:v>Malaysia</c:v>
                  </c:pt>
                  <c:pt idx="3">
                    <c:v>Thailand</c:v>
                  </c:pt>
                  <c:pt idx="4">
                    <c:v>Indonesia</c:v>
                  </c:pt>
                  <c:pt idx="5">
                    <c:v>Vietnam</c:v>
                  </c:pt>
                </c:lvl>
              </c:multiLvlStrCache>
            </c:multiLvlStrRef>
          </c:cat>
          <c:val>
            <c:numRef>
              <c:f>'[Growth Decomposition of peers(7078).xlsx]Benchmark 4'!$B$29:$G$29</c:f>
              <c:numCache>
                <c:formatCode>0.0</c:formatCode>
                <c:ptCount val="6"/>
                <c:pt idx="0">
                  <c:v>25.1</c:v>
                </c:pt>
                <c:pt idx="1">
                  <c:v>10.46045507099109</c:v>
                </c:pt>
                <c:pt idx="2">
                  <c:v>34.299322488366933</c:v>
                </c:pt>
                <c:pt idx="3">
                  <c:v>19.212894666987598</c:v>
                </c:pt>
                <c:pt idx="4">
                  <c:v>22.8</c:v>
                </c:pt>
                <c:pt idx="5">
                  <c:v>16.726284659803948</c:v>
                </c:pt>
              </c:numCache>
            </c:numRef>
          </c:val>
          <c:extLst>
            <c:ext xmlns:c16="http://schemas.microsoft.com/office/drawing/2014/chart" uri="{C3380CC4-5D6E-409C-BE32-E72D297353CC}">
              <c16:uniqueId val="{00000001-DF9E-40AD-9E91-E46E1C5E7BB5}"/>
            </c:ext>
          </c:extLst>
        </c:ser>
        <c:ser>
          <c:idx val="2"/>
          <c:order val="2"/>
          <c:tx>
            <c:strRef>
              <c:f>'[Growth Decomposition of peers(7078).xlsx]Benchmark 4'!$A$30</c:f>
              <c:strCache>
                <c:ptCount val="1"/>
                <c:pt idx="0">
                  <c:v>Human Capital per Labor</c:v>
                </c:pt>
              </c:strCache>
            </c:strRef>
          </c:tx>
          <c:spPr>
            <a:solidFill>
              <a:schemeClr val="accent3">
                <a:lumMod val="40000"/>
                <a:lumOff val="60000"/>
              </a:schemeClr>
            </a:solidFill>
            <a:ln>
              <a:noFill/>
            </a:ln>
            <a:effectLst/>
          </c:spPr>
          <c:invertIfNegative val="0"/>
          <c:cat>
            <c:multiLvlStrRef>
              <c:f>'[Growth Decomposition of peers(7078).xlsx]Benchmark 4'!$B$26:$G$27</c:f>
              <c:multiLvlStrCache>
                <c:ptCount val="6"/>
                <c:lvl>
                  <c:pt idx="0">
                    <c:v>1995-2010</c:v>
                  </c:pt>
                  <c:pt idx="1">
                    <c:v>1995-2010</c:v>
                  </c:pt>
                  <c:pt idx="2">
                    <c:v>1995-2010</c:v>
                  </c:pt>
                  <c:pt idx="3">
                    <c:v>1995-2010</c:v>
                  </c:pt>
                  <c:pt idx="4">
                    <c:v>1995-2010</c:v>
                  </c:pt>
                  <c:pt idx="5">
                    <c:v>1995-2010</c:v>
                  </c:pt>
                </c:lvl>
                <c:lvl>
                  <c:pt idx="0">
                    <c:v>Philippines</c:v>
                  </c:pt>
                  <c:pt idx="1">
                    <c:v>China</c:v>
                  </c:pt>
                  <c:pt idx="2">
                    <c:v>Malaysia</c:v>
                  </c:pt>
                  <c:pt idx="3">
                    <c:v>Thailand</c:v>
                  </c:pt>
                  <c:pt idx="4">
                    <c:v>Indonesia</c:v>
                  </c:pt>
                  <c:pt idx="5">
                    <c:v>Vietnam</c:v>
                  </c:pt>
                </c:lvl>
              </c:multiLvlStrCache>
            </c:multiLvlStrRef>
          </c:cat>
          <c:val>
            <c:numRef>
              <c:f>'[Growth Decomposition of peers(7078).xlsx]Benchmark 4'!$B$30:$G$30</c:f>
              <c:numCache>
                <c:formatCode>0.0</c:formatCode>
                <c:ptCount val="6"/>
                <c:pt idx="0">
                  <c:v>4.5999999999999996</c:v>
                </c:pt>
                <c:pt idx="1">
                  <c:v>3.7812408968042015</c:v>
                </c:pt>
                <c:pt idx="2">
                  <c:v>15.603201575216987</c:v>
                </c:pt>
                <c:pt idx="3">
                  <c:v>14.248308553074256</c:v>
                </c:pt>
                <c:pt idx="4">
                  <c:v>12.3</c:v>
                </c:pt>
                <c:pt idx="5">
                  <c:v>6.460023642606755</c:v>
                </c:pt>
              </c:numCache>
            </c:numRef>
          </c:val>
          <c:extLst>
            <c:ext xmlns:c16="http://schemas.microsoft.com/office/drawing/2014/chart" uri="{C3380CC4-5D6E-409C-BE32-E72D297353CC}">
              <c16:uniqueId val="{00000002-DF9E-40AD-9E91-E46E1C5E7BB5}"/>
            </c:ext>
          </c:extLst>
        </c:ser>
        <c:ser>
          <c:idx val="3"/>
          <c:order val="3"/>
          <c:tx>
            <c:strRef>
              <c:f>'[Growth Decomposition of peers(7078).xlsx]Benchmark 4'!$A$31</c:f>
              <c:strCache>
                <c:ptCount val="1"/>
                <c:pt idx="0">
                  <c:v>Total Factor Productivity</c:v>
                </c:pt>
              </c:strCache>
            </c:strRef>
          </c:tx>
          <c:spPr>
            <a:solidFill>
              <a:srgbClr val="FF0000"/>
            </a:solidFill>
            <a:ln>
              <a:noFill/>
            </a:ln>
            <a:effectLst/>
          </c:spPr>
          <c:invertIfNegative val="0"/>
          <c:cat>
            <c:multiLvlStrRef>
              <c:f>'[Growth Decomposition of peers(7078).xlsx]Benchmark 4'!$B$26:$G$27</c:f>
              <c:multiLvlStrCache>
                <c:ptCount val="6"/>
                <c:lvl>
                  <c:pt idx="0">
                    <c:v>1995-2010</c:v>
                  </c:pt>
                  <c:pt idx="1">
                    <c:v>1995-2010</c:v>
                  </c:pt>
                  <c:pt idx="2">
                    <c:v>1995-2010</c:v>
                  </c:pt>
                  <c:pt idx="3">
                    <c:v>1995-2010</c:v>
                  </c:pt>
                  <c:pt idx="4">
                    <c:v>1995-2010</c:v>
                  </c:pt>
                  <c:pt idx="5">
                    <c:v>1995-2010</c:v>
                  </c:pt>
                </c:lvl>
                <c:lvl>
                  <c:pt idx="0">
                    <c:v>Philippines</c:v>
                  </c:pt>
                  <c:pt idx="1">
                    <c:v>China</c:v>
                  </c:pt>
                  <c:pt idx="2">
                    <c:v>Malaysia</c:v>
                  </c:pt>
                  <c:pt idx="3">
                    <c:v>Thailand</c:v>
                  </c:pt>
                  <c:pt idx="4">
                    <c:v>Indonesia</c:v>
                  </c:pt>
                  <c:pt idx="5">
                    <c:v>Vietnam</c:v>
                  </c:pt>
                </c:lvl>
              </c:multiLvlStrCache>
            </c:multiLvlStrRef>
          </c:cat>
          <c:val>
            <c:numRef>
              <c:f>'[Growth Decomposition of peers(7078).xlsx]Benchmark 4'!$B$31:$G$31</c:f>
              <c:numCache>
                <c:formatCode>0.0</c:formatCode>
                <c:ptCount val="6"/>
                <c:pt idx="0">
                  <c:v>25.9</c:v>
                </c:pt>
                <c:pt idx="1">
                  <c:v>39.785813453474312</c:v>
                </c:pt>
                <c:pt idx="2">
                  <c:v>1.6704846163930851</c:v>
                </c:pt>
                <c:pt idx="3">
                  <c:v>19.666271745817582</c:v>
                </c:pt>
                <c:pt idx="4">
                  <c:v>-8.1</c:v>
                </c:pt>
                <c:pt idx="5">
                  <c:v>14.909929118244383</c:v>
                </c:pt>
              </c:numCache>
            </c:numRef>
          </c:val>
          <c:extLst>
            <c:ext xmlns:c16="http://schemas.microsoft.com/office/drawing/2014/chart" uri="{C3380CC4-5D6E-409C-BE32-E72D297353CC}">
              <c16:uniqueId val="{00000003-DF9E-40AD-9E91-E46E1C5E7BB5}"/>
            </c:ext>
          </c:extLst>
        </c:ser>
        <c:dLbls>
          <c:showLegendKey val="0"/>
          <c:showVal val="0"/>
          <c:showCatName val="0"/>
          <c:showSerName val="0"/>
          <c:showPercent val="0"/>
          <c:showBubbleSize val="0"/>
        </c:dLbls>
        <c:gapWidth val="219"/>
        <c:overlap val="100"/>
        <c:axId val="337720664"/>
        <c:axId val="337721448"/>
      </c:barChart>
      <c:catAx>
        <c:axId val="3377206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37721448"/>
        <c:crosses val="autoZero"/>
        <c:auto val="1"/>
        <c:lblAlgn val="ctr"/>
        <c:lblOffset val="100"/>
        <c:noMultiLvlLbl val="0"/>
      </c:catAx>
      <c:valAx>
        <c:axId val="33772144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37720664"/>
        <c:crosses val="autoZero"/>
        <c:crossBetween val="between"/>
      </c:valAx>
      <c:spPr>
        <a:noFill/>
        <a:ln>
          <a:noFill/>
        </a:ln>
        <a:effectLst/>
      </c:spPr>
    </c:plotArea>
    <c:legend>
      <c:legendPos val="b"/>
      <c:layout>
        <c:manualLayout>
          <c:xMode val="edge"/>
          <c:yMode val="edge"/>
          <c:x val="0"/>
          <c:y val="0.90898038290172856"/>
          <c:w val="0.99868491569443874"/>
          <c:h val="9.101961709827145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39077285970544"/>
          <c:y val="0.11363317488539738"/>
          <c:w val="0.30220865575700567"/>
          <c:h val="0.80130507880063384"/>
        </c:manualLayout>
      </c:layout>
      <c:radarChart>
        <c:radarStyle val="marker"/>
        <c:varyColors val="0"/>
        <c:ser>
          <c:idx val="0"/>
          <c:order val="0"/>
          <c:tx>
            <c:strRef>
              <c:f>Sheet1!$A$2</c:f>
              <c:strCache>
                <c:ptCount val="1"/>
                <c:pt idx="0">
                  <c:v>China</c:v>
                </c:pt>
              </c:strCache>
            </c:strRef>
          </c:tx>
          <c:spPr>
            <a:ln w="28575" cap="rnd">
              <a:solidFill>
                <a:schemeClr val="accent1"/>
              </a:solidFill>
              <a:prstDash val="sysDash"/>
              <a:round/>
            </a:ln>
            <a:effectLst/>
          </c:spPr>
          <c:marker>
            <c:symbol val="none"/>
          </c:marker>
          <c:cat>
            <c:strRef>
              <c:f>Sheet1!$B$1:$D$1</c:f>
              <c:strCache>
                <c:ptCount val="3"/>
                <c:pt idx="0">
                  <c:v>Human Capital</c:v>
                </c:pt>
                <c:pt idx="1">
                  <c:v>Startup Skills</c:v>
                </c:pt>
                <c:pt idx="2">
                  <c:v>Opportunity Startup</c:v>
                </c:pt>
              </c:strCache>
            </c:strRef>
          </c:cat>
          <c:val>
            <c:numRef>
              <c:f>Sheet1!$B$2:$D$2</c:f>
              <c:numCache>
                <c:formatCode>0.000</c:formatCode>
                <c:ptCount val="3"/>
                <c:pt idx="0">
                  <c:v>0.52119044510721502</c:v>
                </c:pt>
                <c:pt idx="1">
                  <c:v>0.243822753952328</c:v>
                </c:pt>
                <c:pt idx="2">
                  <c:v>0.268955529784215</c:v>
                </c:pt>
              </c:numCache>
            </c:numRef>
          </c:val>
          <c:extLst>
            <c:ext xmlns:c16="http://schemas.microsoft.com/office/drawing/2014/chart" uri="{C3380CC4-5D6E-409C-BE32-E72D297353CC}">
              <c16:uniqueId val="{00000000-E3CA-42A8-B116-49D7CA3980FE}"/>
            </c:ext>
          </c:extLst>
        </c:ser>
        <c:ser>
          <c:idx val="1"/>
          <c:order val="1"/>
          <c:tx>
            <c:strRef>
              <c:f>Sheet1!$A$3</c:f>
              <c:strCache>
                <c:ptCount val="1"/>
                <c:pt idx="0">
                  <c:v>Malaysia</c:v>
                </c:pt>
              </c:strCache>
            </c:strRef>
          </c:tx>
          <c:spPr>
            <a:ln w="28575" cap="rnd">
              <a:solidFill>
                <a:schemeClr val="accent5"/>
              </a:solidFill>
              <a:round/>
            </a:ln>
            <a:effectLst/>
          </c:spPr>
          <c:marker>
            <c:symbol val="none"/>
          </c:marker>
          <c:cat>
            <c:strRef>
              <c:f>Sheet1!$B$1:$D$1</c:f>
              <c:strCache>
                <c:ptCount val="3"/>
                <c:pt idx="0">
                  <c:v>Human Capital</c:v>
                </c:pt>
                <c:pt idx="1">
                  <c:v>Startup Skills</c:v>
                </c:pt>
                <c:pt idx="2">
                  <c:v>Opportunity Startup</c:v>
                </c:pt>
              </c:strCache>
            </c:strRef>
          </c:cat>
          <c:val>
            <c:numRef>
              <c:f>Sheet1!$B$3:$D$3</c:f>
              <c:numCache>
                <c:formatCode>0.000</c:formatCode>
                <c:ptCount val="3"/>
                <c:pt idx="0">
                  <c:v>0.62520991518034197</c:v>
                </c:pt>
                <c:pt idx="1">
                  <c:v>0.15803885306141499</c:v>
                </c:pt>
                <c:pt idx="2">
                  <c:v>0.60994580001509102</c:v>
                </c:pt>
              </c:numCache>
            </c:numRef>
          </c:val>
          <c:extLst>
            <c:ext xmlns:c16="http://schemas.microsoft.com/office/drawing/2014/chart" uri="{C3380CC4-5D6E-409C-BE32-E72D297353CC}">
              <c16:uniqueId val="{00000001-E3CA-42A8-B116-49D7CA3980FE}"/>
            </c:ext>
          </c:extLst>
        </c:ser>
        <c:ser>
          <c:idx val="4"/>
          <c:order val="4"/>
          <c:tx>
            <c:strRef>
              <c:f>Sheet1!$A$6</c:f>
              <c:strCache>
                <c:ptCount val="1"/>
                <c:pt idx="0">
                  <c:v>Philippines</c:v>
                </c:pt>
              </c:strCache>
            </c:strRef>
          </c:tx>
          <c:spPr>
            <a:ln w="28575" cap="rnd">
              <a:solidFill>
                <a:schemeClr val="tx1"/>
              </a:solidFill>
              <a:round/>
            </a:ln>
            <a:effectLst/>
          </c:spPr>
          <c:marker>
            <c:symbol val="none"/>
          </c:marker>
          <c:cat>
            <c:strRef>
              <c:f>Sheet1!$B$1:$D$1</c:f>
              <c:strCache>
                <c:ptCount val="3"/>
                <c:pt idx="0">
                  <c:v>Human Capital</c:v>
                </c:pt>
                <c:pt idx="1">
                  <c:v>Startup Skills</c:v>
                </c:pt>
                <c:pt idx="2">
                  <c:v>Opportunity Startup</c:v>
                </c:pt>
              </c:strCache>
            </c:strRef>
          </c:cat>
          <c:val>
            <c:numRef>
              <c:f>Sheet1!$B$6:$D$6</c:f>
              <c:numCache>
                <c:formatCode>0.000</c:formatCode>
                <c:ptCount val="3"/>
                <c:pt idx="0">
                  <c:v>0.43654928345912802</c:v>
                </c:pt>
                <c:pt idx="1">
                  <c:v>0.42906355495190901</c:v>
                </c:pt>
                <c:pt idx="2">
                  <c:v>0.33590386036626402</c:v>
                </c:pt>
              </c:numCache>
            </c:numRef>
          </c:val>
          <c:extLst>
            <c:ext xmlns:c16="http://schemas.microsoft.com/office/drawing/2014/chart" uri="{C3380CC4-5D6E-409C-BE32-E72D297353CC}">
              <c16:uniqueId val="{00000002-E3CA-42A8-B116-49D7CA3980FE}"/>
            </c:ext>
          </c:extLst>
        </c:ser>
        <c:ser>
          <c:idx val="6"/>
          <c:order val="5"/>
          <c:tx>
            <c:strRef>
              <c:f>Sheet1!$A$8</c:f>
              <c:strCache>
                <c:ptCount val="1"/>
                <c:pt idx="0">
                  <c:v>Sri Lanka</c:v>
                </c:pt>
              </c:strCache>
            </c:strRef>
          </c:tx>
          <c:spPr>
            <a:ln w="28575" cap="rnd">
              <a:solidFill>
                <a:schemeClr val="accent2"/>
              </a:solidFill>
              <a:round/>
            </a:ln>
            <a:effectLst/>
          </c:spPr>
          <c:marker>
            <c:symbol val="none"/>
          </c:marker>
          <c:cat>
            <c:strRef>
              <c:f>Sheet1!$B$1:$D$1</c:f>
              <c:strCache>
                <c:ptCount val="3"/>
                <c:pt idx="0">
                  <c:v>Human Capital</c:v>
                </c:pt>
                <c:pt idx="1">
                  <c:v>Startup Skills</c:v>
                </c:pt>
                <c:pt idx="2">
                  <c:v>Opportunity Startup</c:v>
                </c:pt>
              </c:strCache>
            </c:strRef>
          </c:cat>
          <c:val>
            <c:numRef>
              <c:f>Sheet1!$B$8:$D$8</c:f>
              <c:numCache>
                <c:formatCode>0.000</c:formatCode>
                <c:ptCount val="3"/>
                <c:pt idx="0">
                  <c:v>0.31096306640891602</c:v>
                </c:pt>
                <c:pt idx="1">
                  <c:v>0.160771316313156</c:v>
                </c:pt>
                <c:pt idx="2">
                  <c:v>0.248363779647778</c:v>
                </c:pt>
              </c:numCache>
            </c:numRef>
          </c:val>
          <c:extLst>
            <c:ext xmlns:c16="http://schemas.microsoft.com/office/drawing/2014/chart" uri="{C3380CC4-5D6E-409C-BE32-E72D297353CC}">
              <c16:uniqueId val="{00000003-E3CA-42A8-B116-49D7CA3980FE}"/>
            </c:ext>
          </c:extLst>
        </c:ser>
        <c:ser>
          <c:idx val="8"/>
          <c:order val="7"/>
          <c:tx>
            <c:strRef>
              <c:f>Sheet1!$A$10</c:f>
              <c:strCache>
                <c:ptCount val="1"/>
                <c:pt idx="0">
                  <c:v>Kenya</c:v>
                </c:pt>
              </c:strCache>
            </c:strRef>
          </c:tx>
          <c:spPr>
            <a:ln w="28575" cap="rnd">
              <a:solidFill>
                <a:schemeClr val="accent2"/>
              </a:solidFill>
              <a:prstDash val="sysDot"/>
              <a:round/>
            </a:ln>
            <a:effectLst/>
          </c:spPr>
          <c:marker>
            <c:symbol val="none"/>
          </c:marker>
          <c:cat>
            <c:strRef>
              <c:f>Sheet1!$B$1:$D$1</c:f>
              <c:strCache>
                <c:ptCount val="3"/>
                <c:pt idx="0">
                  <c:v>Human Capital</c:v>
                </c:pt>
                <c:pt idx="1">
                  <c:v>Startup Skills</c:v>
                </c:pt>
                <c:pt idx="2">
                  <c:v>Opportunity Startup</c:v>
                </c:pt>
              </c:strCache>
            </c:strRef>
          </c:cat>
          <c:val>
            <c:numRef>
              <c:f>Sheet1!$B$10:$D$10</c:f>
              <c:numCache>
                <c:formatCode>0.000</c:formatCode>
                <c:ptCount val="3"/>
                <c:pt idx="0">
                  <c:v>0.16379534029994899</c:v>
                </c:pt>
                <c:pt idx="1">
                  <c:v>4.6411303869604799E-2</c:v>
                </c:pt>
                <c:pt idx="2">
                  <c:v>0.222150830691829</c:v>
                </c:pt>
              </c:numCache>
            </c:numRef>
          </c:val>
          <c:extLst>
            <c:ext xmlns:c16="http://schemas.microsoft.com/office/drawing/2014/chart" uri="{C3380CC4-5D6E-409C-BE32-E72D297353CC}">
              <c16:uniqueId val="{00000004-E3CA-42A8-B116-49D7CA3980FE}"/>
            </c:ext>
          </c:extLst>
        </c:ser>
        <c:dLbls>
          <c:showLegendKey val="0"/>
          <c:showVal val="0"/>
          <c:showCatName val="0"/>
          <c:showSerName val="0"/>
          <c:showPercent val="0"/>
          <c:showBubbleSize val="0"/>
        </c:dLbls>
        <c:axId val="-1202490464"/>
        <c:axId val="-1200808784"/>
        <c:extLst>
          <c:ext xmlns:c15="http://schemas.microsoft.com/office/drawing/2012/chart" uri="{02D57815-91ED-43cb-92C2-25804820EDAC}">
            <c15:filteredRadarSeries>
              <c15:ser>
                <c:idx val="2"/>
                <c:order val="2"/>
                <c:tx>
                  <c:strRef>
                    <c:extLst>
                      <c:ext uri="{02D57815-91ED-43cb-92C2-25804820EDAC}">
                        <c15:formulaRef>
                          <c15:sqref>Sheet1!$A$4</c15:sqref>
                        </c15:formulaRef>
                      </c:ext>
                    </c:extLst>
                    <c:strCache>
                      <c:ptCount val="1"/>
                      <c:pt idx="0">
                        <c:v>Morocco</c:v>
                      </c:pt>
                    </c:strCache>
                  </c:strRef>
                </c:tx>
                <c:spPr>
                  <a:ln w="28575" cap="rnd">
                    <a:solidFill>
                      <a:schemeClr val="accent3"/>
                    </a:solidFill>
                    <a:round/>
                  </a:ln>
                  <a:effectLst/>
                </c:spPr>
                <c:marker>
                  <c:symbol val="none"/>
                </c:marker>
                <c:cat>
                  <c:strRef>
                    <c:extLst>
                      <c:ext uri="{02D57815-91ED-43cb-92C2-25804820EDAC}">
                        <c15:formulaRef>
                          <c15:sqref>Sheet1!$B$1:$D$1</c15:sqref>
                        </c15:formulaRef>
                      </c:ext>
                    </c:extLst>
                    <c:strCache>
                      <c:ptCount val="3"/>
                      <c:pt idx="0">
                        <c:v>Human Capital</c:v>
                      </c:pt>
                      <c:pt idx="1">
                        <c:v>Startup Skills</c:v>
                      </c:pt>
                      <c:pt idx="2">
                        <c:v>Opportunity Startup</c:v>
                      </c:pt>
                    </c:strCache>
                  </c:strRef>
                </c:cat>
                <c:val>
                  <c:numRef>
                    <c:extLst>
                      <c:ext uri="{02D57815-91ED-43cb-92C2-25804820EDAC}">
                        <c15:formulaRef>
                          <c15:sqref>Sheet1!$B$4:$D$4</c15:sqref>
                        </c15:formulaRef>
                      </c:ext>
                    </c:extLst>
                    <c:numCache>
                      <c:formatCode>0.000</c:formatCode>
                      <c:ptCount val="3"/>
                      <c:pt idx="0">
                        <c:v>0.128773634695942</c:v>
                      </c:pt>
                      <c:pt idx="1">
                        <c:v>0.25492988108694098</c:v>
                      </c:pt>
                      <c:pt idx="2">
                        <c:v>0.42194725483151302</c:v>
                      </c:pt>
                    </c:numCache>
                  </c:numRef>
                </c:val>
                <c:extLst>
                  <c:ext xmlns:c16="http://schemas.microsoft.com/office/drawing/2014/chart" uri="{C3380CC4-5D6E-409C-BE32-E72D297353CC}">
                    <c16:uniqueId val="{00000005-E3CA-42A8-B116-49D7CA3980FE}"/>
                  </c:ext>
                </c:extLst>
              </c15:ser>
            </c15:filteredRadarSeries>
            <c15:filteredRadarSeries>
              <c15:ser>
                <c:idx val="3"/>
                <c:order val="3"/>
                <c:tx>
                  <c:strRef>
                    <c:extLst xmlns:c15="http://schemas.microsoft.com/office/drawing/2012/chart">
                      <c:ext xmlns:c15="http://schemas.microsoft.com/office/drawing/2012/chart" uri="{02D57815-91ED-43cb-92C2-25804820EDAC}">
                        <c15:formulaRef>
                          <c15:sqref>Sheet1!$A$5</c15:sqref>
                        </c15:formulaRef>
                      </c:ext>
                    </c:extLst>
                    <c:strCache>
                      <c:ptCount val="1"/>
                      <c:pt idx="0">
                        <c:v>Thailand</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Sheet1!$B$1:$D$1</c15:sqref>
                        </c15:formulaRef>
                      </c:ext>
                    </c:extLst>
                    <c:strCache>
                      <c:ptCount val="3"/>
                      <c:pt idx="0">
                        <c:v>Human Capital</c:v>
                      </c:pt>
                      <c:pt idx="1">
                        <c:v>Startup Skills</c:v>
                      </c:pt>
                      <c:pt idx="2">
                        <c:v>Opportunity Startup</c:v>
                      </c:pt>
                    </c:strCache>
                  </c:strRef>
                </c:cat>
                <c:val>
                  <c:numRef>
                    <c:extLst xmlns:c15="http://schemas.microsoft.com/office/drawing/2012/chart">
                      <c:ext xmlns:c15="http://schemas.microsoft.com/office/drawing/2012/chart" uri="{02D57815-91ED-43cb-92C2-25804820EDAC}">
                        <c15:formulaRef>
                          <c15:sqref>Sheet1!$B$5:$D$5</c15:sqref>
                        </c15:formulaRef>
                      </c:ext>
                    </c:extLst>
                    <c:numCache>
                      <c:formatCode>0.000</c:formatCode>
                      <c:ptCount val="3"/>
                      <c:pt idx="0">
                        <c:v>0.486464643886518</c:v>
                      </c:pt>
                      <c:pt idx="1">
                        <c:v>0.38334188281686099</c:v>
                      </c:pt>
                      <c:pt idx="2">
                        <c:v>0.34384964940623403</c:v>
                      </c:pt>
                    </c:numCache>
                  </c:numRef>
                </c:val>
                <c:extLst xmlns:c15="http://schemas.microsoft.com/office/drawing/2012/chart">
                  <c:ext xmlns:c16="http://schemas.microsoft.com/office/drawing/2014/chart" uri="{C3380CC4-5D6E-409C-BE32-E72D297353CC}">
                    <c16:uniqueId val="{00000006-E3CA-42A8-B116-49D7CA3980FE}"/>
                  </c:ext>
                </c:extLst>
              </c15:ser>
            </c15:filteredRadarSeries>
            <c15:filteredRadarSeries>
              <c15:ser>
                <c:idx val="7"/>
                <c:order val="6"/>
                <c:tx>
                  <c:strRef>
                    <c:extLst xmlns:c15="http://schemas.microsoft.com/office/drawing/2012/chart">
                      <c:ext xmlns:c15="http://schemas.microsoft.com/office/drawing/2012/chart" uri="{02D57815-91ED-43cb-92C2-25804820EDAC}">
                        <c15:formulaRef>
                          <c15:sqref>Sheet1!$A$9</c15:sqref>
                        </c15:formulaRef>
                      </c:ext>
                    </c:extLst>
                    <c:strCache>
                      <c:ptCount val="1"/>
                      <c:pt idx="0">
                        <c:v>Indonesia</c:v>
                      </c:pt>
                    </c:strCache>
                  </c:strRef>
                </c:tx>
                <c:spPr>
                  <a:ln w="28575" cap="rnd">
                    <a:solidFill>
                      <a:schemeClr val="accent2">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Sheet1!$B$1:$D$1</c15:sqref>
                        </c15:formulaRef>
                      </c:ext>
                    </c:extLst>
                    <c:strCache>
                      <c:ptCount val="3"/>
                      <c:pt idx="0">
                        <c:v>Human Capital</c:v>
                      </c:pt>
                      <c:pt idx="1">
                        <c:v>Startup Skills</c:v>
                      </c:pt>
                      <c:pt idx="2">
                        <c:v>Opportunity Startup</c:v>
                      </c:pt>
                    </c:strCache>
                  </c:strRef>
                </c:cat>
                <c:val>
                  <c:numRef>
                    <c:extLst xmlns:c15="http://schemas.microsoft.com/office/drawing/2012/chart">
                      <c:ext xmlns:c15="http://schemas.microsoft.com/office/drawing/2012/chart" uri="{02D57815-91ED-43cb-92C2-25804820EDAC}">
                        <c15:formulaRef>
                          <c15:sqref>Sheet1!$B$9:$D$9</c15:sqref>
                        </c15:formulaRef>
                      </c:ext>
                    </c:extLst>
                    <c:numCache>
                      <c:formatCode>0.000</c:formatCode>
                      <c:ptCount val="3"/>
                      <c:pt idx="0">
                        <c:v>0.160168600507239</c:v>
                      </c:pt>
                      <c:pt idx="1">
                        <c:v>0.285197095422215</c:v>
                      </c:pt>
                      <c:pt idx="2">
                        <c:v>0.30987583752673498</c:v>
                      </c:pt>
                    </c:numCache>
                  </c:numRef>
                </c:val>
                <c:extLst xmlns:c15="http://schemas.microsoft.com/office/drawing/2012/chart">
                  <c:ext xmlns:c16="http://schemas.microsoft.com/office/drawing/2014/chart" uri="{C3380CC4-5D6E-409C-BE32-E72D297353CC}">
                    <c16:uniqueId val="{00000007-E3CA-42A8-B116-49D7CA3980FE}"/>
                  </c:ext>
                </c:extLst>
              </c15:ser>
            </c15:filteredRadarSeries>
            <c15:filteredRadarSeries>
              <c15:ser>
                <c:idx val="9"/>
                <c:order val="8"/>
                <c:tx>
                  <c:strRef>
                    <c:extLst xmlns:c15="http://schemas.microsoft.com/office/drawing/2012/chart">
                      <c:ext xmlns:c15="http://schemas.microsoft.com/office/drawing/2012/chart" uri="{02D57815-91ED-43cb-92C2-25804820EDAC}">
                        <c15:formulaRef>
                          <c15:sqref>Sheet1!$A$11</c15:sqref>
                        </c15:formulaRef>
                      </c:ext>
                    </c:extLst>
                    <c:strCache>
                      <c:ptCount val="1"/>
                      <c:pt idx="0">
                        <c:v>Pakistan</c:v>
                      </c:pt>
                    </c:strCache>
                  </c:strRef>
                </c:tx>
                <c:spPr>
                  <a:ln w="28575" cap="rnd">
                    <a:solidFill>
                      <a:schemeClr val="accent4">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Sheet1!$B$1:$D$1</c15:sqref>
                        </c15:formulaRef>
                      </c:ext>
                    </c:extLst>
                    <c:strCache>
                      <c:ptCount val="3"/>
                      <c:pt idx="0">
                        <c:v>Human Capital</c:v>
                      </c:pt>
                      <c:pt idx="1">
                        <c:v>Startup Skills</c:v>
                      </c:pt>
                      <c:pt idx="2">
                        <c:v>Opportunity Startup</c:v>
                      </c:pt>
                    </c:strCache>
                  </c:strRef>
                </c:cat>
                <c:val>
                  <c:numRef>
                    <c:extLst xmlns:c15="http://schemas.microsoft.com/office/drawing/2012/chart">
                      <c:ext xmlns:c15="http://schemas.microsoft.com/office/drawing/2012/chart" uri="{02D57815-91ED-43cb-92C2-25804820EDAC}">
                        <c15:formulaRef>
                          <c15:sqref>Sheet1!$B$11:$D$11</c15:sqref>
                        </c15:formulaRef>
                      </c:ext>
                    </c:extLst>
                    <c:numCache>
                      <c:formatCode>0.000</c:formatCode>
                      <c:ptCount val="3"/>
                      <c:pt idx="0">
                        <c:v>9.9937259499211506E-2</c:v>
                      </c:pt>
                      <c:pt idx="1">
                        <c:v>5.9882434149764803E-2</c:v>
                      </c:pt>
                      <c:pt idx="2">
                        <c:v>0.108059094363081</c:v>
                      </c:pt>
                    </c:numCache>
                  </c:numRef>
                </c:val>
                <c:extLst xmlns:c15="http://schemas.microsoft.com/office/drawing/2012/chart">
                  <c:ext xmlns:c16="http://schemas.microsoft.com/office/drawing/2014/chart" uri="{C3380CC4-5D6E-409C-BE32-E72D297353CC}">
                    <c16:uniqueId val="{00000008-E3CA-42A8-B116-49D7CA3980FE}"/>
                  </c:ext>
                </c:extLst>
              </c15:ser>
            </c15:filteredRadarSeries>
            <c15:filteredRadarSeries>
              <c15:ser>
                <c:idx val="10"/>
                <c:order val="9"/>
                <c:tx>
                  <c:strRef>
                    <c:extLst xmlns:c15="http://schemas.microsoft.com/office/drawing/2012/chart">
                      <c:ext xmlns:c15="http://schemas.microsoft.com/office/drawing/2012/chart" uri="{02D57815-91ED-43cb-92C2-25804820EDAC}">
                        <c15:formulaRef>
                          <c15:sqref>Sheet1!$A$12</c15:sqref>
                        </c15:formulaRef>
                      </c:ext>
                    </c:extLst>
                    <c:strCache>
                      <c:ptCount val="1"/>
                      <c:pt idx="0">
                        <c:v>Bangladesh</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Sheet1!$B$1:$D$1</c15:sqref>
                        </c15:formulaRef>
                      </c:ext>
                    </c:extLst>
                    <c:strCache>
                      <c:ptCount val="3"/>
                      <c:pt idx="0">
                        <c:v>Human Capital</c:v>
                      </c:pt>
                      <c:pt idx="1">
                        <c:v>Startup Skills</c:v>
                      </c:pt>
                      <c:pt idx="2">
                        <c:v>Opportunity Startup</c:v>
                      </c:pt>
                    </c:strCache>
                  </c:strRef>
                </c:cat>
                <c:val>
                  <c:numRef>
                    <c:extLst xmlns:c15="http://schemas.microsoft.com/office/drawing/2012/chart">
                      <c:ext xmlns:c15="http://schemas.microsoft.com/office/drawing/2012/chart" uri="{02D57815-91ED-43cb-92C2-25804820EDAC}">
                        <c15:formulaRef>
                          <c15:sqref>Sheet1!$B$12:$D$12</c15:sqref>
                        </c15:formulaRef>
                      </c:ext>
                    </c:extLst>
                    <c:numCache>
                      <c:formatCode>0.000</c:formatCode>
                      <c:ptCount val="3"/>
                      <c:pt idx="0">
                        <c:v>0.127361433886167</c:v>
                      </c:pt>
                      <c:pt idx="1">
                        <c:v>3.8334953484517598E-2</c:v>
                      </c:pt>
                      <c:pt idx="2">
                        <c:v>0.31891887327878099</c:v>
                      </c:pt>
                    </c:numCache>
                  </c:numRef>
                </c:val>
                <c:extLst xmlns:c15="http://schemas.microsoft.com/office/drawing/2012/chart">
                  <c:ext xmlns:c16="http://schemas.microsoft.com/office/drawing/2014/chart" uri="{C3380CC4-5D6E-409C-BE32-E72D297353CC}">
                    <c16:uniqueId val="{00000009-E3CA-42A8-B116-49D7CA3980FE}"/>
                  </c:ext>
                </c:extLst>
              </c15:ser>
            </c15:filteredRadarSeries>
          </c:ext>
        </c:extLst>
      </c:radarChart>
      <c:catAx>
        <c:axId val="-120249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00808784"/>
        <c:crosses val="autoZero"/>
        <c:auto val="1"/>
        <c:lblAlgn val="ctr"/>
        <c:lblOffset val="100"/>
        <c:noMultiLvlLbl val="0"/>
      </c:catAx>
      <c:valAx>
        <c:axId val="-1200808784"/>
        <c:scaling>
          <c:orientation val="minMax"/>
        </c:scaling>
        <c:delete val="1"/>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crossAx val="-1202490464"/>
        <c:crosses val="autoZero"/>
        <c:crossBetween val="between"/>
      </c:valAx>
      <c:spPr>
        <a:noFill/>
        <a:ln>
          <a:noFill/>
        </a:ln>
        <a:effectLst/>
      </c:spPr>
    </c:plotArea>
    <c:legend>
      <c:legendPos val="r"/>
      <c:layout>
        <c:manualLayout>
          <c:xMode val="edge"/>
          <c:yMode val="edge"/>
          <c:x val="0.780077480717981"/>
          <c:y val="0.154553748258458"/>
          <c:w val="0.20763280789517399"/>
          <c:h val="0.690892261811977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20302105452999"/>
          <c:y val="0.18820476294434299"/>
          <c:w val="0.49684269221375399"/>
          <c:h val="0.65456904496782398"/>
        </c:manualLayout>
      </c:layout>
      <c:radarChart>
        <c:radarStyle val="marker"/>
        <c:varyColors val="0"/>
        <c:ser>
          <c:idx val="0"/>
          <c:order val="0"/>
          <c:tx>
            <c:strRef>
              <c:f>Sheet1!$B$1</c:f>
              <c:strCache>
                <c:ptCount val="1"/>
                <c:pt idx="0">
                  <c:v>Philippines</c:v>
                </c:pt>
              </c:strCache>
            </c:strRef>
          </c:tx>
          <c:spPr>
            <a:ln w="28575" cap="rnd">
              <a:solidFill>
                <a:schemeClr val="tx1"/>
              </a:solidFill>
              <a:round/>
            </a:ln>
            <a:effectLst/>
          </c:spPr>
          <c:marker>
            <c:symbol val="none"/>
          </c:marker>
          <c:cat>
            <c:strRef>
              <c:f>Sheet1!$A$2:$A$8</c:f>
              <c:strCache>
                <c:ptCount val="7"/>
                <c:pt idx="0">
                  <c:v>Quality of education</c:v>
                </c:pt>
                <c:pt idx="1">
                  <c:v>Country capacity to retain talent</c:v>
                </c:pt>
                <c:pt idx="2">
                  <c:v>Country capacity to attract talent</c:v>
                </c:pt>
                <c:pt idx="3">
                  <c:v>Quality of scientific research institutions</c:v>
                </c:pt>
                <c:pt idx="4">
                  <c:v>University-industry collaboration in R&amp;D</c:v>
                </c:pt>
                <c:pt idx="5">
                  <c:v>Gov’t procurement of advanced tech products</c:v>
                </c:pt>
                <c:pt idx="6">
                  <c:v>Availability of scientists and engineers</c:v>
                </c:pt>
              </c:strCache>
            </c:strRef>
          </c:cat>
          <c:val>
            <c:numRef>
              <c:f>Sheet1!$B$2:$B$8</c:f>
              <c:numCache>
                <c:formatCode>General</c:formatCode>
                <c:ptCount val="7"/>
                <c:pt idx="0">
                  <c:v>4.3122189044999946</c:v>
                </c:pt>
                <c:pt idx="1">
                  <c:v>3.5982298849999999</c:v>
                </c:pt>
                <c:pt idx="2">
                  <c:v>3.2849638460000001</c:v>
                </c:pt>
                <c:pt idx="3">
                  <c:v>3.6804237369999999</c:v>
                </c:pt>
                <c:pt idx="4">
                  <c:v>3.5233416559999999</c:v>
                </c:pt>
                <c:pt idx="5">
                  <c:v>3.0456507209999999</c:v>
                </c:pt>
                <c:pt idx="6">
                  <c:v>3.829318523</c:v>
                </c:pt>
              </c:numCache>
            </c:numRef>
          </c:val>
          <c:extLst>
            <c:ext xmlns:c16="http://schemas.microsoft.com/office/drawing/2014/chart" uri="{C3380CC4-5D6E-409C-BE32-E72D297353CC}">
              <c16:uniqueId val="{00000000-5E24-4378-B038-F0DFDBF2BA93}"/>
            </c:ext>
          </c:extLst>
        </c:ser>
        <c:ser>
          <c:idx val="1"/>
          <c:order val="1"/>
          <c:tx>
            <c:strRef>
              <c:f>Sheet1!$C$1</c:f>
              <c:strCache>
                <c:ptCount val="1"/>
                <c:pt idx="0">
                  <c:v>China</c:v>
                </c:pt>
              </c:strCache>
            </c:strRef>
          </c:tx>
          <c:spPr>
            <a:ln w="28575" cap="rnd">
              <a:solidFill>
                <a:schemeClr val="accent1"/>
              </a:solidFill>
              <a:prstDash val="dash"/>
              <a:round/>
            </a:ln>
            <a:effectLst/>
          </c:spPr>
          <c:marker>
            <c:symbol val="none"/>
          </c:marker>
          <c:cat>
            <c:strRef>
              <c:f>Sheet1!$A$2:$A$8</c:f>
              <c:strCache>
                <c:ptCount val="7"/>
                <c:pt idx="0">
                  <c:v>Quality of education</c:v>
                </c:pt>
                <c:pt idx="1">
                  <c:v>Country capacity to retain talent</c:v>
                </c:pt>
                <c:pt idx="2">
                  <c:v>Country capacity to attract talent</c:v>
                </c:pt>
                <c:pt idx="3">
                  <c:v>Quality of scientific research institutions</c:v>
                </c:pt>
                <c:pt idx="4">
                  <c:v>University-industry collaboration in R&amp;D</c:v>
                </c:pt>
                <c:pt idx="5">
                  <c:v>Gov’t procurement of advanced tech products</c:v>
                </c:pt>
                <c:pt idx="6">
                  <c:v>Availability of scientists and engineers</c:v>
                </c:pt>
              </c:strCache>
            </c:strRef>
          </c:cat>
          <c:val>
            <c:numRef>
              <c:f>Sheet1!$C$2:$C$8</c:f>
              <c:numCache>
                <c:formatCode>General</c:formatCode>
                <c:ptCount val="7"/>
                <c:pt idx="0">
                  <c:v>4.5138288737500014</c:v>
                </c:pt>
                <c:pt idx="1">
                  <c:v>4.3328776359999956</c:v>
                </c:pt>
                <c:pt idx="2">
                  <c:v>4.4838027949999999</c:v>
                </c:pt>
                <c:pt idx="3">
                  <c:v>4.6324539179999871</c:v>
                </c:pt>
                <c:pt idx="4">
                  <c:v>4.3899250030000001</c:v>
                </c:pt>
                <c:pt idx="5">
                  <c:v>4.527251243999987</c:v>
                </c:pt>
                <c:pt idx="6">
                  <c:v>4.6790981289999998</c:v>
                </c:pt>
              </c:numCache>
            </c:numRef>
          </c:val>
          <c:extLst>
            <c:ext xmlns:c16="http://schemas.microsoft.com/office/drawing/2014/chart" uri="{C3380CC4-5D6E-409C-BE32-E72D297353CC}">
              <c16:uniqueId val="{00000001-5E24-4378-B038-F0DFDBF2BA93}"/>
            </c:ext>
          </c:extLst>
        </c:ser>
        <c:ser>
          <c:idx val="3"/>
          <c:order val="3"/>
          <c:tx>
            <c:strRef>
              <c:f>Sheet1!$E$1</c:f>
              <c:strCache>
                <c:ptCount val="1"/>
                <c:pt idx="0">
                  <c:v>Malaysia</c:v>
                </c:pt>
              </c:strCache>
            </c:strRef>
          </c:tx>
          <c:spPr>
            <a:ln w="28575" cap="rnd">
              <a:solidFill>
                <a:schemeClr val="accent5"/>
              </a:solidFill>
              <a:prstDash val="solid"/>
              <a:round/>
            </a:ln>
            <a:effectLst/>
          </c:spPr>
          <c:marker>
            <c:symbol val="none"/>
          </c:marker>
          <c:cat>
            <c:strRef>
              <c:f>Sheet1!$A$2:$A$8</c:f>
              <c:strCache>
                <c:ptCount val="7"/>
                <c:pt idx="0">
                  <c:v>Quality of education</c:v>
                </c:pt>
                <c:pt idx="1">
                  <c:v>Country capacity to retain talent</c:v>
                </c:pt>
                <c:pt idx="2">
                  <c:v>Country capacity to attract talent</c:v>
                </c:pt>
                <c:pt idx="3">
                  <c:v>Quality of scientific research institutions</c:v>
                </c:pt>
                <c:pt idx="4">
                  <c:v>University-industry collaboration in R&amp;D</c:v>
                </c:pt>
                <c:pt idx="5">
                  <c:v>Gov’t procurement of advanced tech products</c:v>
                </c:pt>
                <c:pt idx="6">
                  <c:v>Availability of scientists and engineers</c:v>
                </c:pt>
              </c:strCache>
            </c:strRef>
          </c:cat>
          <c:val>
            <c:numRef>
              <c:f>Sheet1!$E$2:$E$8</c:f>
              <c:numCache>
                <c:formatCode>General</c:formatCode>
                <c:ptCount val="7"/>
                <c:pt idx="0">
                  <c:v>5.2581291197500004</c:v>
                </c:pt>
                <c:pt idx="1">
                  <c:v>5.0913734440000002</c:v>
                </c:pt>
                <c:pt idx="2">
                  <c:v>4.9003310200000003</c:v>
                </c:pt>
                <c:pt idx="3">
                  <c:v>5.1552577020000001</c:v>
                </c:pt>
                <c:pt idx="4">
                  <c:v>5.1762146949999996</c:v>
                </c:pt>
                <c:pt idx="5">
                  <c:v>4.9576129910000004</c:v>
                </c:pt>
                <c:pt idx="6">
                  <c:v>5.3304743769999812</c:v>
                </c:pt>
              </c:numCache>
            </c:numRef>
          </c:val>
          <c:extLst>
            <c:ext xmlns:c16="http://schemas.microsoft.com/office/drawing/2014/chart" uri="{C3380CC4-5D6E-409C-BE32-E72D297353CC}">
              <c16:uniqueId val="{00000002-5E24-4378-B038-F0DFDBF2BA93}"/>
            </c:ext>
          </c:extLst>
        </c:ser>
        <c:ser>
          <c:idx val="5"/>
          <c:order val="5"/>
          <c:tx>
            <c:strRef>
              <c:f>Sheet1!$G$1</c:f>
              <c:strCache>
                <c:ptCount val="1"/>
                <c:pt idx="0">
                  <c:v>Sri Lanka</c:v>
                </c:pt>
              </c:strCache>
            </c:strRef>
          </c:tx>
          <c:spPr>
            <a:ln w="28575" cap="rnd">
              <a:solidFill>
                <a:schemeClr val="accent2"/>
              </a:solidFill>
              <a:round/>
            </a:ln>
            <a:effectLst/>
          </c:spPr>
          <c:marker>
            <c:symbol val="none"/>
          </c:marker>
          <c:cat>
            <c:strRef>
              <c:f>Sheet1!$A$2:$A$8</c:f>
              <c:strCache>
                <c:ptCount val="7"/>
                <c:pt idx="0">
                  <c:v>Quality of education</c:v>
                </c:pt>
                <c:pt idx="1">
                  <c:v>Country capacity to retain talent</c:v>
                </c:pt>
                <c:pt idx="2">
                  <c:v>Country capacity to attract talent</c:v>
                </c:pt>
                <c:pt idx="3">
                  <c:v>Quality of scientific research institutions</c:v>
                </c:pt>
                <c:pt idx="4">
                  <c:v>University-industry collaboration in R&amp;D</c:v>
                </c:pt>
                <c:pt idx="5">
                  <c:v>Gov’t procurement of advanced tech products</c:v>
                </c:pt>
                <c:pt idx="6">
                  <c:v>Availability of scientists and engineers</c:v>
                </c:pt>
              </c:strCache>
            </c:strRef>
          </c:cat>
          <c:val>
            <c:numRef>
              <c:f>Sheet1!$G$2:$G$8</c:f>
              <c:numCache>
                <c:formatCode>General</c:formatCode>
                <c:ptCount val="7"/>
                <c:pt idx="0">
                  <c:v>4.1240323779999724</c:v>
                </c:pt>
                <c:pt idx="1">
                  <c:v>3.4264791009999991</c:v>
                </c:pt>
                <c:pt idx="2">
                  <c:v>3.0160746569999999</c:v>
                </c:pt>
                <c:pt idx="3">
                  <c:v>3.6366071699999991</c:v>
                </c:pt>
                <c:pt idx="4">
                  <c:v>3.588495016</c:v>
                </c:pt>
                <c:pt idx="5">
                  <c:v>3.3079433439999999</c:v>
                </c:pt>
                <c:pt idx="6">
                  <c:v>4.1723017689999882</c:v>
                </c:pt>
              </c:numCache>
            </c:numRef>
          </c:val>
          <c:extLst>
            <c:ext xmlns:c16="http://schemas.microsoft.com/office/drawing/2014/chart" uri="{C3380CC4-5D6E-409C-BE32-E72D297353CC}">
              <c16:uniqueId val="{00000003-5E24-4378-B038-F0DFDBF2BA93}"/>
            </c:ext>
          </c:extLst>
        </c:ser>
        <c:ser>
          <c:idx val="8"/>
          <c:order val="8"/>
          <c:tx>
            <c:strRef>
              <c:f>Sheet1!$J$1</c:f>
              <c:strCache>
                <c:ptCount val="1"/>
                <c:pt idx="0">
                  <c:v>Kenya</c:v>
                </c:pt>
              </c:strCache>
            </c:strRef>
          </c:tx>
          <c:spPr>
            <a:ln w="28575" cap="rnd">
              <a:solidFill>
                <a:schemeClr val="accent2"/>
              </a:solidFill>
              <a:prstDash val="sysDot"/>
              <a:round/>
            </a:ln>
            <a:effectLst/>
          </c:spPr>
          <c:marker>
            <c:symbol val="none"/>
          </c:marker>
          <c:cat>
            <c:strRef>
              <c:f>Sheet1!$A$2:$A$8</c:f>
              <c:strCache>
                <c:ptCount val="7"/>
                <c:pt idx="0">
                  <c:v>Quality of education</c:v>
                </c:pt>
                <c:pt idx="1">
                  <c:v>Country capacity to retain talent</c:v>
                </c:pt>
                <c:pt idx="2">
                  <c:v>Country capacity to attract talent</c:v>
                </c:pt>
                <c:pt idx="3">
                  <c:v>Quality of scientific research institutions</c:v>
                </c:pt>
                <c:pt idx="4">
                  <c:v>University-industry collaboration in R&amp;D</c:v>
                </c:pt>
                <c:pt idx="5">
                  <c:v>Gov’t procurement of advanced tech products</c:v>
                </c:pt>
                <c:pt idx="6">
                  <c:v>Availability of scientists and engineers</c:v>
                </c:pt>
              </c:strCache>
            </c:strRef>
          </c:cat>
          <c:val>
            <c:numRef>
              <c:f>Sheet1!$J$2:$J$8</c:f>
              <c:numCache>
                <c:formatCode>General</c:formatCode>
                <c:ptCount val="7"/>
                <c:pt idx="0">
                  <c:v>4.3648593427499831</c:v>
                </c:pt>
                <c:pt idx="1">
                  <c:v>3.9778685569999999</c:v>
                </c:pt>
                <c:pt idx="2">
                  <c:v>3.9969170090000001</c:v>
                </c:pt>
                <c:pt idx="3">
                  <c:v>4.2899785039999996</c:v>
                </c:pt>
                <c:pt idx="4">
                  <c:v>4.296399117</c:v>
                </c:pt>
                <c:pt idx="5">
                  <c:v>4.0392293930000003</c:v>
                </c:pt>
                <c:pt idx="6">
                  <c:v>4.4536051749999999</c:v>
                </c:pt>
              </c:numCache>
            </c:numRef>
          </c:val>
          <c:extLst>
            <c:ext xmlns:c16="http://schemas.microsoft.com/office/drawing/2014/chart" uri="{C3380CC4-5D6E-409C-BE32-E72D297353CC}">
              <c16:uniqueId val="{00000004-5E24-4378-B038-F0DFDBF2BA93}"/>
            </c:ext>
          </c:extLst>
        </c:ser>
        <c:dLbls>
          <c:showLegendKey val="0"/>
          <c:showVal val="0"/>
          <c:showCatName val="0"/>
          <c:showSerName val="0"/>
          <c:showPercent val="0"/>
          <c:showBubbleSize val="0"/>
        </c:dLbls>
        <c:axId val="-1631380976"/>
        <c:axId val="-1631379200"/>
        <c:extLst>
          <c:ext xmlns:c15="http://schemas.microsoft.com/office/drawing/2012/chart" uri="{02D57815-91ED-43cb-92C2-25804820EDAC}">
            <c15:filteredRadarSeries>
              <c15:ser>
                <c:idx val="2"/>
                <c:order val="2"/>
                <c:tx>
                  <c:strRef>
                    <c:extLst>
                      <c:ext uri="{02D57815-91ED-43cb-92C2-25804820EDAC}">
                        <c15:formulaRef>
                          <c15:sqref>Sheet1!$D$1</c15:sqref>
                        </c15:formulaRef>
                      </c:ext>
                    </c:extLst>
                    <c:strCache>
                      <c:ptCount val="1"/>
                      <c:pt idx="0">
                        <c:v>Indonesia</c:v>
                      </c:pt>
                    </c:strCache>
                  </c:strRef>
                </c:tx>
                <c:spPr>
                  <a:ln w="28575" cap="rnd">
                    <a:solidFill>
                      <a:schemeClr val="accent2"/>
                    </a:solidFill>
                    <a:prstDash val="sysDash"/>
                    <a:round/>
                  </a:ln>
                  <a:effectLst/>
                </c:spPr>
                <c:marker>
                  <c:symbol val="none"/>
                </c:marker>
                <c:cat>
                  <c:strRef>
                    <c:extLst>
                      <c:ext uri="{02D57815-91ED-43cb-92C2-25804820EDAC}">
                        <c15:formulaRef>
                          <c15:sqref>Sheet1!$A$2:$A$8</c15:sqref>
                        </c15:formulaRef>
                      </c:ext>
                    </c:extLst>
                    <c:strCache>
                      <c:ptCount val="7"/>
                      <c:pt idx="0">
                        <c:v>Quality of education</c:v>
                      </c:pt>
                      <c:pt idx="1">
                        <c:v>Country capacity to retain talent</c:v>
                      </c:pt>
                      <c:pt idx="2">
                        <c:v>Country capacity to attract talent</c:v>
                      </c:pt>
                      <c:pt idx="3">
                        <c:v>Quality of scientific research institutions</c:v>
                      </c:pt>
                      <c:pt idx="4">
                        <c:v>University-industry collaboration in R&amp;D</c:v>
                      </c:pt>
                      <c:pt idx="5">
                        <c:v>Gov’t procurement of advanced tech products</c:v>
                      </c:pt>
                      <c:pt idx="6">
                        <c:v>Availability of scientists and engineers</c:v>
                      </c:pt>
                    </c:strCache>
                  </c:strRef>
                </c:cat>
                <c:val>
                  <c:numRef>
                    <c:extLst>
                      <c:ext uri="{02D57815-91ED-43cb-92C2-25804820EDAC}">
                        <c15:formulaRef>
                          <c15:sqref>Sheet1!$D$2:$D$8</c15:sqref>
                        </c15:formulaRef>
                      </c:ext>
                    </c:extLst>
                    <c:numCache>
                      <c:formatCode>General</c:formatCode>
                      <c:ptCount val="7"/>
                      <c:pt idx="0">
                        <c:v>4.6026746034999881</c:v>
                      </c:pt>
                      <c:pt idx="1">
                        <c:v>4.3356423380000004</c:v>
                      </c:pt>
                      <c:pt idx="2">
                        <c:v>4.4549355509999753</c:v>
                      </c:pt>
                      <c:pt idx="3">
                        <c:v>4.4121923450000002</c:v>
                      </c:pt>
                      <c:pt idx="4">
                        <c:v>4.31639719</c:v>
                      </c:pt>
                      <c:pt idx="5">
                        <c:v>4.3668251040000001</c:v>
                      </c:pt>
                      <c:pt idx="6">
                        <c:v>4.5442905429999936</c:v>
                      </c:pt>
                    </c:numCache>
                  </c:numRef>
                </c:val>
                <c:extLst>
                  <c:ext xmlns:c16="http://schemas.microsoft.com/office/drawing/2014/chart" uri="{C3380CC4-5D6E-409C-BE32-E72D297353CC}">
                    <c16:uniqueId val="{00000005-5E24-4378-B038-F0DFDBF2BA93}"/>
                  </c:ext>
                </c:extLst>
              </c15:ser>
            </c15:filteredRadarSeries>
            <c15:filteredRadar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Pakistan</c:v>
                      </c:pt>
                    </c:strCache>
                  </c:strRef>
                </c:tx>
                <c:spPr>
                  <a:ln w="28575" cap="rnd">
                    <a:solidFill>
                      <a:srgbClr val="00B050"/>
                    </a:solidFill>
                    <a:round/>
                  </a:ln>
                  <a:effectLst/>
                </c:spPr>
                <c:marker>
                  <c:symbol val="none"/>
                </c:marker>
                <c:cat>
                  <c:strRef>
                    <c:extLst xmlns:c15="http://schemas.microsoft.com/office/drawing/2012/chart">
                      <c:ext xmlns:c15="http://schemas.microsoft.com/office/drawing/2012/chart" uri="{02D57815-91ED-43cb-92C2-25804820EDAC}">
                        <c15:formulaRef>
                          <c15:sqref>Sheet1!$A$2:$A$8</c15:sqref>
                        </c15:formulaRef>
                      </c:ext>
                    </c:extLst>
                    <c:strCache>
                      <c:ptCount val="7"/>
                      <c:pt idx="0">
                        <c:v>Quality of education</c:v>
                      </c:pt>
                      <c:pt idx="1">
                        <c:v>Country capacity to retain talent</c:v>
                      </c:pt>
                      <c:pt idx="2">
                        <c:v>Country capacity to attract talent</c:v>
                      </c:pt>
                      <c:pt idx="3">
                        <c:v>Quality of scientific research institutions</c:v>
                      </c:pt>
                      <c:pt idx="4">
                        <c:v>University-industry collaboration in R&amp;D</c:v>
                      </c:pt>
                      <c:pt idx="5">
                        <c:v>Gov’t procurement of advanced tech products</c:v>
                      </c:pt>
                      <c:pt idx="6">
                        <c:v>Availability of scientists and engineers</c:v>
                      </c:pt>
                    </c:strCache>
                  </c:strRef>
                </c:cat>
                <c:val>
                  <c:numRef>
                    <c:extLst xmlns:c15="http://schemas.microsoft.com/office/drawing/2012/chart">
                      <c:ext xmlns:c15="http://schemas.microsoft.com/office/drawing/2012/chart" uri="{02D57815-91ED-43cb-92C2-25804820EDAC}">
                        <c15:formulaRef>
                          <c15:sqref>Sheet1!$F$2:$F$8</c15:sqref>
                        </c15:formulaRef>
                      </c:ext>
                    </c:extLst>
                    <c:numCache>
                      <c:formatCode>General</c:formatCode>
                      <c:ptCount val="7"/>
                      <c:pt idx="0">
                        <c:v>3.6602523922499999</c:v>
                      </c:pt>
                      <c:pt idx="1">
                        <c:v>3.5590131280000001</c:v>
                      </c:pt>
                      <c:pt idx="2">
                        <c:v>3.3416860100000001</c:v>
                      </c:pt>
                      <c:pt idx="3">
                        <c:v>3.8352439399999878</c:v>
                      </c:pt>
                      <c:pt idx="4">
                        <c:v>3.487407207</c:v>
                      </c:pt>
                      <c:pt idx="5">
                        <c:v>3.7824866770000001</c:v>
                      </c:pt>
                      <c:pt idx="6">
                        <c:v>3.9756889339999879</c:v>
                      </c:pt>
                    </c:numCache>
                  </c:numRef>
                </c:val>
                <c:extLst xmlns:c15="http://schemas.microsoft.com/office/drawing/2012/chart">
                  <c:ext xmlns:c16="http://schemas.microsoft.com/office/drawing/2014/chart" uri="{C3380CC4-5D6E-409C-BE32-E72D297353CC}">
                    <c16:uniqueId val="{00000006-5E24-4378-B038-F0DFDBF2BA93}"/>
                  </c:ext>
                </c:extLst>
              </c15:ser>
            </c15:filteredRadarSeries>
            <c15:filteredRadarSeries>
              <c15:ser>
                <c:idx val="6"/>
                <c:order val="6"/>
                <c:tx>
                  <c:strRef>
                    <c:extLst xmlns:c15="http://schemas.microsoft.com/office/drawing/2012/chart">
                      <c:ext xmlns:c15="http://schemas.microsoft.com/office/drawing/2012/chart" uri="{02D57815-91ED-43cb-92C2-25804820EDAC}">
                        <c15:formulaRef>
                          <c15:sqref>Sheet1!$H$1</c15:sqref>
                        </c15:formulaRef>
                      </c:ext>
                    </c:extLst>
                    <c:strCache>
                      <c:ptCount val="1"/>
                      <c:pt idx="0">
                        <c:v>Thailand</c:v>
                      </c:pt>
                    </c:strCache>
                  </c:strRef>
                </c:tx>
                <c:spPr>
                  <a:ln w="28575" cap="rnd">
                    <a:solidFill>
                      <a:srgbClr val="0070C0"/>
                    </a:solidFill>
                    <a:prstDash val="sysDot"/>
                    <a:round/>
                  </a:ln>
                  <a:effectLst/>
                </c:spPr>
                <c:marker>
                  <c:symbol val="none"/>
                </c:marker>
                <c:cat>
                  <c:strRef>
                    <c:extLst xmlns:c15="http://schemas.microsoft.com/office/drawing/2012/chart">
                      <c:ext xmlns:c15="http://schemas.microsoft.com/office/drawing/2012/chart" uri="{02D57815-91ED-43cb-92C2-25804820EDAC}">
                        <c15:formulaRef>
                          <c15:sqref>Sheet1!$A$2:$A$8</c15:sqref>
                        </c15:formulaRef>
                      </c:ext>
                    </c:extLst>
                    <c:strCache>
                      <c:ptCount val="7"/>
                      <c:pt idx="0">
                        <c:v>Quality of education</c:v>
                      </c:pt>
                      <c:pt idx="1">
                        <c:v>Country capacity to retain talent</c:v>
                      </c:pt>
                      <c:pt idx="2">
                        <c:v>Country capacity to attract talent</c:v>
                      </c:pt>
                      <c:pt idx="3">
                        <c:v>Quality of scientific research institutions</c:v>
                      </c:pt>
                      <c:pt idx="4">
                        <c:v>University-industry collaboration in R&amp;D</c:v>
                      </c:pt>
                      <c:pt idx="5">
                        <c:v>Gov’t procurement of advanced tech products</c:v>
                      </c:pt>
                      <c:pt idx="6">
                        <c:v>Availability of scientists and engineers</c:v>
                      </c:pt>
                    </c:strCache>
                  </c:strRef>
                </c:cat>
                <c:val>
                  <c:numRef>
                    <c:extLst xmlns:c15="http://schemas.microsoft.com/office/drawing/2012/chart">
                      <c:ext xmlns:c15="http://schemas.microsoft.com/office/drawing/2012/chart" uri="{02D57815-91ED-43cb-92C2-25804820EDAC}">
                        <c15:formulaRef>
                          <c15:sqref>Sheet1!$H$2:$H$8</c15:sqref>
                        </c15:formulaRef>
                      </c:ext>
                    </c:extLst>
                    <c:numCache>
                      <c:formatCode>General</c:formatCode>
                      <c:ptCount val="7"/>
                      <c:pt idx="0">
                        <c:v>4.0505105852499881</c:v>
                      </c:pt>
                      <c:pt idx="1">
                        <c:v>3.966408013999998</c:v>
                      </c:pt>
                      <c:pt idx="2">
                        <c:v>3.805939913</c:v>
                      </c:pt>
                      <c:pt idx="3">
                        <c:v>3.9840822220000001</c:v>
                      </c:pt>
                      <c:pt idx="4">
                        <c:v>3.916949033999988</c:v>
                      </c:pt>
                      <c:pt idx="5">
                        <c:v>3.436666011999999</c:v>
                      </c:pt>
                      <c:pt idx="6">
                        <c:v>4.118204116999987</c:v>
                      </c:pt>
                    </c:numCache>
                  </c:numRef>
                </c:val>
                <c:extLst xmlns:c15="http://schemas.microsoft.com/office/drawing/2012/chart">
                  <c:ext xmlns:c16="http://schemas.microsoft.com/office/drawing/2014/chart" uri="{C3380CC4-5D6E-409C-BE32-E72D297353CC}">
                    <c16:uniqueId val="{00000007-5E24-4378-B038-F0DFDBF2BA93}"/>
                  </c:ext>
                </c:extLst>
              </c15:ser>
            </c15:filteredRadarSeries>
            <c15:filteredRadarSeries>
              <c15:ser>
                <c:idx val="7"/>
                <c:order val="7"/>
                <c:tx>
                  <c:strRef>
                    <c:extLst xmlns:c15="http://schemas.microsoft.com/office/drawing/2012/chart">
                      <c:ext xmlns:c15="http://schemas.microsoft.com/office/drawing/2012/chart" uri="{02D57815-91ED-43cb-92C2-25804820EDAC}">
                        <c15:formulaRef>
                          <c15:sqref>Sheet1!$I$1</c15:sqref>
                        </c15:formulaRef>
                      </c:ext>
                    </c:extLst>
                    <c:strCache>
                      <c:ptCount val="1"/>
                      <c:pt idx="0">
                        <c:v>Viet Nam</c:v>
                      </c:pt>
                    </c:strCache>
                  </c:strRef>
                </c:tx>
                <c:spPr>
                  <a:ln w="28575" cap="rnd">
                    <a:solidFill>
                      <a:schemeClr val="tx1"/>
                    </a:solidFill>
                    <a:round/>
                  </a:ln>
                  <a:effectLst/>
                </c:spPr>
                <c:marker>
                  <c:symbol val="none"/>
                </c:marker>
                <c:cat>
                  <c:strRef>
                    <c:extLst xmlns:c15="http://schemas.microsoft.com/office/drawing/2012/chart">
                      <c:ext xmlns:c15="http://schemas.microsoft.com/office/drawing/2012/chart" uri="{02D57815-91ED-43cb-92C2-25804820EDAC}">
                        <c15:formulaRef>
                          <c15:sqref>Sheet1!$A$2:$A$8</c15:sqref>
                        </c15:formulaRef>
                      </c:ext>
                    </c:extLst>
                    <c:strCache>
                      <c:ptCount val="7"/>
                      <c:pt idx="0">
                        <c:v>Quality of education</c:v>
                      </c:pt>
                      <c:pt idx="1">
                        <c:v>Country capacity to retain talent</c:v>
                      </c:pt>
                      <c:pt idx="2">
                        <c:v>Country capacity to attract talent</c:v>
                      </c:pt>
                      <c:pt idx="3">
                        <c:v>Quality of scientific research institutions</c:v>
                      </c:pt>
                      <c:pt idx="4">
                        <c:v>University-industry collaboration in R&amp;D</c:v>
                      </c:pt>
                      <c:pt idx="5">
                        <c:v>Gov’t procurement of advanced tech products</c:v>
                      </c:pt>
                      <c:pt idx="6">
                        <c:v>Availability of scientists and engineers</c:v>
                      </c:pt>
                    </c:strCache>
                  </c:strRef>
                </c:cat>
                <c:val>
                  <c:numRef>
                    <c:extLst xmlns:c15="http://schemas.microsoft.com/office/drawing/2012/chart">
                      <c:ext xmlns:c15="http://schemas.microsoft.com/office/drawing/2012/chart" uri="{02D57815-91ED-43cb-92C2-25804820EDAC}">
                        <c15:formulaRef>
                          <c15:sqref>Sheet1!$I$2:$I$8</c15:sqref>
                        </c15:formulaRef>
                      </c:ext>
                    </c:extLst>
                    <c:numCache>
                      <c:formatCode>General</c:formatCode>
                      <c:ptCount val="7"/>
                      <c:pt idx="0">
                        <c:v>3.6871151327499998</c:v>
                      </c:pt>
                      <c:pt idx="1">
                        <c:v>3.512480021</c:v>
                      </c:pt>
                      <c:pt idx="2">
                        <c:v>3.437845229999998</c:v>
                      </c:pt>
                      <c:pt idx="3">
                        <c:v>3.496672629999988</c:v>
                      </c:pt>
                      <c:pt idx="4">
                        <c:v>3.5003509519999998</c:v>
                      </c:pt>
                      <c:pt idx="5">
                        <c:v>3.6366243360000001</c:v>
                      </c:pt>
                      <c:pt idx="6">
                        <c:v>3.7997007370000002</c:v>
                      </c:pt>
                    </c:numCache>
                  </c:numRef>
                </c:val>
                <c:extLst xmlns:c15="http://schemas.microsoft.com/office/drawing/2012/chart">
                  <c:ext xmlns:c16="http://schemas.microsoft.com/office/drawing/2014/chart" uri="{C3380CC4-5D6E-409C-BE32-E72D297353CC}">
                    <c16:uniqueId val="{00000008-5E24-4378-B038-F0DFDBF2BA93}"/>
                  </c:ext>
                </c:extLst>
              </c15:ser>
            </c15:filteredRadarSeries>
            <c15:filteredRadarSeries>
              <c15:ser>
                <c:idx val="9"/>
                <c:order val="9"/>
                <c:tx>
                  <c:strRef>
                    <c:extLst xmlns:c15="http://schemas.microsoft.com/office/drawing/2012/chart">
                      <c:ext xmlns:c15="http://schemas.microsoft.com/office/drawing/2012/chart" uri="{02D57815-91ED-43cb-92C2-25804820EDAC}">
                        <c15:formulaRef>
                          <c15:sqref>Sheet1!$K$1</c15:sqref>
                        </c15:formulaRef>
                      </c:ext>
                    </c:extLst>
                    <c:strCache>
                      <c:ptCount val="1"/>
                      <c:pt idx="0">
                        <c:v>Morocco</c:v>
                      </c:pt>
                    </c:strCache>
                  </c:strRef>
                </c:tx>
                <c:spPr>
                  <a:ln w="28575" cap="rnd">
                    <a:solidFill>
                      <a:schemeClr val="accent2">
                        <a:lumMod val="75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Sheet1!$A$2:$A$8</c15:sqref>
                        </c15:formulaRef>
                      </c:ext>
                    </c:extLst>
                    <c:strCache>
                      <c:ptCount val="7"/>
                      <c:pt idx="0">
                        <c:v>Quality of education</c:v>
                      </c:pt>
                      <c:pt idx="1">
                        <c:v>Country capacity to retain talent</c:v>
                      </c:pt>
                      <c:pt idx="2">
                        <c:v>Country capacity to attract talent</c:v>
                      </c:pt>
                      <c:pt idx="3">
                        <c:v>Quality of scientific research institutions</c:v>
                      </c:pt>
                      <c:pt idx="4">
                        <c:v>University-industry collaboration in R&amp;D</c:v>
                      </c:pt>
                      <c:pt idx="5">
                        <c:v>Gov’t procurement of advanced tech products</c:v>
                      </c:pt>
                      <c:pt idx="6">
                        <c:v>Availability of scientists and engineers</c:v>
                      </c:pt>
                    </c:strCache>
                  </c:strRef>
                </c:cat>
                <c:val>
                  <c:numRef>
                    <c:extLst xmlns:c15="http://schemas.microsoft.com/office/drawing/2012/chart">
                      <c:ext xmlns:c15="http://schemas.microsoft.com/office/drawing/2012/chart" uri="{02D57815-91ED-43cb-92C2-25804820EDAC}">
                        <c15:formulaRef>
                          <c15:sqref>Sheet1!$K$2:$K$8</c15:sqref>
                        </c15:formulaRef>
                      </c:ext>
                    </c:extLst>
                    <c:numCache>
                      <c:formatCode>General</c:formatCode>
                      <c:ptCount val="7"/>
                      <c:pt idx="0">
                        <c:v>3.4795261024999999</c:v>
                      </c:pt>
                      <c:pt idx="1">
                        <c:v>3.1548702720000001</c:v>
                      </c:pt>
                      <c:pt idx="2">
                        <c:v>3.29740119</c:v>
                      </c:pt>
                      <c:pt idx="3">
                        <c:v>3.0282180310000002</c:v>
                      </c:pt>
                      <c:pt idx="4">
                        <c:v>3.0060198310000001</c:v>
                      </c:pt>
                      <c:pt idx="5">
                        <c:v>3.2521028520000002</c:v>
                      </c:pt>
                      <c:pt idx="6">
                        <c:v>4.0821013449999954</c:v>
                      </c:pt>
                    </c:numCache>
                  </c:numRef>
                </c:val>
                <c:extLst xmlns:c15="http://schemas.microsoft.com/office/drawing/2012/chart">
                  <c:ext xmlns:c16="http://schemas.microsoft.com/office/drawing/2014/chart" uri="{C3380CC4-5D6E-409C-BE32-E72D297353CC}">
                    <c16:uniqueId val="{00000009-5E24-4378-B038-F0DFDBF2BA93}"/>
                  </c:ext>
                </c:extLst>
              </c15:ser>
            </c15:filteredRadarSeries>
            <c15:filteredRadarSeries>
              <c15:ser>
                <c:idx val="10"/>
                <c:order val="10"/>
                <c:tx>
                  <c:strRef>
                    <c:extLst xmlns:c15="http://schemas.microsoft.com/office/drawing/2012/chart">
                      <c:ext xmlns:c15="http://schemas.microsoft.com/office/drawing/2012/chart" uri="{02D57815-91ED-43cb-92C2-25804820EDAC}">
                        <c15:formulaRef>
                          <c15:sqref>Sheet1!$L$1</c15:sqref>
                        </c15:formulaRef>
                      </c:ext>
                    </c:extLst>
                    <c:strCache>
                      <c:ptCount val="1"/>
                      <c:pt idx="0">
                        <c:v>Bangladesh</c:v>
                      </c:pt>
                    </c:strCache>
                  </c:strRef>
                </c:tx>
                <c:spPr>
                  <a:ln w="28575" cap="rnd">
                    <a:solidFill>
                      <a:schemeClr val="accent5">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Sheet1!$A$2:$A$8</c15:sqref>
                        </c15:formulaRef>
                      </c:ext>
                    </c:extLst>
                    <c:strCache>
                      <c:ptCount val="7"/>
                      <c:pt idx="0">
                        <c:v>Quality of education</c:v>
                      </c:pt>
                      <c:pt idx="1">
                        <c:v>Country capacity to retain talent</c:v>
                      </c:pt>
                      <c:pt idx="2">
                        <c:v>Country capacity to attract talent</c:v>
                      </c:pt>
                      <c:pt idx="3">
                        <c:v>Quality of scientific research institutions</c:v>
                      </c:pt>
                      <c:pt idx="4">
                        <c:v>University-industry collaboration in R&amp;D</c:v>
                      </c:pt>
                      <c:pt idx="5">
                        <c:v>Gov’t procurement of advanced tech products</c:v>
                      </c:pt>
                      <c:pt idx="6">
                        <c:v>Availability of scientists and engineers</c:v>
                      </c:pt>
                    </c:strCache>
                  </c:strRef>
                </c:cat>
                <c:val>
                  <c:numRef>
                    <c:extLst xmlns:c15="http://schemas.microsoft.com/office/drawing/2012/chart">
                      <c:ext xmlns:c15="http://schemas.microsoft.com/office/drawing/2012/chart" uri="{02D57815-91ED-43cb-92C2-25804820EDAC}">
                        <c15:formulaRef>
                          <c15:sqref>Sheet1!$L$2:$L$8</c15:sqref>
                        </c15:formulaRef>
                      </c:ext>
                    </c:extLst>
                    <c:numCache>
                      <c:formatCode>_(* #,##0.00_);_(* \(#,##0.00\);_(* "-"??_);_(@_)</c:formatCode>
                      <c:ptCount val="7"/>
                      <c:pt idx="0">
                        <c:v>3.3838878272500001</c:v>
                      </c:pt>
                      <c:pt idx="1">
                        <c:v>3.2093954089999999</c:v>
                      </c:pt>
                      <c:pt idx="2">
                        <c:v>2.668556213</c:v>
                      </c:pt>
                      <c:pt idx="3">
                        <c:v>2.850278138999998</c:v>
                      </c:pt>
                      <c:pt idx="4">
                        <c:v>2.5406322480000001</c:v>
                      </c:pt>
                      <c:pt idx="5">
                        <c:v>3.0439579490000002</c:v>
                      </c:pt>
                      <c:pt idx="6">
                        <c:v>3.8096098899999991</c:v>
                      </c:pt>
                    </c:numCache>
                  </c:numRef>
                </c:val>
                <c:extLst xmlns:c15="http://schemas.microsoft.com/office/drawing/2012/chart">
                  <c:ext xmlns:c16="http://schemas.microsoft.com/office/drawing/2014/chart" uri="{C3380CC4-5D6E-409C-BE32-E72D297353CC}">
                    <c16:uniqueId val="{0000000A-5E24-4378-B038-F0DFDBF2BA93}"/>
                  </c:ext>
                </c:extLst>
              </c15:ser>
            </c15:filteredRadarSeries>
          </c:ext>
        </c:extLst>
      </c:radarChart>
      <c:catAx>
        <c:axId val="-163138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1379200"/>
        <c:crosses val="autoZero"/>
        <c:auto val="1"/>
        <c:lblAlgn val="ctr"/>
        <c:lblOffset val="100"/>
        <c:noMultiLvlLbl val="0"/>
      </c:catAx>
      <c:valAx>
        <c:axId val="-163137920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1380976"/>
        <c:crosses val="autoZero"/>
        <c:crossBetween val="between"/>
      </c:valAx>
      <c:spPr>
        <a:noFill/>
        <a:ln>
          <a:noFill/>
        </a:ln>
        <a:effectLst/>
      </c:spPr>
    </c:plotArea>
    <c:legend>
      <c:legendPos val="r"/>
      <c:layout>
        <c:manualLayout>
          <c:xMode val="edge"/>
          <c:yMode val="edge"/>
          <c:x val="0.81598389589176801"/>
          <c:y val="0.104061402329061"/>
          <c:w val="0.16907483225631301"/>
          <c:h val="0.401631211156280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484864554494558E-2"/>
          <c:y val="6.6895473943619652E-2"/>
          <c:w val="0.91351008858267713"/>
          <c:h val="0.69639558413976888"/>
        </c:manualLayout>
      </c:layout>
      <c:barChart>
        <c:barDir val="col"/>
        <c:grouping val="percentStacked"/>
        <c:varyColors val="0"/>
        <c:ser>
          <c:idx val="0"/>
          <c:order val="0"/>
          <c:tx>
            <c:strRef>
              <c:f>Sheet1!$B$1</c:f>
              <c:strCache>
                <c:ptCount val="1"/>
                <c:pt idx="0">
                  <c:v>Micro </c:v>
                </c:pt>
              </c:strCache>
            </c:strRef>
          </c:tx>
          <c:spPr>
            <a:pattFill prst="pct10">
              <a:fgClr>
                <a:schemeClr val="tx1">
                  <a:lumMod val="85000"/>
                  <a:lumOff val="15000"/>
                </a:schemeClr>
              </a:fgClr>
              <a:bgClr>
                <a:schemeClr val="bg1"/>
              </a:bgClr>
            </a:pattFill>
            <a:ln>
              <a:solidFill>
                <a:schemeClr val="tx1"/>
              </a:solidFill>
            </a:ln>
            <a:effectLst/>
          </c:spPr>
          <c:invertIfNegative val="0"/>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0-AA2D-45DC-ABE6-6A895E286D84}"/>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AA2D-45DC-ABE6-6A895E286D8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Share in the # enterprise</c:v>
                </c:pt>
                <c:pt idx="1">
                  <c:v>Share of employment </c:v>
                </c:pt>
              </c:strCache>
            </c:strRef>
          </c:cat>
          <c:val>
            <c:numRef>
              <c:f>Sheet1!$B$2:$B$3</c:f>
              <c:numCache>
                <c:formatCode>General</c:formatCode>
                <c:ptCount val="2"/>
                <c:pt idx="0">
                  <c:v>89.532297200398702</c:v>
                </c:pt>
                <c:pt idx="1">
                  <c:v>29.428679325256873</c:v>
                </c:pt>
              </c:numCache>
            </c:numRef>
          </c:val>
          <c:extLst>
            <c:ext xmlns:c16="http://schemas.microsoft.com/office/drawing/2014/chart" uri="{C3380CC4-5D6E-409C-BE32-E72D297353CC}">
              <c16:uniqueId val="{00000002-AA2D-45DC-ABE6-6A895E286D84}"/>
            </c:ext>
          </c:extLst>
        </c:ser>
        <c:ser>
          <c:idx val="1"/>
          <c:order val="1"/>
          <c:tx>
            <c:strRef>
              <c:f>Sheet1!$C$1</c:f>
              <c:strCache>
                <c:ptCount val="1"/>
                <c:pt idx="0">
                  <c:v>Small </c:v>
                </c:pt>
              </c:strCache>
            </c:strRef>
          </c:tx>
          <c:spPr>
            <a:pattFill prst="pct50">
              <a:fgClr>
                <a:schemeClr val="tx1">
                  <a:lumMod val="85000"/>
                  <a:lumOff val="15000"/>
                </a:schemeClr>
              </a:fgClr>
              <a:bgClr>
                <a:schemeClr val="bg1"/>
              </a:bgClr>
            </a:pattFill>
            <a:ln>
              <a:solidFill>
                <a:schemeClr val="tx1"/>
              </a:solidFill>
            </a:ln>
            <a:effectLst/>
          </c:spPr>
          <c:invertIfNegative val="0"/>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3-AA2D-45DC-ABE6-6A895E286D84}"/>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4-AA2D-45DC-ABE6-6A895E286D8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Share in the # enterprise</c:v>
                </c:pt>
                <c:pt idx="1">
                  <c:v>Share of employment </c:v>
                </c:pt>
              </c:strCache>
            </c:strRef>
          </c:cat>
          <c:val>
            <c:numRef>
              <c:f>Sheet1!$C$2:$C$3</c:f>
              <c:numCache>
                <c:formatCode>General</c:formatCode>
                <c:ptCount val="2"/>
                <c:pt idx="0">
                  <c:v>9.5865976108707383</c:v>
                </c:pt>
                <c:pt idx="1">
                  <c:v>25.344802656576054</c:v>
                </c:pt>
              </c:numCache>
            </c:numRef>
          </c:val>
          <c:extLst>
            <c:ext xmlns:c16="http://schemas.microsoft.com/office/drawing/2014/chart" uri="{C3380CC4-5D6E-409C-BE32-E72D297353CC}">
              <c16:uniqueId val="{00000005-AA2D-45DC-ABE6-6A895E286D84}"/>
            </c:ext>
          </c:extLst>
        </c:ser>
        <c:ser>
          <c:idx val="2"/>
          <c:order val="2"/>
          <c:tx>
            <c:strRef>
              <c:f>Sheet1!$D$1</c:f>
              <c:strCache>
                <c:ptCount val="1"/>
                <c:pt idx="0">
                  <c:v>Medium </c:v>
                </c:pt>
              </c:strCache>
            </c:strRef>
          </c:tx>
          <c:spPr>
            <a:pattFill prst="pct25">
              <a:fgClr>
                <a:schemeClr val="tx1">
                  <a:lumMod val="85000"/>
                  <a:lumOff val="15000"/>
                </a:schemeClr>
              </a:fgClr>
              <a:bgClr>
                <a:schemeClr val="bg1"/>
              </a:bgClr>
            </a:pattFill>
            <a:ln>
              <a:solidFill>
                <a:schemeClr val="tx1"/>
              </a:solidFill>
            </a:ln>
            <a:effectLst/>
          </c:spPr>
          <c:invertIfNegative val="0"/>
          <c:dLbls>
            <c:dLbl>
              <c:idx val="0"/>
              <c:layout>
                <c:manualLayout>
                  <c:x val="-0.14309624212206096"/>
                  <c:y val="8.57055497847498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2D-45DC-ABE6-6A895E286D8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Share in the # enterprise</c:v>
                </c:pt>
                <c:pt idx="1">
                  <c:v>Share of employment </c:v>
                </c:pt>
              </c:strCache>
            </c:strRef>
          </c:cat>
          <c:val>
            <c:numRef>
              <c:f>Sheet1!$D$2:$D$3</c:f>
              <c:numCache>
                <c:formatCode>General</c:formatCode>
                <c:ptCount val="2"/>
                <c:pt idx="0">
                  <c:v>0.42878676544043048</c:v>
                </c:pt>
                <c:pt idx="1">
                  <c:v>6.8341091036347663</c:v>
                </c:pt>
              </c:numCache>
            </c:numRef>
          </c:val>
          <c:extLst>
            <c:ext xmlns:c16="http://schemas.microsoft.com/office/drawing/2014/chart" uri="{C3380CC4-5D6E-409C-BE32-E72D297353CC}">
              <c16:uniqueId val="{00000007-AA2D-45DC-ABE6-6A895E286D84}"/>
            </c:ext>
          </c:extLst>
        </c:ser>
        <c:ser>
          <c:idx val="3"/>
          <c:order val="3"/>
          <c:tx>
            <c:strRef>
              <c:f>Sheet1!$E$1</c:f>
              <c:strCache>
                <c:ptCount val="1"/>
                <c:pt idx="0">
                  <c:v>Large </c:v>
                </c:pt>
              </c:strCache>
            </c:strRef>
          </c:tx>
          <c:spPr>
            <a:pattFill prst="pct90">
              <a:fgClr>
                <a:schemeClr val="tx1">
                  <a:lumMod val="85000"/>
                  <a:lumOff val="15000"/>
                </a:schemeClr>
              </a:fgClr>
              <a:bgClr>
                <a:schemeClr val="bg1"/>
              </a:bgClr>
            </a:pattFill>
            <a:ln>
              <a:solidFill>
                <a:schemeClr val="tx1"/>
              </a:solidFill>
            </a:ln>
            <a:effectLst/>
          </c:spPr>
          <c:invertIfNegative val="0"/>
          <c:dLbls>
            <c:dLbl>
              <c:idx val="0"/>
              <c:layout>
                <c:manualLayout>
                  <c:x val="-0.15384615384615388"/>
                  <c:y val="3.3975087967388198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2D-45DC-ABE6-6A895E286D84}"/>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9-AA2D-45DC-ABE6-6A895E286D8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Share in the # enterprise</c:v>
                </c:pt>
                <c:pt idx="1">
                  <c:v>Share of employment </c:v>
                </c:pt>
              </c:strCache>
            </c:strRef>
          </c:cat>
          <c:val>
            <c:numRef>
              <c:f>Sheet1!$E$2:$E$3</c:f>
              <c:numCache>
                <c:formatCode>General</c:formatCode>
                <c:ptCount val="2"/>
                <c:pt idx="0">
                  <c:v>0.45231842329012534</c:v>
                </c:pt>
                <c:pt idx="1">
                  <c:v>38.392408914532304</c:v>
                </c:pt>
              </c:numCache>
            </c:numRef>
          </c:val>
          <c:extLst>
            <c:ext xmlns:c16="http://schemas.microsoft.com/office/drawing/2014/chart" uri="{C3380CC4-5D6E-409C-BE32-E72D297353CC}">
              <c16:uniqueId val="{0000000A-AA2D-45DC-ABE6-6A895E286D84}"/>
            </c:ext>
          </c:extLst>
        </c:ser>
        <c:dLbls>
          <c:showLegendKey val="0"/>
          <c:showVal val="0"/>
          <c:showCatName val="0"/>
          <c:showSerName val="0"/>
          <c:showPercent val="0"/>
          <c:showBubbleSize val="0"/>
        </c:dLbls>
        <c:gapWidth val="66"/>
        <c:overlap val="100"/>
        <c:serLines>
          <c:spPr>
            <a:ln w="9525" cap="flat" cmpd="sng" algn="ctr">
              <a:solidFill>
                <a:schemeClr val="tx1">
                  <a:lumMod val="35000"/>
                  <a:lumOff val="65000"/>
                </a:schemeClr>
              </a:solidFill>
              <a:round/>
            </a:ln>
            <a:effectLst/>
          </c:spPr>
        </c:serLines>
        <c:axId val="374996872"/>
        <c:axId val="375000008"/>
      </c:barChart>
      <c:catAx>
        <c:axId val="374996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75000008"/>
        <c:crosses val="autoZero"/>
        <c:auto val="1"/>
        <c:lblAlgn val="ctr"/>
        <c:lblOffset val="100"/>
        <c:noMultiLvlLbl val="0"/>
      </c:catAx>
      <c:valAx>
        <c:axId val="375000008"/>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74996872"/>
        <c:crosses val="autoZero"/>
        <c:crossBetween val="between"/>
      </c:valAx>
      <c:spPr>
        <a:noFill/>
        <a:ln>
          <a:noFill/>
        </a:ln>
        <a:effectLst/>
      </c:spPr>
    </c:plotArea>
    <c:legend>
      <c:legendPos val="b"/>
      <c:layout>
        <c:manualLayout>
          <c:xMode val="edge"/>
          <c:yMode val="edge"/>
          <c:x val="6.298546827987965E-2"/>
          <c:y val="0.87759251467612354"/>
          <c:w val="0.8740286276185083"/>
          <c:h val="8.295970177998641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250884923788202"/>
          <c:y val="4.2324853624066225E-2"/>
          <c:w val="0.55728960485443901"/>
          <c:h val="0.79555118110236234"/>
        </c:manualLayout>
      </c:layout>
      <c:barChart>
        <c:barDir val="bar"/>
        <c:grouping val="percentStacked"/>
        <c:varyColors val="0"/>
        <c:ser>
          <c:idx val="0"/>
          <c:order val="0"/>
          <c:tx>
            <c:strRef>
              <c:f>' rgn and emp'!$N$2</c:f>
              <c:strCache>
                <c:ptCount val="1"/>
                <c:pt idx="0">
                  <c:v>Micro</c:v>
                </c:pt>
              </c:strCache>
            </c:strRef>
          </c:tx>
          <c:spPr>
            <a:solidFill>
              <a:schemeClr val="accent1"/>
            </a:solidFill>
            <a:ln>
              <a:noFill/>
            </a:ln>
            <a:effectLst/>
          </c:spPr>
          <c:invertIfNegative val="0"/>
          <c:cat>
            <c:strRef>
              <c:f>' rgn and emp'!$M$3:$M$20</c:f>
              <c:strCache>
                <c:ptCount val="18"/>
                <c:pt idx="0">
                  <c:v>Agriculture, …</c:v>
                </c:pt>
                <c:pt idx="1">
                  <c:v>Mining and 
Quarrying</c:v>
                </c:pt>
                <c:pt idx="2">
                  <c:v>Manufacturing</c:v>
                </c:pt>
                <c:pt idx="3">
                  <c:v>Electricity, …</c:v>
                </c:pt>
                <c:pt idx="4">
                  <c:v>Water supply…</c:v>
                </c:pt>
                <c:pt idx="5">
                  <c:v>Construction</c:v>
                </c:pt>
                <c:pt idx="6">
                  <c:v>Wholesale and Retail…</c:v>
                </c:pt>
                <c:pt idx="7">
                  <c:v>Financial …</c:v>
                </c:pt>
                <c:pt idx="8">
                  <c:v>Transportation …</c:v>
                </c:pt>
                <c:pt idx="9">
                  <c:v>Accommodation ..</c:v>
                </c:pt>
                <c:pt idx="10">
                  <c:v>ICT</c:v>
                </c:pt>
                <c:pt idx="11">
                  <c:v>Real ..</c:v>
                </c:pt>
                <c:pt idx="12">
                  <c:v>Professional…</c:v>
                </c:pt>
                <c:pt idx="13">
                  <c:v>Administrative …</c:v>
                </c:pt>
                <c:pt idx="14">
                  <c:v>Education</c:v>
                </c:pt>
                <c:pt idx="15">
                  <c:v>Human health…</c:v>
                </c:pt>
                <c:pt idx="16">
                  <c:v>Arts, …</c:v>
                </c:pt>
                <c:pt idx="17">
                  <c:v>Others</c:v>
                </c:pt>
              </c:strCache>
            </c:strRef>
          </c:cat>
          <c:val>
            <c:numRef>
              <c:f>' rgn and emp'!$N$3:$N$20</c:f>
              <c:numCache>
                <c:formatCode>General</c:formatCode>
                <c:ptCount val="18"/>
                <c:pt idx="0">
                  <c:v>3101</c:v>
                </c:pt>
                <c:pt idx="1">
                  <c:v>199</c:v>
                </c:pt>
                <c:pt idx="2">
                  <c:v>44919</c:v>
                </c:pt>
                <c:pt idx="3">
                  <c:v>132</c:v>
                </c:pt>
                <c:pt idx="4">
                  <c:v>1891</c:v>
                </c:pt>
                <c:pt idx="5">
                  <c:v>1203</c:v>
                </c:pt>
                <c:pt idx="6">
                  <c:v>300189</c:v>
                </c:pt>
                <c:pt idx="7">
                  <c:v>4634</c:v>
                </c:pt>
                <c:pt idx="8">
                  <c:v>63486</c:v>
                </c:pt>
                <c:pt idx="9">
                  <c:v>5533</c:v>
                </c:pt>
                <c:pt idx="10">
                  <c:v>18705</c:v>
                </c:pt>
                <c:pt idx="11">
                  <c:v>17757</c:v>
                </c:pt>
                <c:pt idx="12">
                  <c:v>20997</c:v>
                </c:pt>
                <c:pt idx="13">
                  <c:v>16618</c:v>
                </c:pt>
                <c:pt idx="14">
                  <c:v>29623</c:v>
                </c:pt>
                <c:pt idx="15">
                  <c:v>16281</c:v>
                </c:pt>
                <c:pt idx="16">
                  <c:v>7625</c:v>
                </c:pt>
                <c:pt idx="17">
                  <c:v>30587</c:v>
                </c:pt>
              </c:numCache>
            </c:numRef>
          </c:val>
          <c:extLst>
            <c:ext xmlns:c16="http://schemas.microsoft.com/office/drawing/2014/chart" uri="{C3380CC4-5D6E-409C-BE32-E72D297353CC}">
              <c16:uniqueId val="{00000000-3507-49A4-AD56-1B96310687C3}"/>
            </c:ext>
          </c:extLst>
        </c:ser>
        <c:ser>
          <c:idx val="1"/>
          <c:order val="1"/>
          <c:tx>
            <c:strRef>
              <c:f>' rgn and emp'!$O$2</c:f>
              <c:strCache>
                <c:ptCount val="1"/>
                <c:pt idx="0">
                  <c:v>Small</c:v>
                </c:pt>
              </c:strCache>
            </c:strRef>
          </c:tx>
          <c:spPr>
            <a:solidFill>
              <a:schemeClr val="accent2"/>
            </a:solidFill>
            <a:ln>
              <a:noFill/>
            </a:ln>
            <a:effectLst/>
          </c:spPr>
          <c:invertIfNegative val="0"/>
          <c:cat>
            <c:strRef>
              <c:f>' rgn and emp'!$M$3:$M$20</c:f>
              <c:strCache>
                <c:ptCount val="18"/>
                <c:pt idx="0">
                  <c:v>Agriculture, …</c:v>
                </c:pt>
                <c:pt idx="1">
                  <c:v>Mining and 
Quarrying</c:v>
                </c:pt>
                <c:pt idx="2">
                  <c:v>Manufacturing</c:v>
                </c:pt>
                <c:pt idx="3">
                  <c:v>Electricity, …</c:v>
                </c:pt>
                <c:pt idx="4">
                  <c:v>Water supply…</c:v>
                </c:pt>
                <c:pt idx="5">
                  <c:v>Construction</c:v>
                </c:pt>
                <c:pt idx="6">
                  <c:v>Wholesale and Retail…</c:v>
                </c:pt>
                <c:pt idx="7">
                  <c:v>Financial …</c:v>
                </c:pt>
                <c:pt idx="8">
                  <c:v>Transportation …</c:v>
                </c:pt>
                <c:pt idx="9">
                  <c:v>Accommodation ..</c:v>
                </c:pt>
                <c:pt idx="10">
                  <c:v>ICT</c:v>
                </c:pt>
                <c:pt idx="11">
                  <c:v>Real ..</c:v>
                </c:pt>
                <c:pt idx="12">
                  <c:v>Professional…</c:v>
                </c:pt>
                <c:pt idx="13">
                  <c:v>Administrative …</c:v>
                </c:pt>
                <c:pt idx="14">
                  <c:v>Education</c:v>
                </c:pt>
                <c:pt idx="15">
                  <c:v>Human health…</c:v>
                </c:pt>
                <c:pt idx="16">
                  <c:v>Arts, …</c:v>
                </c:pt>
                <c:pt idx="17">
                  <c:v>Others</c:v>
                </c:pt>
              </c:strCache>
            </c:strRef>
          </c:cat>
          <c:val>
            <c:numRef>
              <c:f>' rgn and emp'!$O$3:$O$20</c:f>
              <c:numCache>
                <c:formatCode>General</c:formatCode>
                <c:ptCount val="18"/>
                <c:pt idx="0">
                  <c:v>49844</c:v>
                </c:pt>
                <c:pt idx="1">
                  <c:v>4984</c:v>
                </c:pt>
                <c:pt idx="2">
                  <c:v>310089</c:v>
                </c:pt>
                <c:pt idx="3">
                  <c:v>4409</c:v>
                </c:pt>
                <c:pt idx="4">
                  <c:v>14956</c:v>
                </c:pt>
                <c:pt idx="5">
                  <c:v>36647</c:v>
                </c:pt>
                <c:pt idx="6">
                  <c:v>486697</c:v>
                </c:pt>
                <c:pt idx="7">
                  <c:v>46713</c:v>
                </c:pt>
                <c:pt idx="8">
                  <c:v>305750</c:v>
                </c:pt>
                <c:pt idx="9">
                  <c:v>34250</c:v>
                </c:pt>
                <c:pt idx="10">
                  <c:v>72686</c:v>
                </c:pt>
                <c:pt idx="11">
                  <c:v>25701</c:v>
                </c:pt>
                <c:pt idx="12">
                  <c:v>52630</c:v>
                </c:pt>
                <c:pt idx="13">
                  <c:v>56880</c:v>
                </c:pt>
                <c:pt idx="14">
                  <c:v>200612</c:v>
                </c:pt>
                <c:pt idx="15">
                  <c:v>44871</c:v>
                </c:pt>
                <c:pt idx="16">
                  <c:v>22378</c:v>
                </c:pt>
                <c:pt idx="17">
                  <c:v>45289</c:v>
                </c:pt>
              </c:numCache>
            </c:numRef>
          </c:val>
          <c:extLst>
            <c:ext xmlns:c16="http://schemas.microsoft.com/office/drawing/2014/chart" uri="{C3380CC4-5D6E-409C-BE32-E72D297353CC}">
              <c16:uniqueId val="{00000001-3507-49A4-AD56-1B96310687C3}"/>
            </c:ext>
          </c:extLst>
        </c:ser>
        <c:ser>
          <c:idx val="2"/>
          <c:order val="2"/>
          <c:tx>
            <c:strRef>
              <c:f>' rgn and emp'!$P$2</c:f>
              <c:strCache>
                <c:ptCount val="1"/>
                <c:pt idx="0">
                  <c:v>Meidum</c:v>
                </c:pt>
              </c:strCache>
            </c:strRef>
          </c:tx>
          <c:spPr>
            <a:solidFill>
              <a:schemeClr val="accent3"/>
            </a:solidFill>
            <a:ln>
              <a:noFill/>
            </a:ln>
            <a:effectLst/>
          </c:spPr>
          <c:invertIfNegative val="0"/>
          <c:cat>
            <c:strRef>
              <c:f>' rgn and emp'!$M$3:$M$20</c:f>
              <c:strCache>
                <c:ptCount val="18"/>
                <c:pt idx="0">
                  <c:v>Agriculture, …</c:v>
                </c:pt>
                <c:pt idx="1">
                  <c:v>Mining and 
Quarrying</c:v>
                </c:pt>
                <c:pt idx="2">
                  <c:v>Manufacturing</c:v>
                </c:pt>
                <c:pt idx="3">
                  <c:v>Electricity, …</c:v>
                </c:pt>
                <c:pt idx="4">
                  <c:v>Water supply…</c:v>
                </c:pt>
                <c:pt idx="5">
                  <c:v>Construction</c:v>
                </c:pt>
                <c:pt idx="6">
                  <c:v>Wholesale and Retail…</c:v>
                </c:pt>
                <c:pt idx="7">
                  <c:v>Financial …</c:v>
                </c:pt>
                <c:pt idx="8">
                  <c:v>Transportation …</c:v>
                </c:pt>
                <c:pt idx="9">
                  <c:v>Accommodation ..</c:v>
                </c:pt>
                <c:pt idx="10">
                  <c:v>ICT</c:v>
                </c:pt>
                <c:pt idx="11">
                  <c:v>Real ..</c:v>
                </c:pt>
                <c:pt idx="12">
                  <c:v>Professional…</c:v>
                </c:pt>
                <c:pt idx="13">
                  <c:v>Administrative …</c:v>
                </c:pt>
                <c:pt idx="14">
                  <c:v>Education</c:v>
                </c:pt>
                <c:pt idx="15">
                  <c:v>Human health…</c:v>
                </c:pt>
                <c:pt idx="16">
                  <c:v>Arts, …</c:v>
                </c:pt>
                <c:pt idx="17">
                  <c:v>Others</c:v>
                </c:pt>
              </c:strCache>
            </c:strRef>
          </c:cat>
          <c:val>
            <c:numRef>
              <c:f>' rgn and emp'!$P$3:$P$20</c:f>
              <c:numCache>
                <c:formatCode>General</c:formatCode>
                <c:ptCount val="18"/>
                <c:pt idx="0">
                  <c:v>17472</c:v>
                </c:pt>
                <c:pt idx="1">
                  <c:v>1953</c:v>
                </c:pt>
                <c:pt idx="2">
                  <c:v>124422</c:v>
                </c:pt>
                <c:pt idx="3">
                  <c:v>10839</c:v>
                </c:pt>
                <c:pt idx="4">
                  <c:v>6408</c:v>
                </c:pt>
                <c:pt idx="5">
                  <c:v>26773</c:v>
                </c:pt>
                <c:pt idx="6">
                  <c:v>81519</c:v>
                </c:pt>
                <c:pt idx="7">
                  <c:v>16837</c:v>
                </c:pt>
                <c:pt idx="8">
                  <c:v>22600</c:v>
                </c:pt>
                <c:pt idx="9">
                  <c:v>15151</c:v>
                </c:pt>
                <c:pt idx="10">
                  <c:v>17930</c:v>
                </c:pt>
                <c:pt idx="11">
                  <c:v>6449</c:v>
                </c:pt>
                <c:pt idx="12">
                  <c:v>12409</c:v>
                </c:pt>
                <c:pt idx="13">
                  <c:v>30112</c:v>
                </c:pt>
                <c:pt idx="14">
                  <c:v>44144</c:v>
                </c:pt>
                <c:pt idx="15">
                  <c:v>23027</c:v>
                </c:pt>
                <c:pt idx="16">
                  <c:v>2971</c:v>
                </c:pt>
                <c:pt idx="17">
                  <c:v>1017</c:v>
                </c:pt>
              </c:numCache>
            </c:numRef>
          </c:val>
          <c:extLst>
            <c:ext xmlns:c16="http://schemas.microsoft.com/office/drawing/2014/chart" uri="{C3380CC4-5D6E-409C-BE32-E72D297353CC}">
              <c16:uniqueId val="{00000002-3507-49A4-AD56-1B96310687C3}"/>
            </c:ext>
          </c:extLst>
        </c:ser>
        <c:ser>
          <c:idx val="3"/>
          <c:order val="3"/>
          <c:tx>
            <c:strRef>
              <c:f>' rgn and emp'!$Q$2</c:f>
              <c:strCache>
                <c:ptCount val="1"/>
                <c:pt idx="0">
                  <c:v>Large</c:v>
                </c:pt>
              </c:strCache>
            </c:strRef>
          </c:tx>
          <c:spPr>
            <a:solidFill>
              <a:schemeClr val="accent4"/>
            </a:solidFill>
            <a:ln>
              <a:noFill/>
            </a:ln>
            <a:effectLst/>
          </c:spPr>
          <c:invertIfNegative val="0"/>
          <c:cat>
            <c:strRef>
              <c:f>' rgn and emp'!$M$3:$M$20</c:f>
              <c:strCache>
                <c:ptCount val="18"/>
                <c:pt idx="0">
                  <c:v>Agriculture, …</c:v>
                </c:pt>
                <c:pt idx="1">
                  <c:v>Mining and 
Quarrying</c:v>
                </c:pt>
                <c:pt idx="2">
                  <c:v>Manufacturing</c:v>
                </c:pt>
                <c:pt idx="3">
                  <c:v>Electricity, …</c:v>
                </c:pt>
                <c:pt idx="4">
                  <c:v>Water supply…</c:v>
                </c:pt>
                <c:pt idx="5">
                  <c:v>Construction</c:v>
                </c:pt>
                <c:pt idx="6">
                  <c:v>Wholesale and Retail…</c:v>
                </c:pt>
                <c:pt idx="7">
                  <c:v>Financial …</c:v>
                </c:pt>
                <c:pt idx="8">
                  <c:v>Transportation …</c:v>
                </c:pt>
                <c:pt idx="9">
                  <c:v>Accommodation ..</c:v>
                </c:pt>
                <c:pt idx="10">
                  <c:v>ICT</c:v>
                </c:pt>
                <c:pt idx="11">
                  <c:v>Real ..</c:v>
                </c:pt>
                <c:pt idx="12">
                  <c:v>Professional…</c:v>
                </c:pt>
                <c:pt idx="13">
                  <c:v>Administrative …</c:v>
                </c:pt>
                <c:pt idx="14">
                  <c:v>Education</c:v>
                </c:pt>
                <c:pt idx="15">
                  <c:v>Human health…</c:v>
                </c:pt>
                <c:pt idx="16">
                  <c:v>Arts, …</c:v>
                </c:pt>
                <c:pt idx="17">
                  <c:v>Others</c:v>
                </c:pt>
              </c:strCache>
            </c:strRef>
          </c:cat>
          <c:val>
            <c:numRef>
              <c:f>' rgn and emp'!$Q$3:$Q$20</c:f>
              <c:numCache>
                <c:formatCode>General</c:formatCode>
                <c:ptCount val="18"/>
                <c:pt idx="0">
                  <c:v>92916</c:v>
                </c:pt>
                <c:pt idx="1">
                  <c:v>29916</c:v>
                </c:pt>
                <c:pt idx="2">
                  <c:v>744146</c:v>
                </c:pt>
                <c:pt idx="3">
                  <c:v>31501</c:v>
                </c:pt>
                <c:pt idx="4">
                  <c:v>10630</c:v>
                </c:pt>
                <c:pt idx="5">
                  <c:v>202960</c:v>
                </c:pt>
                <c:pt idx="6">
                  <c:v>112904</c:v>
                </c:pt>
                <c:pt idx="7">
                  <c:v>84505</c:v>
                </c:pt>
                <c:pt idx="8">
                  <c:v>25105</c:v>
                </c:pt>
                <c:pt idx="9">
                  <c:v>86202</c:v>
                </c:pt>
                <c:pt idx="10">
                  <c:v>193471</c:v>
                </c:pt>
                <c:pt idx="11">
                  <c:v>22805</c:v>
                </c:pt>
                <c:pt idx="12">
                  <c:v>59888</c:v>
                </c:pt>
                <c:pt idx="13">
                  <c:v>736782</c:v>
                </c:pt>
                <c:pt idx="14">
                  <c:v>97408</c:v>
                </c:pt>
                <c:pt idx="15">
                  <c:v>73986</c:v>
                </c:pt>
                <c:pt idx="16">
                  <c:v>35962</c:v>
                </c:pt>
                <c:pt idx="17">
                  <c:v>2073</c:v>
                </c:pt>
              </c:numCache>
            </c:numRef>
          </c:val>
          <c:extLst>
            <c:ext xmlns:c16="http://schemas.microsoft.com/office/drawing/2014/chart" uri="{C3380CC4-5D6E-409C-BE32-E72D297353CC}">
              <c16:uniqueId val="{00000003-3507-49A4-AD56-1B96310687C3}"/>
            </c:ext>
          </c:extLst>
        </c:ser>
        <c:dLbls>
          <c:showLegendKey val="0"/>
          <c:showVal val="0"/>
          <c:showCatName val="0"/>
          <c:showSerName val="0"/>
          <c:showPercent val="0"/>
          <c:showBubbleSize val="0"/>
        </c:dLbls>
        <c:gapWidth val="150"/>
        <c:overlap val="100"/>
        <c:axId val="656049056"/>
        <c:axId val="658294496"/>
      </c:barChart>
      <c:catAx>
        <c:axId val="656049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700" b="0" i="0" u="none" strike="noStrike" kern="1200" baseline="0">
                <a:solidFill>
                  <a:schemeClr val="tx1">
                    <a:lumMod val="65000"/>
                    <a:lumOff val="35000"/>
                  </a:schemeClr>
                </a:solidFill>
                <a:latin typeface="+mn-lt"/>
                <a:ea typeface="+mn-ea"/>
                <a:cs typeface="+mn-cs"/>
              </a:defRPr>
            </a:pPr>
            <a:endParaRPr lang="en-US"/>
          </a:p>
        </c:txPr>
        <c:crossAx val="658294496"/>
        <c:crosses val="autoZero"/>
        <c:auto val="1"/>
        <c:lblAlgn val="l"/>
        <c:lblOffset val="100"/>
        <c:noMultiLvlLbl val="0"/>
      </c:catAx>
      <c:valAx>
        <c:axId val="6582944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5604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Productivity!$G$53</c:f>
              <c:strCache>
                <c:ptCount val="1"/>
                <c:pt idx="0">
                  <c:v>Micro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Productivity!$H$52:$J$52</c:f>
              <c:numCache>
                <c:formatCode>General</c:formatCode>
                <c:ptCount val="3"/>
                <c:pt idx="0">
                  <c:v>2012</c:v>
                </c:pt>
                <c:pt idx="1">
                  <c:v>2013</c:v>
                </c:pt>
                <c:pt idx="2">
                  <c:v>2014</c:v>
                </c:pt>
              </c:numCache>
            </c:numRef>
          </c:cat>
          <c:val>
            <c:numRef>
              <c:f>Productivity!$H$53:$J$53</c:f>
              <c:numCache>
                <c:formatCode>0.0</c:formatCode>
                <c:ptCount val="3"/>
                <c:pt idx="0">
                  <c:v>10.118318695253313</c:v>
                </c:pt>
                <c:pt idx="1">
                  <c:v>10.22804428981366</c:v>
                </c:pt>
                <c:pt idx="2">
                  <c:v>9.9025596518508223</c:v>
                </c:pt>
              </c:numCache>
            </c:numRef>
          </c:val>
          <c:extLst>
            <c:ext xmlns:c16="http://schemas.microsoft.com/office/drawing/2014/chart" uri="{C3380CC4-5D6E-409C-BE32-E72D297353CC}">
              <c16:uniqueId val="{00000000-6118-4F47-95CE-60F758CB4C09}"/>
            </c:ext>
          </c:extLst>
        </c:ser>
        <c:ser>
          <c:idx val="1"/>
          <c:order val="1"/>
          <c:tx>
            <c:strRef>
              <c:f>Productivity!$G$54</c:f>
              <c:strCache>
                <c:ptCount val="1"/>
                <c:pt idx="0">
                  <c:v>Small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Productivity!$H$52:$J$52</c:f>
              <c:numCache>
                <c:formatCode>General</c:formatCode>
                <c:ptCount val="3"/>
                <c:pt idx="0">
                  <c:v>2012</c:v>
                </c:pt>
                <c:pt idx="1">
                  <c:v>2013</c:v>
                </c:pt>
                <c:pt idx="2">
                  <c:v>2014</c:v>
                </c:pt>
              </c:numCache>
            </c:numRef>
          </c:cat>
          <c:val>
            <c:numRef>
              <c:f>Productivity!$H$54:$J$54</c:f>
              <c:numCache>
                <c:formatCode>0.0</c:formatCode>
                <c:ptCount val="3"/>
                <c:pt idx="0">
                  <c:v>11.135604396438344</c:v>
                </c:pt>
                <c:pt idx="1">
                  <c:v>11.13228540121956</c:v>
                </c:pt>
                <c:pt idx="2">
                  <c:v>11.166186792842606</c:v>
                </c:pt>
              </c:numCache>
            </c:numRef>
          </c:val>
          <c:extLst>
            <c:ext xmlns:c16="http://schemas.microsoft.com/office/drawing/2014/chart" uri="{C3380CC4-5D6E-409C-BE32-E72D297353CC}">
              <c16:uniqueId val="{00000001-6118-4F47-95CE-60F758CB4C09}"/>
            </c:ext>
          </c:extLst>
        </c:ser>
        <c:ser>
          <c:idx val="2"/>
          <c:order val="2"/>
          <c:tx>
            <c:strRef>
              <c:f>Productivity!$G$55</c:f>
              <c:strCache>
                <c:ptCount val="1"/>
                <c:pt idx="0">
                  <c:v>Medium</c:v>
                </c:pt>
              </c:strCache>
            </c:strRef>
          </c:tx>
          <c:spPr>
            <a:solidFill>
              <a:schemeClr val="accent3"/>
            </a:solidFill>
            <a:ln>
              <a:noFill/>
            </a:ln>
            <a:effectLst/>
          </c:spPr>
          <c:invertIfNegative val="0"/>
          <c:dLbls>
            <c:dLbl>
              <c:idx val="0"/>
              <c:layout>
                <c:manualLayout>
                  <c:x val="0"/>
                  <c:y val="1.88679245283018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18-4F47-95CE-60F758CB4C09}"/>
                </c:ext>
              </c:extLst>
            </c:dLbl>
            <c:dLbl>
              <c:idx val="1"/>
              <c:layout>
                <c:manualLayout>
                  <c:x val="0"/>
                  <c:y val="2.26415094339622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18-4F47-95CE-60F758CB4C09}"/>
                </c:ext>
              </c:extLst>
            </c:dLbl>
            <c:dLbl>
              <c:idx val="2"/>
              <c:layout>
                <c:manualLayout>
                  <c:x val="0"/>
                  <c:y val="1.50943396226415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18-4F47-95CE-60F758CB4C0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Productivity!$H$52:$J$52</c:f>
              <c:numCache>
                <c:formatCode>General</c:formatCode>
                <c:ptCount val="3"/>
                <c:pt idx="0">
                  <c:v>2012</c:v>
                </c:pt>
                <c:pt idx="1">
                  <c:v>2013</c:v>
                </c:pt>
                <c:pt idx="2">
                  <c:v>2014</c:v>
                </c:pt>
              </c:numCache>
            </c:numRef>
          </c:cat>
          <c:val>
            <c:numRef>
              <c:f>Productivity!$H$55:$J$55</c:f>
              <c:numCache>
                <c:formatCode>0.0</c:formatCode>
                <c:ptCount val="3"/>
                <c:pt idx="0">
                  <c:v>10.96865447221065</c:v>
                </c:pt>
                <c:pt idx="1">
                  <c:v>11.108006314781218</c:v>
                </c:pt>
                <c:pt idx="2">
                  <c:v>11.074683927544616</c:v>
                </c:pt>
              </c:numCache>
            </c:numRef>
          </c:val>
          <c:extLst>
            <c:ext xmlns:c16="http://schemas.microsoft.com/office/drawing/2014/chart" uri="{C3380CC4-5D6E-409C-BE32-E72D297353CC}">
              <c16:uniqueId val="{00000005-6118-4F47-95CE-60F758CB4C09}"/>
            </c:ext>
          </c:extLst>
        </c:ser>
        <c:ser>
          <c:idx val="3"/>
          <c:order val="3"/>
          <c:tx>
            <c:strRef>
              <c:f>Productivity!$G$56</c:f>
              <c:strCache>
                <c:ptCount val="1"/>
                <c:pt idx="0">
                  <c:v>Large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Productivity!$H$52:$J$52</c:f>
              <c:numCache>
                <c:formatCode>General</c:formatCode>
                <c:ptCount val="3"/>
                <c:pt idx="0">
                  <c:v>2012</c:v>
                </c:pt>
                <c:pt idx="1">
                  <c:v>2013</c:v>
                </c:pt>
                <c:pt idx="2">
                  <c:v>2014</c:v>
                </c:pt>
              </c:numCache>
            </c:numRef>
          </c:cat>
          <c:val>
            <c:numRef>
              <c:f>Productivity!$H$56:$J$56</c:f>
              <c:numCache>
                <c:formatCode>0.0</c:formatCode>
                <c:ptCount val="3"/>
                <c:pt idx="0">
                  <c:v>11.944102308270494</c:v>
                </c:pt>
                <c:pt idx="1">
                  <c:v>11.938134861507079</c:v>
                </c:pt>
                <c:pt idx="2">
                  <c:v>11.995904019058548</c:v>
                </c:pt>
              </c:numCache>
            </c:numRef>
          </c:val>
          <c:extLst>
            <c:ext xmlns:c16="http://schemas.microsoft.com/office/drawing/2014/chart" uri="{C3380CC4-5D6E-409C-BE32-E72D297353CC}">
              <c16:uniqueId val="{00000006-6118-4F47-95CE-60F758CB4C09}"/>
            </c:ext>
          </c:extLst>
        </c:ser>
        <c:dLbls>
          <c:dLblPos val="outEnd"/>
          <c:showLegendKey val="0"/>
          <c:showVal val="1"/>
          <c:showCatName val="0"/>
          <c:showSerName val="0"/>
          <c:showPercent val="0"/>
          <c:showBubbleSize val="0"/>
        </c:dLbls>
        <c:gapWidth val="339"/>
        <c:overlap val="-84"/>
        <c:axId val="455986368"/>
        <c:axId val="460052928"/>
      </c:barChart>
      <c:catAx>
        <c:axId val="45598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052928"/>
        <c:crosses val="autoZero"/>
        <c:auto val="1"/>
        <c:lblAlgn val="ctr"/>
        <c:lblOffset val="100"/>
        <c:noMultiLvlLbl val="0"/>
      </c:catAx>
      <c:valAx>
        <c:axId val="460052928"/>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98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Productivity!$G$38</c:f>
              <c:strCache>
                <c:ptCount val="1"/>
                <c:pt idx="0">
                  <c:v>Micro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Productivity!$H$37:$J$37</c:f>
              <c:numCache>
                <c:formatCode>General</c:formatCode>
                <c:ptCount val="3"/>
                <c:pt idx="0">
                  <c:v>2012</c:v>
                </c:pt>
                <c:pt idx="1">
                  <c:v>2013</c:v>
                </c:pt>
                <c:pt idx="2">
                  <c:v>2014</c:v>
                </c:pt>
              </c:numCache>
            </c:numRef>
          </c:cat>
          <c:val>
            <c:numRef>
              <c:f>Productivity!$H$38:$J$38</c:f>
              <c:numCache>
                <c:formatCode>0.0</c:formatCode>
                <c:ptCount val="3"/>
                <c:pt idx="0">
                  <c:v>11.283277224385111</c:v>
                </c:pt>
                <c:pt idx="1">
                  <c:v>11.319156532597571</c:v>
                </c:pt>
                <c:pt idx="2">
                  <c:v>11.382112847700682</c:v>
                </c:pt>
              </c:numCache>
            </c:numRef>
          </c:val>
          <c:extLst>
            <c:ext xmlns:c16="http://schemas.microsoft.com/office/drawing/2014/chart" uri="{C3380CC4-5D6E-409C-BE32-E72D297353CC}">
              <c16:uniqueId val="{00000000-B632-43AA-B182-7B961097450F}"/>
            </c:ext>
          </c:extLst>
        </c:ser>
        <c:ser>
          <c:idx val="1"/>
          <c:order val="1"/>
          <c:tx>
            <c:strRef>
              <c:f>Productivity!$G$39</c:f>
              <c:strCache>
                <c:ptCount val="1"/>
                <c:pt idx="0">
                  <c:v>Small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Productivity!$H$37:$J$37</c:f>
              <c:numCache>
                <c:formatCode>General</c:formatCode>
                <c:ptCount val="3"/>
                <c:pt idx="0">
                  <c:v>2012</c:v>
                </c:pt>
                <c:pt idx="1">
                  <c:v>2013</c:v>
                </c:pt>
                <c:pt idx="2">
                  <c:v>2014</c:v>
                </c:pt>
              </c:numCache>
            </c:numRef>
          </c:cat>
          <c:val>
            <c:numRef>
              <c:f>Productivity!$H$39:$J$39</c:f>
              <c:numCache>
                <c:formatCode>0.0</c:formatCode>
                <c:ptCount val="3"/>
                <c:pt idx="0">
                  <c:v>11.822910430287454</c:v>
                </c:pt>
                <c:pt idx="1">
                  <c:v>11.839924282728763</c:v>
                </c:pt>
                <c:pt idx="2">
                  <c:v>11.856099982827056</c:v>
                </c:pt>
              </c:numCache>
            </c:numRef>
          </c:val>
          <c:extLst>
            <c:ext xmlns:c16="http://schemas.microsoft.com/office/drawing/2014/chart" uri="{C3380CC4-5D6E-409C-BE32-E72D297353CC}">
              <c16:uniqueId val="{00000001-B632-43AA-B182-7B961097450F}"/>
            </c:ext>
          </c:extLst>
        </c:ser>
        <c:ser>
          <c:idx val="2"/>
          <c:order val="2"/>
          <c:tx>
            <c:strRef>
              <c:f>Productivity!$G$40</c:f>
              <c:strCache>
                <c:ptCount val="1"/>
                <c:pt idx="0">
                  <c:v>Medium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Productivity!$H$37:$J$37</c:f>
              <c:numCache>
                <c:formatCode>General</c:formatCode>
                <c:ptCount val="3"/>
                <c:pt idx="0">
                  <c:v>2012</c:v>
                </c:pt>
                <c:pt idx="1">
                  <c:v>2013</c:v>
                </c:pt>
                <c:pt idx="2">
                  <c:v>2014</c:v>
                </c:pt>
              </c:numCache>
            </c:numRef>
          </c:cat>
          <c:val>
            <c:numRef>
              <c:f>Productivity!$H$40:$J$40</c:f>
              <c:numCache>
                <c:formatCode>0.0</c:formatCode>
                <c:ptCount val="3"/>
                <c:pt idx="0">
                  <c:v>11.277582346620671</c:v>
                </c:pt>
                <c:pt idx="1">
                  <c:v>11.458593988879533</c:v>
                </c:pt>
                <c:pt idx="2">
                  <c:v>11.425393165076095</c:v>
                </c:pt>
              </c:numCache>
            </c:numRef>
          </c:val>
          <c:extLst>
            <c:ext xmlns:c16="http://schemas.microsoft.com/office/drawing/2014/chart" uri="{C3380CC4-5D6E-409C-BE32-E72D297353CC}">
              <c16:uniqueId val="{00000002-B632-43AA-B182-7B961097450F}"/>
            </c:ext>
          </c:extLst>
        </c:ser>
        <c:ser>
          <c:idx val="3"/>
          <c:order val="3"/>
          <c:tx>
            <c:strRef>
              <c:f>Productivity!$G$41</c:f>
              <c:strCache>
                <c:ptCount val="1"/>
                <c:pt idx="0">
                  <c:v>Large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Productivity!$H$37:$J$37</c:f>
              <c:numCache>
                <c:formatCode>General</c:formatCode>
                <c:ptCount val="3"/>
                <c:pt idx="0">
                  <c:v>2012</c:v>
                </c:pt>
                <c:pt idx="1">
                  <c:v>2013</c:v>
                </c:pt>
                <c:pt idx="2">
                  <c:v>2014</c:v>
                </c:pt>
              </c:numCache>
            </c:numRef>
          </c:cat>
          <c:val>
            <c:numRef>
              <c:f>Productivity!$H$41:$J$41</c:f>
              <c:numCache>
                <c:formatCode>0.0</c:formatCode>
                <c:ptCount val="3"/>
                <c:pt idx="0">
                  <c:v>12.171488307800971</c:v>
                </c:pt>
                <c:pt idx="1">
                  <c:v>12.165013295846514</c:v>
                </c:pt>
                <c:pt idx="2">
                  <c:v>12.178071728480877</c:v>
                </c:pt>
              </c:numCache>
            </c:numRef>
          </c:val>
          <c:extLst>
            <c:ext xmlns:c16="http://schemas.microsoft.com/office/drawing/2014/chart" uri="{C3380CC4-5D6E-409C-BE32-E72D297353CC}">
              <c16:uniqueId val="{00000003-B632-43AA-B182-7B961097450F}"/>
            </c:ext>
          </c:extLst>
        </c:ser>
        <c:dLbls>
          <c:dLblPos val="outEnd"/>
          <c:showLegendKey val="0"/>
          <c:showVal val="1"/>
          <c:showCatName val="0"/>
          <c:showSerName val="0"/>
          <c:showPercent val="0"/>
          <c:showBubbleSize val="0"/>
        </c:dLbls>
        <c:gapWidth val="219"/>
        <c:overlap val="-94"/>
        <c:axId val="456707392"/>
        <c:axId val="422387712"/>
      </c:barChart>
      <c:catAx>
        <c:axId val="45670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387712"/>
        <c:crosses val="autoZero"/>
        <c:auto val="1"/>
        <c:lblAlgn val="ctr"/>
        <c:lblOffset val="100"/>
        <c:noMultiLvlLbl val="0"/>
      </c:catAx>
      <c:valAx>
        <c:axId val="422387712"/>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70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Sheet1!$A$267</c:f>
              <c:strCache>
                <c:ptCount val="1"/>
                <c:pt idx="0">
                  <c:v>Indonesia</c:v>
                </c:pt>
              </c:strCache>
            </c:strRef>
          </c:tx>
          <c:spPr>
            <a:ln w="28575" cap="rnd">
              <a:solidFill>
                <a:schemeClr val="accent1">
                  <a:shade val="58000"/>
                </a:schemeClr>
              </a:solidFill>
              <a:round/>
            </a:ln>
            <a:effectLst/>
          </c:spPr>
          <c:marker>
            <c:symbol val="none"/>
          </c:marker>
          <c:cat>
            <c:numRef>
              <c:f>Sheet1!$B$266:$L$266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Sheet1!$B$267:$L$267</c:f>
              <c:numCache>
                <c:formatCode>#,##0</c:formatCode>
                <c:ptCount val="11"/>
                <c:pt idx="0">
                  <c:v>23535</c:v>
                </c:pt>
                <c:pt idx="1">
                  <c:v>24964</c:v>
                </c:pt>
                <c:pt idx="2">
                  <c:v>39302</c:v>
                </c:pt>
                <c:pt idx="3">
                  <c:v>29604</c:v>
                </c:pt>
                <c:pt idx="4">
                  <c:v>38106</c:v>
                </c:pt>
                <c:pt idx="5">
                  <c:v>43906</c:v>
                </c:pt>
                <c:pt idx="6">
                  <c:v>47714</c:v>
                </c:pt>
                <c:pt idx="7">
                  <c:v>51151</c:v>
                </c:pt>
                <c:pt idx="8">
                  <c:v>57926</c:v>
                </c:pt>
                <c:pt idx="9">
                  <c:v>57079</c:v>
                </c:pt>
                <c:pt idx="10">
                  <c:v>58426</c:v>
                </c:pt>
              </c:numCache>
            </c:numRef>
          </c:val>
          <c:smooth val="0"/>
          <c:extLst>
            <c:ext xmlns:c16="http://schemas.microsoft.com/office/drawing/2014/chart" uri="{C3380CC4-5D6E-409C-BE32-E72D297353CC}">
              <c16:uniqueId val="{00000001-ACAB-4941-9948-50A78BDE829F}"/>
            </c:ext>
          </c:extLst>
        </c:ser>
        <c:ser>
          <c:idx val="1"/>
          <c:order val="1"/>
          <c:tx>
            <c:strRef>
              <c:f>Sheet1!$A$268</c:f>
              <c:strCache>
                <c:ptCount val="1"/>
                <c:pt idx="0">
                  <c:v>Malaysia</c:v>
                </c:pt>
              </c:strCache>
            </c:strRef>
          </c:tx>
          <c:spPr>
            <a:ln w="28575" cap="rnd">
              <a:solidFill>
                <a:schemeClr val="accent1">
                  <a:shade val="86000"/>
                </a:schemeClr>
              </a:solidFill>
              <a:round/>
            </a:ln>
            <a:effectLst/>
          </c:spPr>
          <c:marker>
            <c:symbol val="none"/>
          </c:marker>
          <c:cat>
            <c:numRef>
              <c:f>Sheet1!$B$266:$L$266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Sheet1!$B$268:$L$268</c:f>
              <c:numCache>
                <c:formatCode>#,##0</c:formatCode>
                <c:ptCount val="11"/>
                <c:pt idx="0">
                  <c:v>38293</c:v>
                </c:pt>
                <c:pt idx="1">
                  <c:v>43337</c:v>
                </c:pt>
                <c:pt idx="2">
                  <c:v>41623</c:v>
                </c:pt>
                <c:pt idx="3">
                  <c:v>41638</c:v>
                </c:pt>
                <c:pt idx="4">
                  <c:v>44202</c:v>
                </c:pt>
                <c:pt idx="5">
                  <c:v>45455</c:v>
                </c:pt>
                <c:pt idx="6">
                  <c:v>45441</c:v>
                </c:pt>
                <c:pt idx="7">
                  <c:v>46321</c:v>
                </c:pt>
                <c:pt idx="8">
                  <c:v>49203</c:v>
                </c:pt>
                <c:pt idx="9">
                  <c:v>49510</c:v>
                </c:pt>
                <c:pt idx="10">
                  <c:v>46555</c:v>
                </c:pt>
              </c:numCache>
            </c:numRef>
          </c:val>
          <c:smooth val="0"/>
          <c:extLst>
            <c:ext xmlns:c16="http://schemas.microsoft.com/office/drawing/2014/chart" uri="{C3380CC4-5D6E-409C-BE32-E72D297353CC}">
              <c16:uniqueId val="{00000003-ACAB-4941-9948-50A78BDE829F}"/>
            </c:ext>
          </c:extLst>
        </c:ser>
        <c:ser>
          <c:idx val="2"/>
          <c:order val="2"/>
          <c:tx>
            <c:strRef>
              <c:f>Sheet1!$A$269</c:f>
              <c:strCache>
                <c:ptCount val="1"/>
                <c:pt idx="0">
                  <c:v>Philippines</c:v>
                </c:pt>
              </c:strCache>
            </c:strRef>
          </c:tx>
          <c:spPr>
            <a:ln w="28575" cap="rnd">
              <a:solidFill>
                <a:sysClr val="windowText" lastClr="000000"/>
              </a:solidFill>
              <a:round/>
            </a:ln>
            <a:effectLst/>
          </c:spPr>
          <c:marker>
            <c:symbol val="none"/>
          </c:marker>
          <c:cat>
            <c:numRef>
              <c:f>Sheet1!$B$266:$L$266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Sheet1!$B$269:$L$269</c:f>
              <c:numCache>
                <c:formatCode>#,##0</c:formatCode>
                <c:ptCount val="11"/>
                <c:pt idx="0">
                  <c:v>13325</c:v>
                </c:pt>
                <c:pt idx="1">
                  <c:v>12285</c:v>
                </c:pt>
                <c:pt idx="2">
                  <c:v>13470</c:v>
                </c:pt>
                <c:pt idx="3">
                  <c:v>11435</c:v>
                </c:pt>
                <c:pt idx="4">
                  <c:v>11714</c:v>
                </c:pt>
                <c:pt idx="5">
                  <c:v>17495</c:v>
                </c:pt>
                <c:pt idx="6">
                  <c:v>18515</c:v>
                </c:pt>
                <c:pt idx="7">
                  <c:v>20231</c:v>
                </c:pt>
                <c:pt idx="8">
                  <c:v>21066</c:v>
                </c:pt>
                <c:pt idx="9">
                  <c:v>21068</c:v>
                </c:pt>
                <c:pt idx="10">
                  <c:v>21735</c:v>
                </c:pt>
              </c:numCache>
            </c:numRef>
          </c:val>
          <c:smooth val="0"/>
          <c:extLst>
            <c:ext xmlns:c16="http://schemas.microsoft.com/office/drawing/2014/chart" uri="{C3380CC4-5D6E-409C-BE32-E72D297353CC}">
              <c16:uniqueId val="{00000005-ACAB-4941-9948-50A78BDE829F}"/>
            </c:ext>
          </c:extLst>
        </c:ser>
        <c:ser>
          <c:idx val="3"/>
          <c:order val="3"/>
          <c:tx>
            <c:strRef>
              <c:f>Sheet1!$A$270</c:f>
              <c:strCache>
                <c:ptCount val="1"/>
                <c:pt idx="0">
                  <c:v>Thailand</c:v>
                </c:pt>
              </c:strCache>
            </c:strRef>
          </c:tx>
          <c:spPr>
            <a:ln w="28575" cap="rnd">
              <a:solidFill>
                <a:schemeClr val="accent1">
                  <a:tint val="58000"/>
                </a:schemeClr>
              </a:solidFill>
              <a:round/>
            </a:ln>
            <a:effectLst/>
          </c:spPr>
          <c:marker>
            <c:symbol val="none"/>
          </c:marker>
          <c:cat>
            <c:numRef>
              <c:f>Sheet1!$B$266:$L$266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Sheet1!$B$270:$L$270</c:f>
              <c:numCache>
                <c:formatCode>#,##0</c:formatCode>
                <c:ptCount val="11"/>
                <c:pt idx="0">
                  <c:v>30119</c:v>
                </c:pt>
                <c:pt idx="1">
                  <c:v>25156</c:v>
                </c:pt>
                <c:pt idx="2">
                  <c:v>27655</c:v>
                </c:pt>
                <c:pt idx="3">
                  <c:v>27520</c:v>
                </c:pt>
                <c:pt idx="4">
                  <c:v>31707</c:v>
                </c:pt>
                <c:pt idx="5">
                  <c:v>33704</c:v>
                </c:pt>
                <c:pt idx="6">
                  <c:v>40900</c:v>
                </c:pt>
                <c:pt idx="7">
                  <c:v>44482</c:v>
                </c:pt>
                <c:pt idx="8">
                  <c:v>43589</c:v>
                </c:pt>
                <c:pt idx="9">
                  <c:v>44809</c:v>
                </c:pt>
                <c:pt idx="10">
                  <c:v>48907</c:v>
                </c:pt>
              </c:numCache>
            </c:numRef>
          </c:val>
          <c:smooth val="0"/>
          <c:extLst>
            <c:ext xmlns:c16="http://schemas.microsoft.com/office/drawing/2014/chart" uri="{C3380CC4-5D6E-409C-BE32-E72D297353CC}">
              <c16:uniqueId val="{00000007-ACAB-4941-9948-50A78BDE829F}"/>
            </c:ext>
          </c:extLst>
        </c:ser>
        <c:dLbls>
          <c:showLegendKey val="0"/>
          <c:showVal val="0"/>
          <c:showCatName val="0"/>
          <c:showSerName val="0"/>
          <c:showPercent val="0"/>
          <c:showBubbleSize val="0"/>
        </c:dLbls>
        <c:smooth val="0"/>
        <c:axId val="371849992"/>
        <c:axId val="371851952"/>
      </c:lineChart>
      <c:catAx>
        <c:axId val="371849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1851952"/>
        <c:crosses val="autoZero"/>
        <c:auto val="1"/>
        <c:lblAlgn val="ctr"/>
        <c:lblOffset val="100"/>
        <c:noMultiLvlLbl val="0"/>
      </c:catAx>
      <c:valAx>
        <c:axId val="371851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1849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Sheet1!$A$274</c:f>
              <c:strCache>
                <c:ptCount val="1"/>
                <c:pt idx="0">
                  <c:v>Indonesia</c:v>
                </c:pt>
              </c:strCache>
            </c:strRef>
          </c:tx>
          <c:spPr>
            <a:ln w="28575" cap="rnd">
              <a:solidFill>
                <a:schemeClr val="accent1">
                  <a:shade val="58000"/>
                </a:schemeClr>
              </a:solidFill>
              <a:round/>
            </a:ln>
            <a:effectLst/>
          </c:spPr>
          <c:marker>
            <c:symbol val="none"/>
          </c:marker>
          <c:cat>
            <c:numRef>
              <c:f>Sheet1!$B$273:$L$273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Sheet1!$B$274:$L$274</c:f>
              <c:numCache>
                <c:formatCode>0.00</c:formatCode>
                <c:ptCount val="11"/>
                <c:pt idx="0">
                  <c:v>0.15875454519625543</c:v>
                </c:pt>
                <c:pt idx="1">
                  <c:v>0.16611808681605109</c:v>
                </c:pt>
                <c:pt idx="2">
                  <c:v>0.257977675052313</c:v>
                </c:pt>
                <c:pt idx="3">
                  <c:v>0.19159253215489816</c:v>
                </c:pt>
                <c:pt idx="4">
                  <c:v>0.24297951109992205</c:v>
                </c:pt>
                <c:pt idx="5">
                  <c:v>0.27560352753432776</c:v>
                </c:pt>
                <c:pt idx="6">
                  <c:v>0.29464227717267139</c:v>
                </c:pt>
                <c:pt idx="7">
                  <c:v>0.31070285035044687</c:v>
                </c:pt>
                <c:pt idx="8">
                  <c:v>0.34598912734274195</c:v>
                </c:pt>
                <c:pt idx="9">
                  <c:v>0.32933817684485256</c:v>
                </c:pt>
                <c:pt idx="10">
                  <c:v>0.33301585700037134</c:v>
                </c:pt>
              </c:numCache>
            </c:numRef>
          </c:val>
          <c:smooth val="0"/>
          <c:extLst>
            <c:ext xmlns:c16="http://schemas.microsoft.com/office/drawing/2014/chart" uri="{C3380CC4-5D6E-409C-BE32-E72D297353CC}">
              <c16:uniqueId val="{00000000-9472-4369-8773-6B04A705754D}"/>
            </c:ext>
          </c:extLst>
        </c:ser>
        <c:ser>
          <c:idx val="1"/>
          <c:order val="1"/>
          <c:tx>
            <c:strRef>
              <c:f>Sheet1!$A$275</c:f>
              <c:strCache>
                <c:ptCount val="1"/>
                <c:pt idx="0">
                  <c:v>Malaysia</c:v>
                </c:pt>
              </c:strCache>
            </c:strRef>
          </c:tx>
          <c:spPr>
            <a:ln w="28575" cap="rnd">
              <a:solidFill>
                <a:schemeClr val="accent1">
                  <a:shade val="86000"/>
                </a:schemeClr>
              </a:solidFill>
              <a:round/>
            </a:ln>
            <a:effectLst/>
          </c:spPr>
          <c:marker>
            <c:symbol val="none"/>
          </c:marker>
          <c:cat>
            <c:numRef>
              <c:f>Sheet1!$B$273:$L$273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Sheet1!$B$275:$L$275</c:f>
              <c:numCache>
                <c:formatCode>0.00</c:formatCode>
                <c:ptCount val="11"/>
                <c:pt idx="0">
                  <c:v>2.2087830345528352</c:v>
                </c:pt>
                <c:pt idx="1">
                  <c:v>2.4381962512528688</c:v>
                </c:pt>
                <c:pt idx="2">
                  <c:v>2.2856248567125781</c:v>
                </c:pt>
                <c:pt idx="3">
                  <c:v>2.2330609179211476</c:v>
                </c:pt>
                <c:pt idx="4">
                  <c:v>2.3167186349882485</c:v>
                </c:pt>
                <c:pt idx="5">
                  <c:v>2.3297526402880888</c:v>
                </c:pt>
                <c:pt idx="6">
                  <c:v>2.2791719565297641</c:v>
                </c:pt>
                <c:pt idx="7">
                  <c:v>2.2742788882296092</c:v>
                </c:pt>
                <c:pt idx="8">
                  <c:v>2.3706989073623492</c:v>
                </c:pt>
                <c:pt idx="9">
                  <c:v>2.3324291287900221</c:v>
                </c:pt>
                <c:pt idx="10">
                  <c:v>2.2624382713484534</c:v>
                </c:pt>
              </c:numCache>
            </c:numRef>
          </c:val>
          <c:smooth val="0"/>
          <c:extLst>
            <c:ext xmlns:c16="http://schemas.microsoft.com/office/drawing/2014/chart" uri="{C3380CC4-5D6E-409C-BE32-E72D297353CC}">
              <c16:uniqueId val="{00000001-9472-4369-8773-6B04A705754D}"/>
            </c:ext>
          </c:extLst>
        </c:ser>
        <c:ser>
          <c:idx val="2"/>
          <c:order val="2"/>
          <c:tx>
            <c:strRef>
              <c:f>Sheet1!$A$276</c:f>
              <c:strCache>
                <c:ptCount val="1"/>
                <c:pt idx="0">
                  <c:v>Philippines</c:v>
                </c:pt>
              </c:strCache>
            </c:strRef>
          </c:tx>
          <c:spPr>
            <a:ln w="28575" cap="rnd">
              <a:solidFill>
                <a:sysClr val="windowText" lastClr="000000"/>
              </a:solidFill>
              <a:round/>
            </a:ln>
            <a:effectLst/>
          </c:spPr>
          <c:marker>
            <c:symbol val="none"/>
          </c:marker>
          <c:cat>
            <c:numRef>
              <c:f>Sheet1!$B$273:$L$273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Sheet1!$B$276:$L$276</c:f>
              <c:numCache>
                <c:formatCode>0.00</c:formatCode>
                <c:ptCount val="11"/>
                <c:pt idx="0">
                  <c:v>0.25513346725750152</c:v>
                </c:pt>
                <c:pt idx="1">
                  <c:v>0.23010072193188408</c:v>
                </c:pt>
                <c:pt idx="2">
                  <c:v>0.24687635431474436</c:v>
                </c:pt>
                <c:pt idx="3">
                  <c:v>0.20506873236785503</c:v>
                </c:pt>
                <c:pt idx="4">
                  <c:v>0.20550179928982759</c:v>
                </c:pt>
                <c:pt idx="5">
                  <c:v>0.30015773936871998</c:v>
                </c:pt>
                <c:pt idx="6">
                  <c:v>0.310616296284764</c:v>
                </c:pt>
                <c:pt idx="7">
                  <c:v>0.33185279842487447</c:v>
                </c:pt>
                <c:pt idx="8">
                  <c:v>0.33816575178431557</c:v>
                </c:pt>
                <c:pt idx="9">
                  <c:v>0.32632590959173596</c:v>
                </c:pt>
                <c:pt idx="10">
                  <c:v>0.33068932497887493</c:v>
                </c:pt>
              </c:numCache>
            </c:numRef>
          </c:val>
          <c:smooth val="0"/>
          <c:extLst>
            <c:ext xmlns:c16="http://schemas.microsoft.com/office/drawing/2014/chart" uri="{C3380CC4-5D6E-409C-BE32-E72D297353CC}">
              <c16:uniqueId val="{00000002-9472-4369-8773-6B04A705754D}"/>
            </c:ext>
          </c:extLst>
        </c:ser>
        <c:ser>
          <c:idx val="3"/>
          <c:order val="3"/>
          <c:tx>
            <c:strRef>
              <c:f>Sheet1!$A$277</c:f>
              <c:strCache>
                <c:ptCount val="1"/>
                <c:pt idx="0">
                  <c:v>Thailand</c:v>
                </c:pt>
              </c:strCache>
            </c:strRef>
          </c:tx>
          <c:spPr>
            <a:ln w="28575" cap="rnd">
              <a:solidFill>
                <a:schemeClr val="accent1">
                  <a:tint val="58000"/>
                </a:schemeClr>
              </a:solidFill>
              <a:round/>
            </a:ln>
            <a:effectLst/>
          </c:spPr>
          <c:marker>
            <c:symbol val="none"/>
          </c:marker>
          <c:cat>
            <c:numRef>
              <c:f>Sheet1!$B$273:$L$273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Sheet1!$B$277:$L$277</c:f>
              <c:numCache>
                <c:formatCode>0.00</c:formatCode>
                <c:ptCount val="11"/>
                <c:pt idx="0">
                  <c:v>0.65062311869006118</c:v>
                </c:pt>
                <c:pt idx="1">
                  <c:v>0.5387898030538647</c:v>
                </c:pt>
                <c:pt idx="2">
                  <c:v>0.58775058912671829</c:v>
                </c:pt>
                <c:pt idx="3">
                  <c:v>0.58082574341262982</c:v>
                </c:pt>
                <c:pt idx="4">
                  <c:v>0.66505494616131977</c:v>
                </c:pt>
                <c:pt idx="5">
                  <c:v>0.70308291553365376</c:v>
                </c:pt>
                <c:pt idx="6">
                  <c:v>0.84917318145826004</c:v>
                </c:pt>
                <c:pt idx="7">
                  <c:v>0.92013890576780144</c:v>
                </c:pt>
                <c:pt idx="8">
                  <c:v>0.89875003250028085</c:v>
                </c:pt>
                <c:pt idx="9">
                  <c:v>0.90875583143811789</c:v>
                </c:pt>
                <c:pt idx="10">
                  <c:v>0.990838045336488</c:v>
                </c:pt>
              </c:numCache>
            </c:numRef>
          </c:val>
          <c:smooth val="0"/>
          <c:extLst>
            <c:ext xmlns:c16="http://schemas.microsoft.com/office/drawing/2014/chart" uri="{C3380CC4-5D6E-409C-BE32-E72D297353CC}">
              <c16:uniqueId val="{00000003-9472-4369-8773-6B04A705754D}"/>
            </c:ext>
          </c:extLst>
        </c:ser>
        <c:dLbls>
          <c:showLegendKey val="0"/>
          <c:showVal val="0"/>
          <c:showCatName val="0"/>
          <c:showSerName val="0"/>
          <c:showPercent val="0"/>
          <c:showBubbleSize val="0"/>
        </c:dLbls>
        <c:smooth val="0"/>
        <c:axId val="371850776"/>
        <c:axId val="371849208"/>
      </c:lineChart>
      <c:catAx>
        <c:axId val="371850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1849208"/>
        <c:crosses val="autoZero"/>
        <c:auto val="1"/>
        <c:lblAlgn val="ctr"/>
        <c:lblOffset val="100"/>
        <c:noMultiLvlLbl val="0"/>
      </c:catAx>
      <c:valAx>
        <c:axId val="371849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1850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036107241131256E-2"/>
          <c:y val="9.0970888912858483E-2"/>
          <c:w val="0.94192778551773748"/>
          <c:h val="0.61817519385419284"/>
        </c:manualLayout>
      </c:layout>
      <c:barChart>
        <c:barDir val="col"/>
        <c:grouping val="clustered"/>
        <c:varyColors val="0"/>
        <c:ser>
          <c:idx val="0"/>
          <c:order val="0"/>
          <c:tx>
            <c:strRef>
              <c:f>Sheet1!$B$1</c:f>
              <c:strCache>
                <c:ptCount val="1"/>
                <c:pt idx="0">
                  <c:v>Series 1</c:v>
                </c:pt>
              </c:strCache>
            </c:strRef>
          </c:tx>
          <c:spPr>
            <a:solidFill>
              <a:schemeClr val="accent1"/>
            </a:solidFill>
            <a:ln w="0">
              <a:solidFill>
                <a:schemeClr val="tx1"/>
              </a:solidFill>
            </a:ln>
            <a:effectLst/>
          </c:spPr>
          <c:invertIfNegative val="0"/>
          <c:dPt>
            <c:idx val="0"/>
            <c:invertIfNegative val="0"/>
            <c:bubble3D val="0"/>
            <c:spPr>
              <a:solidFill>
                <a:schemeClr val="accent5"/>
              </a:solidFill>
              <a:ln w="0">
                <a:solidFill>
                  <a:schemeClr val="tx1"/>
                </a:solidFill>
              </a:ln>
              <a:effectLst/>
            </c:spPr>
            <c:extLst>
              <c:ext xmlns:c16="http://schemas.microsoft.com/office/drawing/2014/chart" uri="{C3380CC4-5D6E-409C-BE32-E72D297353CC}">
                <c16:uniqueId val="{00000001-70EC-4066-BC8A-A2A07F06F1CB}"/>
              </c:ext>
            </c:extLst>
          </c:dPt>
          <c:dPt>
            <c:idx val="1"/>
            <c:invertIfNegative val="0"/>
            <c:bubble3D val="0"/>
            <c:spPr>
              <a:solidFill>
                <a:schemeClr val="tx1"/>
              </a:solidFill>
              <a:ln w="0">
                <a:solidFill>
                  <a:schemeClr val="tx1"/>
                </a:solidFill>
              </a:ln>
              <a:effectLst/>
            </c:spPr>
            <c:extLst>
              <c:ext xmlns:c16="http://schemas.microsoft.com/office/drawing/2014/chart" uri="{C3380CC4-5D6E-409C-BE32-E72D297353CC}">
                <c16:uniqueId val="{00000003-70EC-4066-BC8A-A2A07F06F1CB}"/>
              </c:ext>
            </c:extLst>
          </c:dPt>
          <c:dPt>
            <c:idx val="2"/>
            <c:invertIfNegative val="0"/>
            <c:bubble3D val="0"/>
            <c:spPr>
              <a:solidFill>
                <a:schemeClr val="accent5"/>
              </a:solidFill>
              <a:ln w="0">
                <a:solidFill>
                  <a:schemeClr val="tx1"/>
                </a:solidFill>
              </a:ln>
              <a:effectLst/>
            </c:spPr>
            <c:extLst>
              <c:ext xmlns:c16="http://schemas.microsoft.com/office/drawing/2014/chart" uri="{C3380CC4-5D6E-409C-BE32-E72D297353CC}">
                <c16:uniqueId val="{00000005-70EC-4066-BC8A-A2A07F06F1CB}"/>
              </c:ext>
            </c:extLst>
          </c:dPt>
          <c:dPt>
            <c:idx val="3"/>
            <c:invertIfNegative val="0"/>
            <c:bubble3D val="0"/>
            <c:spPr>
              <a:solidFill>
                <a:schemeClr val="accent5"/>
              </a:solidFill>
              <a:ln w="0">
                <a:solidFill>
                  <a:schemeClr val="tx1"/>
                </a:solidFill>
              </a:ln>
              <a:effectLst/>
            </c:spPr>
            <c:extLst>
              <c:ext xmlns:c16="http://schemas.microsoft.com/office/drawing/2014/chart" uri="{C3380CC4-5D6E-409C-BE32-E72D297353CC}">
                <c16:uniqueId val="{00000007-70EC-4066-BC8A-A2A07F06F1CB}"/>
              </c:ext>
            </c:extLst>
          </c:dPt>
          <c:dPt>
            <c:idx val="4"/>
            <c:invertIfNegative val="0"/>
            <c:bubble3D val="0"/>
            <c:spPr>
              <a:solidFill>
                <a:schemeClr val="accent5"/>
              </a:solidFill>
              <a:ln w="0">
                <a:solidFill>
                  <a:schemeClr val="tx1"/>
                </a:solidFill>
              </a:ln>
              <a:effectLst/>
            </c:spPr>
            <c:extLst>
              <c:ext xmlns:c16="http://schemas.microsoft.com/office/drawing/2014/chart" uri="{C3380CC4-5D6E-409C-BE32-E72D297353CC}">
                <c16:uniqueId val="{00000009-70EC-4066-BC8A-A2A07F06F1CB}"/>
              </c:ext>
            </c:extLst>
          </c:dPt>
          <c:dPt>
            <c:idx val="5"/>
            <c:invertIfNegative val="0"/>
            <c:bubble3D val="0"/>
            <c:spPr>
              <a:solidFill>
                <a:schemeClr val="accent2"/>
              </a:solidFill>
              <a:ln w="0">
                <a:solidFill>
                  <a:schemeClr val="tx1"/>
                </a:solidFill>
              </a:ln>
              <a:effectLst/>
            </c:spPr>
            <c:extLst>
              <c:ext xmlns:c16="http://schemas.microsoft.com/office/drawing/2014/chart" uri="{C3380CC4-5D6E-409C-BE32-E72D297353CC}">
                <c16:uniqueId val="{0000000B-70EC-4066-BC8A-A2A07F06F1CB}"/>
              </c:ext>
            </c:extLst>
          </c:dPt>
          <c:dPt>
            <c:idx val="6"/>
            <c:invertIfNegative val="0"/>
            <c:bubble3D val="0"/>
            <c:spPr>
              <a:solidFill>
                <a:schemeClr val="accent5"/>
              </a:solidFill>
              <a:ln w="0">
                <a:solidFill>
                  <a:schemeClr val="tx1"/>
                </a:solidFill>
              </a:ln>
              <a:effectLst/>
            </c:spPr>
            <c:extLst>
              <c:ext xmlns:c16="http://schemas.microsoft.com/office/drawing/2014/chart" uri="{C3380CC4-5D6E-409C-BE32-E72D297353CC}">
                <c16:uniqueId val="{0000000D-70EC-4066-BC8A-A2A07F06F1CB}"/>
              </c:ext>
            </c:extLst>
          </c:dPt>
          <c:dLbls>
            <c:dLbl>
              <c:idx val="1"/>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EC-4066-BC8A-A2A07F06F1C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Indonesia</c:v>
                </c:pt>
                <c:pt idx="1">
                  <c:v>Philippines</c:v>
                </c:pt>
                <c:pt idx="2">
                  <c:v>Thailand</c:v>
                </c:pt>
                <c:pt idx="3">
                  <c:v>Vietnam</c:v>
                </c:pt>
                <c:pt idx="4">
                  <c:v>China</c:v>
                </c:pt>
                <c:pt idx="5">
                  <c:v>Morocco</c:v>
                </c:pt>
                <c:pt idx="6">
                  <c:v>Malaysia</c:v>
                </c:pt>
              </c:strCache>
            </c:strRef>
          </c:cat>
          <c:val>
            <c:numRef>
              <c:f>Sheet1!$B$2:$B$8</c:f>
              <c:numCache>
                <c:formatCode>General</c:formatCode>
                <c:ptCount val="7"/>
                <c:pt idx="0">
                  <c:v>17.670000000000002</c:v>
                </c:pt>
                <c:pt idx="1">
                  <c:v>17.16</c:v>
                </c:pt>
                <c:pt idx="2">
                  <c:v>13.74</c:v>
                </c:pt>
                <c:pt idx="3">
                  <c:v>13.65</c:v>
                </c:pt>
                <c:pt idx="4">
                  <c:v>12.84</c:v>
                </c:pt>
                <c:pt idx="5">
                  <c:v>4.4400000000000004</c:v>
                </c:pt>
                <c:pt idx="6">
                  <c:v>2.93</c:v>
                </c:pt>
              </c:numCache>
            </c:numRef>
          </c:val>
          <c:extLst>
            <c:ext xmlns:c16="http://schemas.microsoft.com/office/drawing/2014/chart" uri="{C3380CC4-5D6E-409C-BE32-E72D297353CC}">
              <c16:uniqueId val="{0000000E-70EC-4066-BC8A-A2A07F06F1CB}"/>
            </c:ext>
          </c:extLst>
        </c:ser>
        <c:dLbls>
          <c:showLegendKey val="0"/>
          <c:showVal val="0"/>
          <c:showCatName val="0"/>
          <c:showSerName val="0"/>
          <c:showPercent val="0"/>
          <c:showBubbleSize val="0"/>
        </c:dLbls>
        <c:gapWidth val="82"/>
        <c:overlap val="-27"/>
        <c:axId val="374837984"/>
        <c:axId val="430383736"/>
      </c:barChart>
      <c:catAx>
        <c:axId val="37483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0383736"/>
        <c:crosses val="autoZero"/>
        <c:auto val="1"/>
        <c:lblAlgn val="ctr"/>
        <c:lblOffset val="100"/>
        <c:noMultiLvlLbl val="0"/>
      </c:catAx>
      <c:valAx>
        <c:axId val="430383736"/>
        <c:scaling>
          <c:orientation val="minMax"/>
        </c:scaling>
        <c:delete val="1"/>
        <c:axPos val="l"/>
        <c:numFmt formatCode="General" sourceLinked="1"/>
        <c:majorTickMark val="none"/>
        <c:minorTickMark val="none"/>
        <c:tickLblPos val="nextTo"/>
        <c:crossAx val="374837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0.25747</cdr:x>
      <cdr:y>0.57737</cdr:y>
    </cdr:from>
    <cdr:to>
      <cdr:x>0.42322</cdr:x>
      <cdr:y>0.64415</cdr:y>
    </cdr:to>
    <cdr:sp macro="" textlink="">
      <cdr:nvSpPr>
        <cdr:cNvPr id="2" name="TextBox 1"/>
        <cdr:cNvSpPr txBox="1"/>
      </cdr:nvSpPr>
      <cdr:spPr>
        <a:xfrm xmlns:a="http://schemas.openxmlformats.org/drawingml/2006/main">
          <a:off x="792113" y="1605840"/>
          <a:ext cx="509942" cy="1857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solidFill>
                <a:srgbClr val="FF0000"/>
              </a:solidFill>
            </a:rPr>
            <a:t>PHL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a4117c50-33ca-4e49-9a5c-4b51d291b3ff" ContentTypeId="0x01010054E0FEF4951F9D49A6F48A35419983C7" PreviousValue="false"/>
</file>

<file path=customXml/item2.xml><?xml version="1.0" encoding="utf-8"?>
<p:properties xmlns:p="http://schemas.microsoft.com/office/2006/metadata/properties" xmlns:xsi="http://www.w3.org/2001/XMLSchema-instance" xmlns:pc="http://schemas.microsoft.com/office/infopath/2007/PartnerControls">
  <documentManagement>
    <DocAuthors xmlns="b99a068c-3844-4a16-badd-77233eea0529">000211506:Asya Akhlaque:aakhlaque@worldbank.org;</DocAuthors>
    <Authors xmlns="b99a068c-3844-4a16-badd-77233eea0529">
      <UserInfo>
        <DisplayName>i:0#.w|wb\wb211506</DisplayName>
        <AccountId>5728</AccountId>
        <AccountType/>
      </UserInfo>
      <UserInfo>
        <DisplayName/>
        <AccountId xsi:nil="true"/>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2019-06-06T04:00:00+00:00</DocumentDate>
    <WBDocType xmlns="b99a068c-3844-4a16-badd-77233eea0529">Report</WBDocType>
    <SecurityClassification xmlns="b99a068c-3844-4a16-badd-77233eea0529">Public</SecurityClassification>
    <DeliverableID xmlns="b99a068c-3844-4a16-badd-77233eea0529">DLV0312744</DeliverableID>
    <ProjectID xmlns="b99a068c-3844-4a16-badd-77233eea0529">P164568</ProjectID>
    <Task_x0020_ID xmlns="b99a068c-3844-4a16-badd-77233eea0529">TSK8617362</Task_x0020_ID>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21</DocStatus>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AA79E4AD652DE548B56679B0B2F94D07" ma:contentTypeVersion="3" ma:contentTypeDescription="" ma:contentTypeScope="" ma:versionID="3f8ca74848e2f536d78eadf94be2515d">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839BC-BE20-4933-8388-2B70AF99B7D8}">
  <ds:schemaRefs>
    <ds:schemaRef ds:uri="Microsoft.SharePoint.Taxonomy.ContentTypeSync"/>
  </ds:schemaRefs>
</ds:datastoreItem>
</file>

<file path=customXml/itemProps2.xml><?xml version="1.0" encoding="utf-8"?>
<ds:datastoreItem xmlns:ds="http://schemas.openxmlformats.org/officeDocument/2006/customXml" ds:itemID="{289BF683-E5EE-4200-891F-01DC4F65DFD6}">
  <ds:schemaRefs>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http://schemas.microsoft.com/office/2006/metadata/properties"/>
    <ds:schemaRef ds:uri="b99a068c-3844-4a16-badd-77233eea0529"/>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4D604BE3-30DA-4B5C-AD44-C00D1242A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a068c-3844-4a16-badd-77233eea05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62402B-3D65-4F44-9BB0-0C979A550952}">
  <ds:schemaRefs>
    <ds:schemaRef ds:uri="http://schemas.microsoft.com/sharepoint/v3/contenttype/forms"/>
  </ds:schemaRefs>
</ds:datastoreItem>
</file>

<file path=customXml/itemProps5.xml><?xml version="1.0" encoding="utf-8"?>
<ds:datastoreItem xmlns:ds="http://schemas.openxmlformats.org/officeDocument/2006/customXml" ds:itemID="{53127F2A-4D3F-42D9-AFA0-CDCF2DB68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32398</Words>
  <Characters>184670</Characters>
  <Application>Microsoft Office Word</Application>
  <DocSecurity>0</DocSecurity>
  <Lines>1538</Lines>
  <Paragraphs>433</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PH Assessing the Effectiveness of Entrepreneurship and MSME Support</vt:lpstr>
      <vt:lpstr>Acknowledgements </vt:lpstr>
      <vt:lpstr>    List of Abbreviations</vt:lpstr>
      <vt:lpstr>EXECUTIVE SUMMARY </vt:lpstr>
      <vt:lpstr>Introduction</vt:lpstr>
      <vt:lpstr>Context</vt:lpstr>
      <vt:lpstr>MSMEs is the private sector in the Philippines</vt:lpstr>
      <vt:lpstr>    Productivity is key for improving MSMEs performance </vt:lpstr>
      <vt:lpstr>Entrepreneurship and emerging startup ecosystem</vt:lpstr>
      <vt:lpstr>The Analytical Framework </vt:lpstr>
      <vt:lpstr>Drivers of firm productivity growth </vt:lpstr>
      <vt:lpstr>External factors: operating environment for MSMEs</vt:lpstr>
      <vt:lpstr>Other complementary factors </vt:lpstr>
      <vt:lpstr>Internal firm constraints</vt:lpstr>
    </vt:vector>
  </TitlesOfParts>
  <Company/>
  <LinksUpToDate>false</LinksUpToDate>
  <CharactersWithSpaces>216635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 Assessing the Effectiveness of Entrepreneurship and MSME Support </dc:title>
  <dc:subject/>
  <dc:creator>Andres F. Garcia</dc:creator>
  <cp:keywords/>
  <dc:description/>
  <cp:lastModifiedBy>Asya Akhlaque</cp:lastModifiedBy>
  <cp:revision>4</cp:revision>
  <cp:lastPrinted>2019-06-26T21:07:00Z</cp:lastPrinted>
  <dcterms:created xsi:type="dcterms:W3CDTF">2019-06-27T09:00:00Z</dcterms:created>
  <dcterms:modified xsi:type="dcterms:W3CDTF">2019-06-27T09:00:00Z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0x01010054E0FEF4951F9D49A6F48A35419983C700AA79E4AD652DE548B56679B0B2F94D07</vt:lpwstr>
  </property>
  <property fmtid="{D5CDD505-2E9C-101B-9397-08002B2CF9AE}" pid="3" name="RatedBy">
    <vt:lpwstr/>
  </property>
  <property fmtid="{D5CDD505-2E9C-101B-9397-08002B2CF9AE}" pid="4" name="LikedBy">
    <vt:lpwstr/>
  </property>
  <property fmtid="{D5CDD505-2E9C-101B-9397-08002B2CF9AE}" pid="5" name="Ratings">
    <vt:lpwstr/>
  </property>
</Properties>
</file>